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FE6E264">
      <w:pPr>
        <w:keepNext w:val="0"/>
        <w:keepLines w:val="0"/>
        <w:pageBreakBefore w:val="0"/>
        <w:widowControl w:val="0"/>
        <w:tabs>
          <w:tab w:val="left" w:pos="3195"/>
        </w:tabs>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黑体" w:cs="Times New Roman"/>
          <w:color w:val="auto"/>
          <w:sz w:val="44"/>
          <w:szCs w:val="44"/>
        </w:rPr>
      </w:pPr>
      <w:r>
        <w:rPr>
          <w:rFonts w:hint="default" w:ascii="Times New Roman" w:hAnsi="Times New Roman" w:eastAsia="黑体" w:cs="Times New Roman"/>
          <w:color w:val="auto"/>
          <w:sz w:val="44"/>
          <w:szCs w:val="44"/>
        </w:rPr>
        <w:t>目</w:t>
      </w:r>
      <w:r>
        <w:rPr>
          <w:rFonts w:hint="default" w:ascii="Times New Roman" w:hAnsi="Times New Roman" w:eastAsia="黑体" w:cs="Times New Roman"/>
          <w:color w:val="auto"/>
          <w:sz w:val="44"/>
          <w:szCs w:val="44"/>
          <w:lang w:val="en-US" w:eastAsia="zh-CN"/>
        </w:rPr>
        <w:t xml:space="preserve">  </w:t>
      </w:r>
      <w:r>
        <w:rPr>
          <w:rFonts w:hint="default" w:ascii="Times New Roman" w:hAnsi="Times New Roman" w:eastAsia="黑体" w:cs="Times New Roman"/>
          <w:color w:val="auto"/>
          <w:sz w:val="44"/>
          <w:szCs w:val="44"/>
        </w:rPr>
        <w:t>录</w:t>
      </w:r>
    </w:p>
    <w:p w14:paraId="561CC7F0">
      <w:pPr>
        <w:pStyle w:val="21"/>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TOC \o "1-2" \h \u </w:instrText>
      </w:r>
      <w:r>
        <w:rPr>
          <w:rFonts w:hint="default" w:ascii="Times New Roman" w:hAnsi="Times New Roman" w:cs="Times New Roman"/>
          <w:color w:val="auto"/>
        </w:rPr>
        <w:fldChar w:fldCharType="separate"/>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_Toc10151 </w:instrText>
      </w:r>
      <w:r>
        <w:rPr>
          <w:rFonts w:hint="default" w:ascii="Times New Roman" w:hAnsi="Times New Roman" w:cs="Times New Roman"/>
          <w:color w:val="auto"/>
        </w:rPr>
        <w:fldChar w:fldCharType="separate"/>
      </w:r>
      <w:r>
        <w:rPr>
          <w:rFonts w:hint="default" w:ascii="Times New Roman" w:hAnsi="Times New Roman" w:cs="Times New Roman"/>
          <w:color w:val="auto"/>
        </w:rPr>
        <w:t>1</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概述</w:t>
      </w:r>
      <w:r>
        <w:rPr>
          <w:color w:val="auto"/>
        </w:rPr>
        <w:tab/>
      </w:r>
      <w:r>
        <w:rPr>
          <w:color w:val="auto"/>
        </w:rPr>
        <w:fldChar w:fldCharType="begin"/>
      </w:r>
      <w:r>
        <w:rPr>
          <w:color w:val="auto"/>
        </w:rPr>
        <w:instrText xml:space="preserve"> PAGEREF _Toc10151 \h </w:instrText>
      </w:r>
      <w:r>
        <w:rPr>
          <w:color w:val="auto"/>
        </w:rPr>
        <w:fldChar w:fldCharType="separate"/>
      </w:r>
      <w:r>
        <w:rPr>
          <w:color w:val="auto"/>
        </w:rPr>
        <w:t>1</w:t>
      </w:r>
      <w:r>
        <w:rPr>
          <w:color w:val="auto"/>
        </w:rPr>
        <w:fldChar w:fldCharType="end"/>
      </w:r>
      <w:r>
        <w:rPr>
          <w:rFonts w:hint="default" w:ascii="Times New Roman" w:hAnsi="Times New Roman" w:cs="Times New Roman"/>
          <w:color w:val="auto"/>
        </w:rPr>
        <w:fldChar w:fldCharType="end"/>
      </w:r>
    </w:p>
    <w:p w14:paraId="40D7BC75">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_Toc28632 </w:instrText>
      </w:r>
      <w:r>
        <w:rPr>
          <w:rFonts w:hint="default" w:ascii="Times New Roman" w:hAnsi="Times New Roman" w:cs="Times New Roman"/>
          <w:color w:val="auto"/>
        </w:rPr>
        <w:fldChar w:fldCharType="separate"/>
      </w:r>
      <w:r>
        <w:rPr>
          <w:rFonts w:hint="default" w:ascii="Times New Roman" w:hAnsi="Times New Roman" w:cs="Times New Roman"/>
          <w:color w:val="auto"/>
        </w:rPr>
        <w:t>1.1</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建设项目</w:t>
      </w:r>
      <w:r>
        <w:rPr>
          <w:rFonts w:hint="default" w:ascii="Times New Roman" w:hAnsi="Times New Roman" w:cs="Times New Roman"/>
          <w:color w:val="auto"/>
          <w:lang w:val="en-US" w:eastAsia="zh-CN"/>
        </w:rPr>
        <w:t>的特点</w:t>
      </w:r>
      <w:r>
        <w:rPr>
          <w:color w:val="auto"/>
        </w:rPr>
        <w:tab/>
      </w:r>
      <w:r>
        <w:rPr>
          <w:color w:val="auto"/>
        </w:rPr>
        <w:fldChar w:fldCharType="begin"/>
      </w:r>
      <w:r>
        <w:rPr>
          <w:color w:val="auto"/>
        </w:rPr>
        <w:instrText xml:space="preserve"> PAGEREF _Toc28632 \h </w:instrText>
      </w:r>
      <w:r>
        <w:rPr>
          <w:color w:val="auto"/>
        </w:rPr>
        <w:fldChar w:fldCharType="separate"/>
      </w:r>
      <w:r>
        <w:rPr>
          <w:color w:val="auto"/>
        </w:rPr>
        <w:t>1</w:t>
      </w:r>
      <w:r>
        <w:rPr>
          <w:color w:val="auto"/>
        </w:rPr>
        <w:fldChar w:fldCharType="end"/>
      </w:r>
      <w:r>
        <w:rPr>
          <w:rFonts w:hint="default" w:ascii="Times New Roman" w:hAnsi="Times New Roman" w:cs="Times New Roman"/>
          <w:color w:val="auto"/>
        </w:rPr>
        <w:fldChar w:fldCharType="end"/>
      </w:r>
    </w:p>
    <w:p w14:paraId="5A3D9BE6">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_Toc27835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 xml:space="preserve">1.2 </w:t>
      </w:r>
      <w:r>
        <w:rPr>
          <w:rFonts w:hint="default" w:ascii="Times New Roman" w:hAnsi="Times New Roman" w:cs="Times New Roman"/>
          <w:color w:val="auto"/>
        </w:rPr>
        <w:t>环境影响评价的工作过程</w:t>
      </w:r>
      <w:r>
        <w:rPr>
          <w:color w:val="auto"/>
        </w:rPr>
        <w:tab/>
      </w:r>
      <w:r>
        <w:rPr>
          <w:color w:val="auto"/>
        </w:rPr>
        <w:fldChar w:fldCharType="begin"/>
      </w:r>
      <w:r>
        <w:rPr>
          <w:color w:val="auto"/>
        </w:rPr>
        <w:instrText xml:space="preserve"> PAGEREF _Toc27835 \h </w:instrText>
      </w:r>
      <w:r>
        <w:rPr>
          <w:color w:val="auto"/>
        </w:rPr>
        <w:fldChar w:fldCharType="separate"/>
      </w:r>
      <w:r>
        <w:rPr>
          <w:color w:val="auto"/>
        </w:rPr>
        <w:t>2</w:t>
      </w:r>
      <w:r>
        <w:rPr>
          <w:color w:val="auto"/>
        </w:rPr>
        <w:fldChar w:fldCharType="end"/>
      </w:r>
      <w:r>
        <w:rPr>
          <w:rFonts w:hint="default" w:ascii="Times New Roman" w:hAnsi="Times New Roman" w:cs="Times New Roman"/>
          <w:color w:val="auto"/>
        </w:rPr>
        <w:fldChar w:fldCharType="end"/>
      </w:r>
    </w:p>
    <w:p w14:paraId="1D3721B7">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_Toc6498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1.3 分析判定相关情况</w:t>
      </w:r>
      <w:r>
        <w:rPr>
          <w:color w:val="auto"/>
        </w:rPr>
        <w:tab/>
      </w:r>
      <w:r>
        <w:rPr>
          <w:color w:val="auto"/>
        </w:rPr>
        <w:fldChar w:fldCharType="begin"/>
      </w:r>
      <w:r>
        <w:rPr>
          <w:color w:val="auto"/>
        </w:rPr>
        <w:instrText xml:space="preserve"> PAGEREF _Toc6498 \h </w:instrText>
      </w:r>
      <w:r>
        <w:rPr>
          <w:color w:val="auto"/>
        </w:rPr>
        <w:fldChar w:fldCharType="separate"/>
      </w:r>
      <w:r>
        <w:rPr>
          <w:color w:val="auto"/>
        </w:rPr>
        <w:t>4</w:t>
      </w:r>
      <w:r>
        <w:rPr>
          <w:color w:val="auto"/>
        </w:rPr>
        <w:fldChar w:fldCharType="end"/>
      </w:r>
      <w:r>
        <w:rPr>
          <w:rFonts w:hint="default" w:ascii="Times New Roman" w:hAnsi="Times New Roman" w:cs="Times New Roman"/>
          <w:color w:val="auto"/>
        </w:rPr>
        <w:fldChar w:fldCharType="end"/>
      </w:r>
    </w:p>
    <w:p w14:paraId="5B8A7D22">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_Toc32364 </w:instrText>
      </w:r>
      <w:r>
        <w:rPr>
          <w:rFonts w:hint="default" w:ascii="Times New Roman" w:hAnsi="Times New Roman" w:cs="Times New Roman"/>
          <w:color w:val="auto"/>
        </w:rPr>
        <w:fldChar w:fldCharType="separate"/>
      </w:r>
      <w:r>
        <w:rPr>
          <w:rFonts w:hint="default" w:ascii="Times New Roman" w:hAnsi="Times New Roman" w:cs="Times New Roman"/>
          <w:color w:val="auto"/>
        </w:rPr>
        <w:t>1.4</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关注的主要环境问题</w:t>
      </w:r>
      <w:r>
        <w:rPr>
          <w:color w:val="auto"/>
        </w:rPr>
        <w:tab/>
      </w:r>
      <w:r>
        <w:rPr>
          <w:color w:val="auto"/>
        </w:rPr>
        <w:fldChar w:fldCharType="begin"/>
      </w:r>
      <w:r>
        <w:rPr>
          <w:color w:val="auto"/>
        </w:rPr>
        <w:instrText xml:space="preserve"> PAGEREF _Toc32364 \h </w:instrText>
      </w:r>
      <w:r>
        <w:rPr>
          <w:color w:val="auto"/>
        </w:rPr>
        <w:fldChar w:fldCharType="separate"/>
      </w:r>
      <w:r>
        <w:rPr>
          <w:color w:val="auto"/>
        </w:rPr>
        <w:t>5</w:t>
      </w:r>
      <w:r>
        <w:rPr>
          <w:color w:val="auto"/>
        </w:rPr>
        <w:fldChar w:fldCharType="end"/>
      </w:r>
      <w:r>
        <w:rPr>
          <w:rFonts w:hint="default" w:ascii="Times New Roman" w:hAnsi="Times New Roman" w:cs="Times New Roman"/>
          <w:color w:val="auto"/>
        </w:rPr>
        <w:fldChar w:fldCharType="end"/>
      </w:r>
    </w:p>
    <w:p w14:paraId="24423356">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_Toc20353 </w:instrText>
      </w:r>
      <w:r>
        <w:rPr>
          <w:rFonts w:hint="default" w:ascii="Times New Roman" w:hAnsi="Times New Roman" w:cs="Times New Roman"/>
          <w:color w:val="auto"/>
        </w:rPr>
        <w:fldChar w:fldCharType="separate"/>
      </w:r>
      <w:r>
        <w:rPr>
          <w:rFonts w:hint="default" w:ascii="Times New Roman" w:hAnsi="Times New Roman" w:cs="Times New Roman"/>
          <w:color w:val="auto"/>
        </w:rPr>
        <w:t>1.5</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主要结论</w:t>
      </w:r>
      <w:r>
        <w:rPr>
          <w:color w:val="auto"/>
        </w:rPr>
        <w:tab/>
      </w:r>
      <w:r>
        <w:rPr>
          <w:color w:val="auto"/>
        </w:rPr>
        <w:fldChar w:fldCharType="begin"/>
      </w:r>
      <w:r>
        <w:rPr>
          <w:color w:val="auto"/>
        </w:rPr>
        <w:instrText xml:space="preserve"> PAGEREF _Toc20353 \h </w:instrText>
      </w:r>
      <w:r>
        <w:rPr>
          <w:color w:val="auto"/>
        </w:rPr>
        <w:fldChar w:fldCharType="separate"/>
      </w:r>
      <w:r>
        <w:rPr>
          <w:color w:val="auto"/>
        </w:rPr>
        <w:t>6</w:t>
      </w:r>
      <w:r>
        <w:rPr>
          <w:color w:val="auto"/>
        </w:rPr>
        <w:fldChar w:fldCharType="end"/>
      </w:r>
      <w:r>
        <w:rPr>
          <w:rFonts w:hint="default" w:ascii="Times New Roman" w:hAnsi="Times New Roman" w:cs="Times New Roman"/>
          <w:color w:val="auto"/>
        </w:rPr>
        <w:fldChar w:fldCharType="end"/>
      </w:r>
    </w:p>
    <w:p w14:paraId="6514663F">
      <w:pPr>
        <w:pStyle w:val="21"/>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_Toc22549 </w:instrText>
      </w:r>
      <w:r>
        <w:rPr>
          <w:rFonts w:hint="default" w:ascii="Times New Roman" w:hAnsi="Times New Roman" w:cs="Times New Roman"/>
          <w:color w:val="auto"/>
        </w:rPr>
        <w:fldChar w:fldCharType="separate"/>
      </w:r>
      <w:r>
        <w:rPr>
          <w:rFonts w:hint="default" w:ascii="Times New Roman" w:hAnsi="Times New Roman" w:cs="Times New Roman"/>
          <w:color w:val="auto"/>
        </w:rPr>
        <w:t>2</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总则</w:t>
      </w:r>
      <w:r>
        <w:rPr>
          <w:color w:val="auto"/>
        </w:rPr>
        <w:tab/>
      </w:r>
      <w:r>
        <w:rPr>
          <w:color w:val="auto"/>
        </w:rPr>
        <w:fldChar w:fldCharType="begin"/>
      </w:r>
      <w:r>
        <w:rPr>
          <w:color w:val="auto"/>
        </w:rPr>
        <w:instrText xml:space="preserve"> PAGEREF _Toc22549 \h </w:instrText>
      </w:r>
      <w:r>
        <w:rPr>
          <w:color w:val="auto"/>
        </w:rPr>
        <w:fldChar w:fldCharType="separate"/>
      </w:r>
      <w:r>
        <w:rPr>
          <w:color w:val="auto"/>
        </w:rPr>
        <w:t>7</w:t>
      </w:r>
      <w:r>
        <w:rPr>
          <w:color w:val="auto"/>
        </w:rPr>
        <w:fldChar w:fldCharType="end"/>
      </w:r>
      <w:r>
        <w:rPr>
          <w:rFonts w:hint="default" w:ascii="Times New Roman" w:hAnsi="Times New Roman" w:cs="Times New Roman"/>
          <w:color w:val="auto"/>
        </w:rPr>
        <w:fldChar w:fldCharType="end"/>
      </w:r>
    </w:p>
    <w:p w14:paraId="463F6389">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_Toc5521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2</w:t>
      </w:r>
      <w:r>
        <w:rPr>
          <w:rFonts w:hint="default" w:ascii="Times New Roman" w:hAnsi="Times New Roman" w:cs="Times New Roman"/>
          <w:color w:val="auto"/>
        </w:rPr>
        <w:t>.</w:t>
      </w:r>
      <w:r>
        <w:rPr>
          <w:rFonts w:hint="default" w:ascii="Times New Roman" w:hAnsi="Times New Roman" w:cs="Times New Roman"/>
          <w:color w:val="auto"/>
          <w:lang w:val="en-US" w:eastAsia="zh-CN"/>
        </w:rPr>
        <w:t xml:space="preserve">1 </w:t>
      </w:r>
      <w:r>
        <w:rPr>
          <w:rFonts w:hint="default" w:ascii="Times New Roman" w:hAnsi="Times New Roman" w:cs="Times New Roman"/>
          <w:color w:val="auto"/>
        </w:rPr>
        <w:t>评价目的及评价原则</w:t>
      </w:r>
      <w:r>
        <w:rPr>
          <w:color w:val="auto"/>
        </w:rPr>
        <w:tab/>
      </w:r>
      <w:r>
        <w:rPr>
          <w:color w:val="auto"/>
        </w:rPr>
        <w:fldChar w:fldCharType="begin"/>
      </w:r>
      <w:r>
        <w:rPr>
          <w:color w:val="auto"/>
        </w:rPr>
        <w:instrText xml:space="preserve"> PAGEREF _Toc5521 \h </w:instrText>
      </w:r>
      <w:r>
        <w:rPr>
          <w:color w:val="auto"/>
        </w:rPr>
        <w:fldChar w:fldCharType="separate"/>
      </w:r>
      <w:r>
        <w:rPr>
          <w:color w:val="auto"/>
        </w:rPr>
        <w:t>7</w:t>
      </w:r>
      <w:r>
        <w:rPr>
          <w:color w:val="auto"/>
        </w:rPr>
        <w:fldChar w:fldCharType="end"/>
      </w:r>
      <w:r>
        <w:rPr>
          <w:rFonts w:hint="default" w:ascii="Times New Roman" w:hAnsi="Times New Roman" w:cs="Times New Roman"/>
          <w:color w:val="auto"/>
        </w:rPr>
        <w:fldChar w:fldCharType="end"/>
      </w:r>
    </w:p>
    <w:p w14:paraId="7D61160D">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_Toc14182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2</w:t>
      </w:r>
      <w:r>
        <w:rPr>
          <w:rFonts w:hint="default" w:ascii="Times New Roman" w:hAnsi="Times New Roman" w:cs="Times New Roman"/>
          <w:color w:val="auto"/>
        </w:rPr>
        <w:t>.</w:t>
      </w:r>
      <w:r>
        <w:rPr>
          <w:rFonts w:hint="default" w:ascii="Times New Roman" w:hAnsi="Times New Roman" w:cs="Times New Roman"/>
          <w:color w:val="auto"/>
          <w:lang w:val="en-US" w:eastAsia="zh-CN"/>
        </w:rPr>
        <w:t xml:space="preserve">2 </w:t>
      </w:r>
      <w:r>
        <w:rPr>
          <w:rFonts w:hint="default" w:ascii="Times New Roman" w:hAnsi="Times New Roman" w:cs="Times New Roman"/>
          <w:color w:val="auto"/>
        </w:rPr>
        <w:t>编制依据</w:t>
      </w:r>
      <w:r>
        <w:rPr>
          <w:color w:val="auto"/>
        </w:rPr>
        <w:tab/>
      </w:r>
      <w:r>
        <w:rPr>
          <w:color w:val="auto"/>
        </w:rPr>
        <w:fldChar w:fldCharType="begin"/>
      </w:r>
      <w:r>
        <w:rPr>
          <w:color w:val="auto"/>
        </w:rPr>
        <w:instrText xml:space="preserve"> PAGEREF _Toc14182 \h </w:instrText>
      </w:r>
      <w:r>
        <w:rPr>
          <w:color w:val="auto"/>
        </w:rPr>
        <w:fldChar w:fldCharType="separate"/>
      </w:r>
      <w:r>
        <w:rPr>
          <w:color w:val="auto"/>
        </w:rPr>
        <w:t>7</w:t>
      </w:r>
      <w:r>
        <w:rPr>
          <w:color w:val="auto"/>
        </w:rPr>
        <w:fldChar w:fldCharType="end"/>
      </w:r>
      <w:r>
        <w:rPr>
          <w:rFonts w:hint="default" w:ascii="Times New Roman" w:hAnsi="Times New Roman" w:cs="Times New Roman"/>
          <w:color w:val="auto"/>
        </w:rPr>
        <w:fldChar w:fldCharType="end"/>
      </w:r>
    </w:p>
    <w:p w14:paraId="2203A9E1">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_Toc25401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2.3 环境影响识别与评价因子筛选</w:t>
      </w:r>
      <w:r>
        <w:rPr>
          <w:color w:val="auto"/>
        </w:rPr>
        <w:tab/>
      </w:r>
      <w:r>
        <w:rPr>
          <w:color w:val="auto"/>
        </w:rPr>
        <w:fldChar w:fldCharType="begin"/>
      </w:r>
      <w:r>
        <w:rPr>
          <w:color w:val="auto"/>
        </w:rPr>
        <w:instrText xml:space="preserve"> PAGEREF _Toc25401 \h </w:instrText>
      </w:r>
      <w:r>
        <w:rPr>
          <w:color w:val="auto"/>
        </w:rPr>
        <w:fldChar w:fldCharType="separate"/>
      </w:r>
      <w:r>
        <w:rPr>
          <w:color w:val="auto"/>
        </w:rPr>
        <w:t>13</w:t>
      </w:r>
      <w:r>
        <w:rPr>
          <w:color w:val="auto"/>
        </w:rPr>
        <w:fldChar w:fldCharType="end"/>
      </w:r>
      <w:r>
        <w:rPr>
          <w:rFonts w:hint="default" w:ascii="Times New Roman" w:hAnsi="Times New Roman" w:cs="Times New Roman"/>
          <w:color w:val="auto"/>
        </w:rPr>
        <w:fldChar w:fldCharType="end"/>
      </w:r>
    </w:p>
    <w:p w14:paraId="009B86D9">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_Toc2875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2.4 环境功能区划和评价标准</w:t>
      </w:r>
      <w:r>
        <w:rPr>
          <w:color w:val="auto"/>
        </w:rPr>
        <w:tab/>
      </w:r>
      <w:r>
        <w:rPr>
          <w:color w:val="auto"/>
        </w:rPr>
        <w:fldChar w:fldCharType="begin"/>
      </w:r>
      <w:r>
        <w:rPr>
          <w:color w:val="auto"/>
        </w:rPr>
        <w:instrText xml:space="preserve"> PAGEREF _Toc2875 \h </w:instrText>
      </w:r>
      <w:r>
        <w:rPr>
          <w:color w:val="auto"/>
        </w:rPr>
        <w:fldChar w:fldCharType="separate"/>
      </w:r>
      <w:r>
        <w:rPr>
          <w:color w:val="auto"/>
        </w:rPr>
        <w:t>15</w:t>
      </w:r>
      <w:r>
        <w:rPr>
          <w:color w:val="auto"/>
        </w:rPr>
        <w:fldChar w:fldCharType="end"/>
      </w:r>
      <w:r>
        <w:rPr>
          <w:rFonts w:hint="default" w:ascii="Times New Roman" w:hAnsi="Times New Roman" w:cs="Times New Roman"/>
          <w:color w:val="auto"/>
        </w:rPr>
        <w:fldChar w:fldCharType="end"/>
      </w:r>
    </w:p>
    <w:p w14:paraId="0D25DAD5">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_Toc12911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2</w:t>
      </w:r>
      <w:r>
        <w:rPr>
          <w:rFonts w:hint="default" w:ascii="Times New Roman" w:hAnsi="Times New Roman" w:cs="Times New Roman"/>
          <w:color w:val="auto"/>
        </w:rPr>
        <w:t>.</w:t>
      </w:r>
      <w:r>
        <w:rPr>
          <w:rFonts w:hint="default" w:ascii="Times New Roman" w:hAnsi="Times New Roman" w:cs="Times New Roman"/>
          <w:color w:val="auto"/>
          <w:lang w:val="en-US" w:eastAsia="zh-CN"/>
        </w:rPr>
        <w:t>5 评价等级和评价范围</w:t>
      </w:r>
      <w:r>
        <w:rPr>
          <w:color w:val="auto"/>
        </w:rPr>
        <w:tab/>
      </w:r>
      <w:r>
        <w:rPr>
          <w:color w:val="auto"/>
        </w:rPr>
        <w:fldChar w:fldCharType="begin"/>
      </w:r>
      <w:r>
        <w:rPr>
          <w:color w:val="auto"/>
        </w:rPr>
        <w:instrText xml:space="preserve"> PAGEREF _Toc12911 \h </w:instrText>
      </w:r>
      <w:r>
        <w:rPr>
          <w:color w:val="auto"/>
        </w:rPr>
        <w:fldChar w:fldCharType="separate"/>
      </w:r>
      <w:r>
        <w:rPr>
          <w:color w:val="auto"/>
        </w:rPr>
        <w:t>19</w:t>
      </w:r>
      <w:r>
        <w:rPr>
          <w:color w:val="auto"/>
        </w:rPr>
        <w:fldChar w:fldCharType="end"/>
      </w:r>
      <w:r>
        <w:rPr>
          <w:rFonts w:hint="default" w:ascii="Times New Roman" w:hAnsi="Times New Roman" w:cs="Times New Roman"/>
          <w:color w:val="auto"/>
        </w:rPr>
        <w:fldChar w:fldCharType="end"/>
      </w:r>
    </w:p>
    <w:p w14:paraId="261247BC">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_Toc14871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2.6 环境保护目标</w:t>
      </w:r>
      <w:r>
        <w:rPr>
          <w:color w:val="auto"/>
        </w:rPr>
        <w:tab/>
      </w:r>
      <w:r>
        <w:rPr>
          <w:color w:val="auto"/>
        </w:rPr>
        <w:fldChar w:fldCharType="begin"/>
      </w:r>
      <w:r>
        <w:rPr>
          <w:color w:val="auto"/>
        </w:rPr>
        <w:instrText xml:space="preserve"> PAGEREF _Toc14871 \h </w:instrText>
      </w:r>
      <w:r>
        <w:rPr>
          <w:color w:val="auto"/>
        </w:rPr>
        <w:fldChar w:fldCharType="separate"/>
      </w:r>
      <w:r>
        <w:rPr>
          <w:color w:val="auto"/>
        </w:rPr>
        <w:t>20</w:t>
      </w:r>
      <w:r>
        <w:rPr>
          <w:color w:val="auto"/>
        </w:rPr>
        <w:fldChar w:fldCharType="end"/>
      </w:r>
      <w:r>
        <w:rPr>
          <w:rFonts w:hint="default" w:ascii="Times New Roman" w:hAnsi="Times New Roman" w:cs="Times New Roman"/>
          <w:color w:val="auto"/>
        </w:rPr>
        <w:fldChar w:fldCharType="end"/>
      </w:r>
    </w:p>
    <w:p w14:paraId="01B8F7FD">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_Toc23177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2.7 评价时段和方法</w:t>
      </w:r>
      <w:r>
        <w:rPr>
          <w:color w:val="auto"/>
        </w:rPr>
        <w:tab/>
      </w:r>
      <w:r>
        <w:rPr>
          <w:color w:val="auto"/>
        </w:rPr>
        <w:fldChar w:fldCharType="begin"/>
      </w:r>
      <w:r>
        <w:rPr>
          <w:color w:val="auto"/>
        </w:rPr>
        <w:instrText xml:space="preserve"> PAGEREF _Toc23177 \h </w:instrText>
      </w:r>
      <w:r>
        <w:rPr>
          <w:color w:val="auto"/>
        </w:rPr>
        <w:fldChar w:fldCharType="separate"/>
      </w:r>
      <w:r>
        <w:rPr>
          <w:color w:val="auto"/>
        </w:rPr>
        <w:t>21</w:t>
      </w:r>
      <w:r>
        <w:rPr>
          <w:color w:val="auto"/>
        </w:rPr>
        <w:fldChar w:fldCharType="end"/>
      </w:r>
      <w:r>
        <w:rPr>
          <w:rFonts w:hint="default" w:ascii="Times New Roman" w:hAnsi="Times New Roman" w:cs="Times New Roman"/>
          <w:color w:val="auto"/>
        </w:rPr>
        <w:fldChar w:fldCharType="end"/>
      </w:r>
    </w:p>
    <w:p w14:paraId="70B99FAA">
      <w:pPr>
        <w:pStyle w:val="21"/>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_Toc1380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lang w:val="en-US" w:eastAsia="zh-CN"/>
        </w:rPr>
        <w:t xml:space="preserve"> 工程</w:t>
      </w:r>
      <w:r>
        <w:rPr>
          <w:rFonts w:hint="default" w:ascii="Times New Roman" w:hAnsi="Times New Roman" w:cs="Times New Roman"/>
          <w:color w:val="auto"/>
        </w:rPr>
        <w:t>概况和工程分析</w:t>
      </w:r>
      <w:r>
        <w:rPr>
          <w:color w:val="auto"/>
        </w:rPr>
        <w:tab/>
      </w:r>
      <w:r>
        <w:rPr>
          <w:color w:val="auto"/>
        </w:rPr>
        <w:fldChar w:fldCharType="begin"/>
      </w:r>
      <w:r>
        <w:rPr>
          <w:color w:val="auto"/>
        </w:rPr>
        <w:instrText xml:space="preserve"> PAGEREF _Toc1380 \h </w:instrText>
      </w:r>
      <w:r>
        <w:rPr>
          <w:color w:val="auto"/>
        </w:rPr>
        <w:fldChar w:fldCharType="separate"/>
      </w:r>
      <w:r>
        <w:rPr>
          <w:color w:val="auto"/>
        </w:rPr>
        <w:t>22</w:t>
      </w:r>
      <w:r>
        <w:rPr>
          <w:color w:val="auto"/>
        </w:rPr>
        <w:fldChar w:fldCharType="end"/>
      </w:r>
      <w:r>
        <w:rPr>
          <w:rFonts w:hint="default" w:ascii="Times New Roman" w:hAnsi="Times New Roman" w:cs="Times New Roman"/>
          <w:color w:val="auto"/>
        </w:rPr>
        <w:fldChar w:fldCharType="end"/>
      </w:r>
    </w:p>
    <w:p w14:paraId="355A63BF">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_Toc2285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3.1 选址选线方案环境比选</w:t>
      </w:r>
      <w:r>
        <w:rPr>
          <w:color w:val="auto"/>
        </w:rPr>
        <w:tab/>
      </w:r>
      <w:r>
        <w:rPr>
          <w:color w:val="auto"/>
        </w:rPr>
        <w:fldChar w:fldCharType="begin"/>
      </w:r>
      <w:r>
        <w:rPr>
          <w:color w:val="auto"/>
        </w:rPr>
        <w:instrText xml:space="preserve"> PAGEREF _Toc2285 \h </w:instrText>
      </w:r>
      <w:r>
        <w:rPr>
          <w:color w:val="auto"/>
        </w:rPr>
        <w:fldChar w:fldCharType="separate"/>
      </w:r>
      <w:r>
        <w:rPr>
          <w:color w:val="auto"/>
        </w:rPr>
        <w:t>22</w:t>
      </w:r>
      <w:r>
        <w:rPr>
          <w:color w:val="auto"/>
        </w:rPr>
        <w:fldChar w:fldCharType="end"/>
      </w:r>
      <w:r>
        <w:rPr>
          <w:rFonts w:hint="default" w:ascii="Times New Roman" w:hAnsi="Times New Roman" w:cs="Times New Roman"/>
          <w:color w:val="auto"/>
        </w:rPr>
        <w:fldChar w:fldCharType="end"/>
      </w:r>
    </w:p>
    <w:p w14:paraId="0CA67D75">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_Toc27675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3.2 工程概况</w:t>
      </w:r>
      <w:r>
        <w:rPr>
          <w:color w:val="auto"/>
        </w:rPr>
        <w:tab/>
      </w:r>
      <w:r>
        <w:rPr>
          <w:color w:val="auto"/>
        </w:rPr>
        <w:fldChar w:fldCharType="begin"/>
      </w:r>
      <w:r>
        <w:rPr>
          <w:color w:val="auto"/>
        </w:rPr>
        <w:instrText xml:space="preserve"> PAGEREF _Toc27675 \h </w:instrText>
      </w:r>
      <w:r>
        <w:rPr>
          <w:color w:val="auto"/>
        </w:rPr>
        <w:fldChar w:fldCharType="separate"/>
      </w:r>
      <w:r>
        <w:rPr>
          <w:color w:val="auto"/>
        </w:rPr>
        <w:t>36</w:t>
      </w:r>
      <w:r>
        <w:rPr>
          <w:color w:val="auto"/>
        </w:rPr>
        <w:fldChar w:fldCharType="end"/>
      </w:r>
      <w:r>
        <w:rPr>
          <w:rFonts w:hint="default" w:ascii="Times New Roman" w:hAnsi="Times New Roman" w:cs="Times New Roman"/>
          <w:color w:val="auto"/>
        </w:rPr>
        <w:fldChar w:fldCharType="end"/>
      </w:r>
    </w:p>
    <w:p w14:paraId="6EE4C08B">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_Toc353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3.3 工程分析</w:t>
      </w:r>
      <w:r>
        <w:rPr>
          <w:color w:val="auto"/>
        </w:rPr>
        <w:tab/>
      </w:r>
      <w:r>
        <w:rPr>
          <w:color w:val="auto"/>
        </w:rPr>
        <w:fldChar w:fldCharType="begin"/>
      </w:r>
      <w:r>
        <w:rPr>
          <w:color w:val="auto"/>
        </w:rPr>
        <w:instrText xml:space="preserve"> PAGEREF _Toc353 \h </w:instrText>
      </w:r>
      <w:r>
        <w:rPr>
          <w:color w:val="auto"/>
        </w:rPr>
        <w:fldChar w:fldCharType="separate"/>
      </w:r>
      <w:r>
        <w:rPr>
          <w:color w:val="auto"/>
        </w:rPr>
        <w:t>58</w:t>
      </w:r>
      <w:r>
        <w:rPr>
          <w:color w:val="auto"/>
        </w:rPr>
        <w:fldChar w:fldCharType="end"/>
      </w:r>
      <w:r>
        <w:rPr>
          <w:rFonts w:hint="default" w:ascii="Times New Roman" w:hAnsi="Times New Roman" w:cs="Times New Roman"/>
          <w:color w:val="auto"/>
        </w:rPr>
        <w:fldChar w:fldCharType="end"/>
      </w:r>
    </w:p>
    <w:p w14:paraId="4531AAF5">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_Toc3106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3.4 项目与相关规划的协调性分析</w:t>
      </w:r>
      <w:r>
        <w:rPr>
          <w:color w:val="auto"/>
        </w:rPr>
        <w:tab/>
      </w:r>
      <w:r>
        <w:rPr>
          <w:color w:val="auto"/>
        </w:rPr>
        <w:fldChar w:fldCharType="begin"/>
      </w:r>
      <w:r>
        <w:rPr>
          <w:color w:val="auto"/>
        </w:rPr>
        <w:instrText xml:space="preserve"> PAGEREF _Toc3106 \h </w:instrText>
      </w:r>
      <w:r>
        <w:rPr>
          <w:color w:val="auto"/>
        </w:rPr>
        <w:fldChar w:fldCharType="separate"/>
      </w:r>
      <w:r>
        <w:rPr>
          <w:color w:val="auto"/>
        </w:rPr>
        <w:t>76</w:t>
      </w:r>
      <w:r>
        <w:rPr>
          <w:color w:val="auto"/>
        </w:rPr>
        <w:fldChar w:fldCharType="end"/>
      </w:r>
      <w:r>
        <w:rPr>
          <w:rFonts w:hint="default" w:ascii="Times New Roman" w:hAnsi="Times New Roman" w:cs="Times New Roman"/>
          <w:color w:val="auto"/>
        </w:rPr>
        <w:fldChar w:fldCharType="end"/>
      </w:r>
    </w:p>
    <w:p w14:paraId="6A8F57E3">
      <w:pPr>
        <w:pStyle w:val="21"/>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_Toc11541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rPr>
        <w:t>4 环境现状调查与评价</w:t>
      </w:r>
      <w:r>
        <w:rPr>
          <w:color w:val="auto"/>
        </w:rPr>
        <w:tab/>
      </w:r>
      <w:r>
        <w:rPr>
          <w:color w:val="auto"/>
        </w:rPr>
        <w:fldChar w:fldCharType="begin"/>
      </w:r>
      <w:r>
        <w:rPr>
          <w:color w:val="auto"/>
        </w:rPr>
        <w:instrText xml:space="preserve"> PAGEREF _Toc11541 \h </w:instrText>
      </w:r>
      <w:r>
        <w:rPr>
          <w:color w:val="auto"/>
        </w:rPr>
        <w:fldChar w:fldCharType="separate"/>
      </w:r>
      <w:r>
        <w:rPr>
          <w:color w:val="auto"/>
        </w:rPr>
        <w:t>100</w:t>
      </w:r>
      <w:r>
        <w:rPr>
          <w:color w:val="auto"/>
        </w:rPr>
        <w:fldChar w:fldCharType="end"/>
      </w:r>
      <w:r>
        <w:rPr>
          <w:rFonts w:hint="default" w:ascii="Times New Roman" w:hAnsi="Times New Roman" w:cs="Times New Roman"/>
          <w:color w:val="auto"/>
        </w:rPr>
        <w:fldChar w:fldCharType="end"/>
      </w:r>
    </w:p>
    <w:p w14:paraId="768BD8B2">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_Toc25547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4</w:t>
      </w:r>
      <w:r>
        <w:rPr>
          <w:rFonts w:hint="default" w:ascii="Times New Roman" w:hAnsi="Times New Roman" w:cs="Times New Roman"/>
          <w:color w:val="auto"/>
        </w:rPr>
        <w:t>.1</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自然环境</w:t>
      </w:r>
      <w:r>
        <w:rPr>
          <w:rFonts w:hint="default" w:ascii="Times New Roman" w:hAnsi="Times New Roman" w:cs="Times New Roman"/>
          <w:color w:val="auto"/>
          <w:lang w:val="en-US" w:eastAsia="zh-CN"/>
        </w:rPr>
        <w:t>现状调查与评价</w:t>
      </w:r>
      <w:r>
        <w:rPr>
          <w:color w:val="auto"/>
        </w:rPr>
        <w:tab/>
      </w:r>
      <w:r>
        <w:rPr>
          <w:color w:val="auto"/>
        </w:rPr>
        <w:fldChar w:fldCharType="begin"/>
      </w:r>
      <w:r>
        <w:rPr>
          <w:color w:val="auto"/>
        </w:rPr>
        <w:instrText xml:space="preserve"> PAGEREF _Toc25547 \h </w:instrText>
      </w:r>
      <w:r>
        <w:rPr>
          <w:color w:val="auto"/>
        </w:rPr>
        <w:fldChar w:fldCharType="separate"/>
      </w:r>
      <w:r>
        <w:rPr>
          <w:color w:val="auto"/>
        </w:rPr>
        <w:t>100</w:t>
      </w:r>
      <w:r>
        <w:rPr>
          <w:color w:val="auto"/>
        </w:rPr>
        <w:fldChar w:fldCharType="end"/>
      </w:r>
      <w:r>
        <w:rPr>
          <w:rFonts w:hint="default" w:ascii="Times New Roman" w:hAnsi="Times New Roman" w:cs="Times New Roman"/>
          <w:color w:val="auto"/>
        </w:rPr>
        <w:fldChar w:fldCharType="end"/>
      </w:r>
    </w:p>
    <w:p w14:paraId="1EEBDDB4">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_Toc7018 </w:instrText>
      </w:r>
      <w:r>
        <w:rPr>
          <w:rFonts w:hint="default" w:ascii="Times New Roman" w:hAnsi="Times New Roman" w:cs="Times New Roman"/>
          <w:color w:val="auto"/>
        </w:rPr>
        <w:fldChar w:fldCharType="separate"/>
      </w:r>
      <w:r>
        <w:rPr>
          <w:rFonts w:hint="default" w:ascii="Times New Roman" w:hAnsi="Times New Roman" w:cs="Times New Roman"/>
          <w:color w:val="auto"/>
        </w:rPr>
        <w:t>4.2</w:t>
      </w:r>
      <w:r>
        <w:rPr>
          <w:rFonts w:hint="default" w:ascii="Times New Roman" w:hAnsi="Times New Roman" w:cs="Times New Roman"/>
          <w:color w:val="auto"/>
          <w:lang w:val="en-US" w:eastAsia="zh-CN"/>
        </w:rPr>
        <w:t xml:space="preserve"> 生态</w:t>
      </w:r>
      <w:r>
        <w:rPr>
          <w:rFonts w:hint="default" w:ascii="Times New Roman" w:hAnsi="Times New Roman" w:cs="Times New Roman"/>
          <w:color w:val="auto"/>
        </w:rPr>
        <w:t>环境现状调查与评价</w:t>
      </w:r>
      <w:r>
        <w:rPr>
          <w:color w:val="auto"/>
        </w:rPr>
        <w:tab/>
      </w:r>
      <w:r>
        <w:rPr>
          <w:color w:val="auto"/>
        </w:rPr>
        <w:fldChar w:fldCharType="begin"/>
      </w:r>
      <w:r>
        <w:rPr>
          <w:color w:val="auto"/>
        </w:rPr>
        <w:instrText xml:space="preserve"> PAGEREF _Toc7018 \h </w:instrText>
      </w:r>
      <w:r>
        <w:rPr>
          <w:color w:val="auto"/>
        </w:rPr>
        <w:fldChar w:fldCharType="separate"/>
      </w:r>
      <w:r>
        <w:rPr>
          <w:color w:val="auto"/>
        </w:rPr>
        <w:t>106</w:t>
      </w:r>
      <w:r>
        <w:rPr>
          <w:color w:val="auto"/>
        </w:rPr>
        <w:fldChar w:fldCharType="end"/>
      </w:r>
      <w:r>
        <w:rPr>
          <w:rFonts w:hint="default" w:ascii="Times New Roman" w:hAnsi="Times New Roman" w:cs="Times New Roman"/>
          <w:color w:val="auto"/>
        </w:rPr>
        <w:fldChar w:fldCharType="end"/>
      </w:r>
    </w:p>
    <w:p w14:paraId="6B03A53F">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_Toc10231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4.3 环境空气现状调查及评价</w:t>
      </w:r>
      <w:r>
        <w:rPr>
          <w:color w:val="auto"/>
        </w:rPr>
        <w:tab/>
      </w:r>
      <w:r>
        <w:rPr>
          <w:color w:val="auto"/>
        </w:rPr>
        <w:fldChar w:fldCharType="begin"/>
      </w:r>
      <w:r>
        <w:rPr>
          <w:color w:val="auto"/>
        </w:rPr>
        <w:instrText xml:space="preserve"> PAGEREF _Toc10231 \h </w:instrText>
      </w:r>
      <w:r>
        <w:rPr>
          <w:color w:val="auto"/>
        </w:rPr>
        <w:fldChar w:fldCharType="separate"/>
      </w:r>
      <w:r>
        <w:rPr>
          <w:color w:val="auto"/>
        </w:rPr>
        <w:t>115</w:t>
      </w:r>
      <w:r>
        <w:rPr>
          <w:color w:val="auto"/>
        </w:rPr>
        <w:fldChar w:fldCharType="end"/>
      </w:r>
      <w:r>
        <w:rPr>
          <w:rFonts w:hint="default" w:ascii="Times New Roman" w:hAnsi="Times New Roman" w:cs="Times New Roman"/>
          <w:color w:val="auto"/>
        </w:rPr>
        <w:fldChar w:fldCharType="end"/>
      </w:r>
    </w:p>
    <w:p w14:paraId="06C44B9E">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_Toc21505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4.4 声环境现状调查及评价</w:t>
      </w:r>
      <w:r>
        <w:rPr>
          <w:color w:val="auto"/>
        </w:rPr>
        <w:tab/>
      </w:r>
      <w:r>
        <w:rPr>
          <w:color w:val="auto"/>
        </w:rPr>
        <w:fldChar w:fldCharType="begin"/>
      </w:r>
      <w:r>
        <w:rPr>
          <w:color w:val="auto"/>
        </w:rPr>
        <w:instrText xml:space="preserve"> PAGEREF _Toc21505 \h </w:instrText>
      </w:r>
      <w:r>
        <w:rPr>
          <w:color w:val="auto"/>
        </w:rPr>
        <w:fldChar w:fldCharType="separate"/>
      </w:r>
      <w:r>
        <w:rPr>
          <w:color w:val="auto"/>
        </w:rPr>
        <w:t>116</w:t>
      </w:r>
      <w:r>
        <w:rPr>
          <w:color w:val="auto"/>
        </w:rPr>
        <w:fldChar w:fldCharType="end"/>
      </w:r>
      <w:r>
        <w:rPr>
          <w:rFonts w:hint="default" w:ascii="Times New Roman" w:hAnsi="Times New Roman" w:cs="Times New Roman"/>
          <w:color w:val="auto"/>
        </w:rPr>
        <w:fldChar w:fldCharType="end"/>
      </w:r>
    </w:p>
    <w:p w14:paraId="21090FCE">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_Toc22272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4.5 水环境现状调查及评价</w:t>
      </w:r>
      <w:r>
        <w:rPr>
          <w:color w:val="auto"/>
        </w:rPr>
        <w:tab/>
      </w:r>
      <w:r>
        <w:rPr>
          <w:color w:val="auto"/>
        </w:rPr>
        <w:fldChar w:fldCharType="begin"/>
      </w:r>
      <w:r>
        <w:rPr>
          <w:color w:val="auto"/>
        </w:rPr>
        <w:instrText xml:space="preserve"> PAGEREF _Toc22272 \h </w:instrText>
      </w:r>
      <w:r>
        <w:rPr>
          <w:color w:val="auto"/>
        </w:rPr>
        <w:fldChar w:fldCharType="separate"/>
      </w:r>
      <w:r>
        <w:rPr>
          <w:color w:val="auto"/>
        </w:rPr>
        <w:t>117</w:t>
      </w:r>
      <w:r>
        <w:rPr>
          <w:color w:val="auto"/>
        </w:rPr>
        <w:fldChar w:fldCharType="end"/>
      </w:r>
      <w:r>
        <w:rPr>
          <w:rFonts w:hint="default" w:ascii="Times New Roman" w:hAnsi="Times New Roman" w:cs="Times New Roman"/>
          <w:color w:val="auto"/>
        </w:rPr>
        <w:fldChar w:fldCharType="end"/>
      </w:r>
    </w:p>
    <w:p w14:paraId="7C9FF16A">
      <w:pPr>
        <w:pStyle w:val="21"/>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_Toc1053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 xml:space="preserve">5 </w:t>
      </w:r>
      <w:r>
        <w:rPr>
          <w:rFonts w:hint="default" w:ascii="Times New Roman" w:hAnsi="Times New Roman" w:cs="Times New Roman"/>
          <w:color w:val="auto"/>
        </w:rPr>
        <w:t>环境影响</w:t>
      </w:r>
      <w:r>
        <w:rPr>
          <w:rFonts w:hint="default" w:ascii="Times New Roman" w:hAnsi="Times New Roman" w:cs="Times New Roman"/>
          <w:color w:val="auto"/>
          <w:lang w:eastAsia="zh-CN"/>
        </w:rPr>
        <w:t>预测与评价</w:t>
      </w:r>
      <w:r>
        <w:rPr>
          <w:color w:val="auto"/>
        </w:rPr>
        <w:tab/>
      </w:r>
      <w:r>
        <w:rPr>
          <w:color w:val="auto"/>
        </w:rPr>
        <w:fldChar w:fldCharType="begin"/>
      </w:r>
      <w:r>
        <w:rPr>
          <w:color w:val="auto"/>
        </w:rPr>
        <w:instrText xml:space="preserve"> PAGEREF _Toc1053 \h </w:instrText>
      </w:r>
      <w:r>
        <w:rPr>
          <w:color w:val="auto"/>
        </w:rPr>
        <w:fldChar w:fldCharType="separate"/>
      </w:r>
      <w:r>
        <w:rPr>
          <w:color w:val="auto"/>
        </w:rPr>
        <w:t>118</w:t>
      </w:r>
      <w:r>
        <w:rPr>
          <w:color w:val="auto"/>
        </w:rPr>
        <w:fldChar w:fldCharType="end"/>
      </w:r>
      <w:r>
        <w:rPr>
          <w:rFonts w:hint="default" w:ascii="Times New Roman" w:hAnsi="Times New Roman" w:cs="Times New Roman"/>
          <w:color w:val="auto"/>
        </w:rPr>
        <w:fldChar w:fldCharType="end"/>
      </w:r>
    </w:p>
    <w:p w14:paraId="518DAF01">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_Toc14372 </w:instrText>
      </w:r>
      <w:r>
        <w:rPr>
          <w:rFonts w:hint="default" w:ascii="Times New Roman" w:hAnsi="Times New Roman" w:cs="Times New Roman"/>
          <w:color w:val="auto"/>
        </w:rPr>
        <w:fldChar w:fldCharType="separate"/>
      </w:r>
      <w:r>
        <w:rPr>
          <w:rFonts w:hint="default" w:ascii="Times New Roman" w:hAnsi="Times New Roman" w:cs="Times New Roman"/>
          <w:color w:val="auto"/>
        </w:rPr>
        <w:t>5.1</w:t>
      </w:r>
      <w:r>
        <w:rPr>
          <w:rFonts w:hint="default" w:ascii="Times New Roman" w:hAnsi="Times New Roman" w:cs="Times New Roman"/>
          <w:color w:val="auto"/>
          <w:lang w:val="en-US" w:eastAsia="zh-CN"/>
        </w:rPr>
        <w:t xml:space="preserve"> 生态</w:t>
      </w:r>
      <w:r>
        <w:rPr>
          <w:rFonts w:hint="default" w:ascii="Times New Roman" w:hAnsi="Times New Roman" w:cs="Times New Roman"/>
          <w:color w:val="auto"/>
        </w:rPr>
        <w:t>环境影响</w:t>
      </w:r>
      <w:r>
        <w:rPr>
          <w:rFonts w:hint="default" w:ascii="Times New Roman" w:hAnsi="Times New Roman" w:cs="Times New Roman"/>
          <w:color w:val="auto"/>
          <w:lang w:eastAsia="zh-CN"/>
        </w:rPr>
        <w:t>预测与评价</w:t>
      </w:r>
      <w:r>
        <w:rPr>
          <w:color w:val="auto"/>
        </w:rPr>
        <w:tab/>
      </w:r>
      <w:r>
        <w:rPr>
          <w:color w:val="auto"/>
        </w:rPr>
        <w:fldChar w:fldCharType="begin"/>
      </w:r>
      <w:r>
        <w:rPr>
          <w:color w:val="auto"/>
        </w:rPr>
        <w:instrText xml:space="preserve"> PAGEREF _Toc14372 \h </w:instrText>
      </w:r>
      <w:r>
        <w:rPr>
          <w:color w:val="auto"/>
        </w:rPr>
        <w:fldChar w:fldCharType="separate"/>
      </w:r>
      <w:r>
        <w:rPr>
          <w:color w:val="auto"/>
        </w:rPr>
        <w:t>118</w:t>
      </w:r>
      <w:r>
        <w:rPr>
          <w:color w:val="auto"/>
        </w:rPr>
        <w:fldChar w:fldCharType="end"/>
      </w:r>
      <w:r>
        <w:rPr>
          <w:rFonts w:hint="default" w:ascii="Times New Roman" w:hAnsi="Times New Roman" w:cs="Times New Roman"/>
          <w:color w:val="auto"/>
        </w:rPr>
        <w:fldChar w:fldCharType="end"/>
      </w:r>
    </w:p>
    <w:p w14:paraId="767D23D0">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_Toc4329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5.2 大气环境影响预测与评价</w:t>
      </w:r>
      <w:r>
        <w:rPr>
          <w:color w:val="auto"/>
        </w:rPr>
        <w:tab/>
      </w:r>
      <w:r>
        <w:rPr>
          <w:color w:val="auto"/>
        </w:rPr>
        <w:fldChar w:fldCharType="begin"/>
      </w:r>
      <w:r>
        <w:rPr>
          <w:color w:val="auto"/>
        </w:rPr>
        <w:instrText xml:space="preserve"> PAGEREF _Toc4329 \h </w:instrText>
      </w:r>
      <w:r>
        <w:rPr>
          <w:color w:val="auto"/>
        </w:rPr>
        <w:fldChar w:fldCharType="separate"/>
      </w:r>
      <w:r>
        <w:rPr>
          <w:color w:val="auto"/>
        </w:rPr>
        <w:t>126</w:t>
      </w:r>
      <w:r>
        <w:rPr>
          <w:color w:val="auto"/>
        </w:rPr>
        <w:fldChar w:fldCharType="end"/>
      </w:r>
      <w:r>
        <w:rPr>
          <w:rFonts w:hint="default" w:ascii="Times New Roman" w:hAnsi="Times New Roman" w:cs="Times New Roman"/>
          <w:color w:val="auto"/>
        </w:rPr>
        <w:fldChar w:fldCharType="end"/>
      </w:r>
    </w:p>
    <w:p w14:paraId="2F94533B">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_Toc29501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5.3 声环境影响预测与评价</w:t>
      </w:r>
      <w:r>
        <w:rPr>
          <w:color w:val="auto"/>
        </w:rPr>
        <w:tab/>
      </w:r>
      <w:r>
        <w:rPr>
          <w:color w:val="auto"/>
        </w:rPr>
        <w:fldChar w:fldCharType="begin"/>
      </w:r>
      <w:r>
        <w:rPr>
          <w:color w:val="auto"/>
        </w:rPr>
        <w:instrText xml:space="preserve"> PAGEREF _Toc29501 \h </w:instrText>
      </w:r>
      <w:r>
        <w:rPr>
          <w:color w:val="auto"/>
        </w:rPr>
        <w:fldChar w:fldCharType="separate"/>
      </w:r>
      <w:r>
        <w:rPr>
          <w:color w:val="auto"/>
        </w:rPr>
        <w:t>132</w:t>
      </w:r>
      <w:r>
        <w:rPr>
          <w:color w:val="auto"/>
        </w:rPr>
        <w:fldChar w:fldCharType="end"/>
      </w:r>
      <w:r>
        <w:rPr>
          <w:rFonts w:hint="default" w:ascii="Times New Roman" w:hAnsi="Times New Roman" w:cs="Times New Roman"/>
          <w:color w:val="auto"/>
        </w:rPr>
        <w:fldChar w:fldCharType="end"/>
      </w:r>
    </w:p>
    <w:p w14:paraId="755C4025">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_Toc25796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5.4 地表水环境影响预测与评价</w:t>
      </w:r>
      <w:r>
        <w:rPr>
          <w:color w:val="auto"/>
        </w:rPr>
        <w:tab/>
      </w:r>
      <w:r>
        <w:rPr>
          <w:color w:val="auto"/>
        </w:rPr>
        <w:fldChar w:fldCharType="begin"/>
      </w:r>
      <w:r>
        <w:rPr>
          <w:color w:val="auto"/>
        </w:rPr>
        <w:instrText xml:space="preserve"> PAGEREF _Toc25796 \h </w:instrText>
      </w:r>
      <w:r>
        <w:rPr>
          <w:color w:val="auto"/>
        </w:rPr>
        <w:fldChar w:fldCharType="separate"/>
      </w:r>
      <w:r>
        <w:rPr>
          <w:color w:val="auto"/>
        </w:rPr>
        <w:t>149</w:t>
      </w:r>
      <w:r>
        <w:rPr>
          <w:color w:val="auto"/>
        </w:rPr>
        <w:fldChar w:fldCharType="end"/>
      </w:r>
      <w:r>
        <w:rPr>
          <w:rFonts w:hint="default" w:ascii="Times New Roman" w:hAnsi="Times New Roman" w:cs="Times New Roman"/>
          <w:color w:val="auto"/>
        </w:rPr>
        <w:fldChar w:fldCharType="end"/>
      </w:r>
    </w:p>
    <w:p w14:paraId="018E6C50">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_Toc27483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5.5 固体废物影响预测与评价</w:t>
      </w:r>
      <w:r>
        <w:rPr>
          <w:color w:val="auto"/>
        </w:rPr>
        <w:tab/>
      </w:r>
      <w:r>
        <w:rPr>
          <w:color w:val="auto"/>
        </w:rPr>
        <w:fldChar w:fldCharType="begin"/>
      </w:r>
      <w:r>
        <w:rPr>
          <w:color w:val="auto"/>
        </w:rPr>
        <w:instrText xml:space="preserve"> PAGEREF _Toc27483 \h </w:instrText>
      </w:r>
      <w:r>
        <w:rPr>
          <w:color w:val="auto"/>
        </w:rPr>
        <w:fldChar w:fldCharType="separate"/>
      </w:r>
      <w:r>
        <w:rPr>
          <w:color w:val="auto"/>
        </w:rPr>
        <w:t>155</w:t>
      </w:r>
      <w:r>
        <w:rPr>
          <w:color w:val="auto"/>
        </w:rPr>
        <w:fldChar w:fldCharType="end"/>
      </w:r>
      <w:r>
        <w:rPr>
          <w:rFonts w:hint="default" w:ascii="Times New Roman" w:hAnsi="Times New Roman" w:cs="Times New Roman"/>
          <w:color w:val="auto"/>
        </w:rPr>
        <w:fldChar w:fldCharType="end"/>
      </w:r>
    </w:p>
    <w:p w14:paraId="4854F175">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_Toc6147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5.6 环境风险分析</w:t>
      </w:r>
      <w:r>
        <w:rPr>
          <w:color w:val="auto"/>
        </w:rPr>
        <w:tab/>
      </w:r>
      <w:r>
        <w:rPr>
          <w:color w:val="auto"/>
        </w:rPr>
        <w:fldChar w:fldCharType="begin"/>
      </w:r>
      <w:r>
        <w:rPr>
          <w:color w:val="auto"/>
        </w:rPr>
        <w:instrText xml:space="preserve"> PAGEREF _Toc6147 \h </w:instrText>
      </w:r>
      <w:r>
        <w:rPr>
          <w:color w:val="auto"/>
        </w:rPr>
        <w:fldChar w:fldCharType="separate"/>
      </w:r>
      <w:r>
        <w:rPr>
          <w:color w:val="auto"/>
        </w:rPr>
        <w:t>156</w:t>
      </w:r>
      <w:r>
        <w:rPr>
          <w:color w:val="auto"/>
        </w:rPr>
        <w:fldChar w:fldCharType="end"/>
      </w:r>
      <w:r>
        <w:rPr>
          <w:rFonts w:hint="default" w:ascii="Times New Roman" w:hAnsi="Times New Roman" w:cs="Times New Roman"/>
          <w:color w:val="auto"/>
        </w:rPr>
        <w:fldChar w:fldCharType="end"/>
      </w:r>
    </w:p>
    <w:p w14:paraId="2C46D7A2">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_Toc6899 </w:instrText>
      </w:r>
      <w:r>
        <w:rPr>
          <w:rFonts w:hint="default" w:ascii="Times New Roman" w:hAnsi="Times New Roman" w:cs="Times New Roman"/>
          <w:color w:val="auto"/>
        </w:rPr>
        <w:fldChar w:fldCharType="separate"/>
      </w:r>
      <w:r>
        <w:rPr>
          <w:rFonts w:hint="default" w:ascii="Times New Roman" w:hAnsi="Times New Roman" w:cs="Times New Roman"/>
          <w:color w:val="auto"/>
        </w:rPr>
        <w:t>5.7 水土流失影响分析</w:t>
      </w:r>
      <w:r>
        <w:rPr>
          <w:color w:val="auto"/>
        </w:rPr>
        <w:tab/>
      </w:r>
      <w:r>
        <w:rPr>
          <w:color w:val="auto"/>
        </w:rPr>
        <w:fldChar w:fldCharType="begin"/>
      </w:r>
      <w:r>
        <w:rPr>
          <w:color w:val="auto"/>
        </w:rPr>
        <w:instrText xml:space="preserve"> PAGEREF _Toc6899 \h </w:instrText>
      </w:r>
      <w:r>
        <w:rPr>
          <w:color w:val="auto"/>
        </w:rPr>
        <w:fldChar w:fldCharType="separate"/>
      </w:r>
      <w:r>
        <w:rPr>
          <w:color w:val="auto"/>
        </w:rPr>
        <w:t>161</w:t>
      </w:r>
      <w:r>
        <w:rPr>
          <w:color w:val="auto"/>
        </w:rPr>
        <w:fldChar w:fldCharType="end"/>
      </w:r>
      <w:r>
        <w:rPr>
          <w:rFonts w:hint="default" w:ascii="Times New Roman" w:hAnsi="Times New Roman" w:cs="Times New Roman"/>
          <w:color w:val="auto"/>
        </w:rPr>
        <w:fldChar w:fldCharType="end"/>
      </w:r>
    </w:p>
    <w:p w14:paraId="345B8F92">
      <w:pPr>
        <w:pStyle w:val="21"/>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_Toc22743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6 环境保护</w:t>
      </w:r>
      <w:r>
        <w:rPr>
          <w:rFonts w:hint="default" w:ascii="Times New Roman" w:hAnsi="Times New Roman" w:cs="Times New Roman"/>
          <w:color w:val="auto"/>
        </w:rPr>
        <w:t>措施及可行性分析</w:t>
      </w:r>
      <w:r>
        <w:rPr>
          <w:color w:val="auto"/>
        </w:rPr>
        <w:tab/>
      </w:r>
      <w:r>
        <w:rPr>
          <w:color w:val="auto"/>
        </w:rPr>
        <w:fldChar w:fldCharType="begin"/>
      </w:r>
      <w:r>
        <w:rPr>
          <w:color w:val="auto"/>
        </w:rPr>
        <w:instrText xml:space="preserve"> PAGEREF _Toc22743 \h </w:instrText>
      </w:r>
      <w:r>
        <w:rPr>
          <w:color w:val="auto"/>
        </w:rPr>
        <w:fldChar w:fldCharType="separate"/>
      </w:r>
      <w:r>
        <w:rPr>
          <w:color w:val="auto"/>
        </w:rPr>
        <w:t>164</w:t>
      </w:r>
      <w:r>
        <w:rPr>
          <w:color w:val="auto"/>
        </w:rPr>
        <w:fldChar w:fldCharType="end"/>
      </w:r>
      <w:r>
        <w:rPr>
          <w:rFonts w:hint="default" w:ascii="Times New Roman" w:hAnsi="Times New Roman" w:cs="Times New Roman"/>
          <w:color w:val="auto"/>
        </w:rPr>
        <w:fldChar w:fldCharType="end"/>
      </w:r>
    </w:p>
    <w:p w14:paraId="2E111062">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_Toc26306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6</w:t>
      </w:r>
      <w:r>
        <w:rPr>
          <w:rFonts w:hint="default" w:ascii="Times New Roman" w:hAnsi="Times New Roman" w:cs="Times New Roman"/>
          <w:color w:val="auto"/>
        </w:rPr>
        <w:t>.1</w:t>
      </w:r>
      <w:r>
        <w:rPr>
          <w:rFonts w:hint="default" w:ascii="Times New Roman" w:hAnsi="Times New Roman" w:cs="Times New Roman"/>
          <w:color w:val="auto"/>
          <w:lang w:val="en-US" w:eastAsia="zh-CN"/>
        </w:rPr>
        <w:t xml:space="preserve"> 生态保护措施</w:t>
      </w:r>
      <w:r>
        <w:rPr>
          <w:color w:val="auto"/>
        </w:rPr>
        <w:tab/>
      </w:r>
      <w:r>
        <w:rPr>
          <w:color w:val="auto"/>
        </w:rPr>
        <w:fldChar w:fldCharType="begin"/>
      </w:r>
      <w:r>
        <w:rPr>
          <w:color w:val="auto"/>
        </w:rPr>
        <w:instrText xml:space="preserve"> PAGEREF _Toc26306 \h </w:instrText>
      </w:r>
      <w:r>
        <w:rPr>
          <w:color w:val="auto"/>
        </w:rPr>
        <w:fldChar w:fldCharType="separate"/>
      </w:r>
      <w:r>
        <w:rPr>
          <w:color w:val="auto"/>
        </w:rPr>
        <w:t>164</w:t>
      </w:r>
      <w:r>
        <w:rPr>
          <w:color w:val="auto"/>
        </w:rPr>
        <w:fldChar w:fldCharType="end"/>
      </w:r>
      <w:r>
        <w:rPr>
          <w:rFonts w:hint="default" w:ascii="Times New Roman" w:hAnsi="Times New Roman" w:cs="Times New Roman"/>
          <w:color w:val="auto"/>
        </w:rPr>
        <w:fldChar w:fldCharType="end"/>
      </w:r>
    </w:p>
    <w:p w14:paraId="2AAFCD43">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_Toc21292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6.2 水环境影响减缓措施</w:t>
      </w:r>
      <w:r>
        <w:rPr>
          <w:color w:val="auto"/>
        </w:rPr>
        <w:tab/>
      </w:r>
      <w:r>
        <w:rPr>
          <w:color w:val="auto"/>
        </w:rPr>
        <w:fldChar w:fldCharType="begin"/>
      </w:r>
      <w:r>
        <w:rPr>
          <w:color w:val="auto"/>
        </w:rPr>
        <w:instrText xml:space="preserve"> PAGEREF _Toc21292 \h </w:instrText>
      </w:r>
      <w:r>
        <w:rPr>
          <w:color w:val="auto"/>
        </w:rPr>
        <w:fldChar w:fldCharType="separate"/>
      </w:r>
      <w:r>
        <w:rPr>
          <w:color w:val="auto"/>
        </w:rPr>
        <w:t>170</w:t>
      </w:r>
      <w:r>
        <w:rPr>
          <w:color w:val="auto"/>
        </w:rPr>
        <w:fldChar w:fldCharType="end"/>
      </w:r>
      <w:r>
        <w:rPr>
          <w:rFonts w:hint="default" w:ascii="Times New Roman" w:hAnsi="Times New Roman" w:cs="Times New Roman"/>
          <w:color w:val="auto"/>
        </w:rPr>
        <w:fldChar w:fldCharType="end"/>
      </w:r>
    </w:p>
    <w:p w14:paraId="6A187529">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_Toc17562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6.3 环境空气影响减缓措施</w:t>
      </w:r>
      <w:r>
        <w:rPr>
          <w:color w:val="auto"/>
        </w:rPr>
        <w:tab/>
      </w:r>
      <w:r>
        <w:rPr>
          <w:color w:val="auto"/>
        </w:rPr>
        <w:fldChar w:fldCharType="begin"/>
      </w:r>
      <w:r>
        <w:rPr>
          <w:color w:val="auto"/>
        </w:rPr>
        <w:instrText xml:space="preserve"> PAGEREF _Toc17562 \h </w:instrText>
      </w:r>
      <w:r>
        <w:rPr>
          <w:color w:val="auto"/>
        </w:rPr>
        <w:fldChar w:fldCharType="separate"/>
      </w:r>
      <w:r>
        <w:rPr>
          <w:color w:val="auto"/>
        </w:rPr>
        <w:t>174</w:t>
      </w:r>
      <w:r>
        <w:rPr>
          <w:color w:val="auto"/>
        </w:rPr>
        <w:fldChar w:fldCharType="end"/>
      </w:r>
      <w:r>
        <w:rPr>
          <w:rFonts w:hint="default" w:ascii="Times New Roman" w:hAnsi="Times New Roman" w:cs="Times New Roman"/>
          <w:color w:val="auto"/>
        </w:rPr>
        <w:fldChar w:fldCharType="end"/>
      </w:r>
    </w:p>
    <w:p w14:paraId="331173A4">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_Toc15783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6.4 声环境影响减缓措施</w:t>
      </w:r>
      <w:r>
        <w:rPr>
          <w:color w:val="auto"/>
        </w:rPr>
        <w:tab/>
      </w:r>
      <w:r>
        <w:rPr>
          <w:color w:val="auto"/>
        </w:rPr>
        <w:fldChar w:fldCharType="begin"/>
      </w:r>
      <w:r>
        <w:rPr>
          <w:color w:val="auto"/>
        </w:rPr>
        <w:instrText xml:space="preserve"> PAGEREF _Toc15783 \h </w:instrText>
      </w:r>
      <w:r>
        <w:rPr>
          <w:color w:val="auto"/>
        </w:rPr>
        <w:fldChar w:fldCharType="separate"/>
      </w:r>
      <w:r>
        <w:rPr>
          <w:color w:val="auto"/>
        </w:rPr>
        <w:t>177</w:t>
      </w:r>
      <w:r>
        <w:rPr>
          <w:color w:val="auto"/>
        </w:rPr>
        <w:fldChar w:fldCharType="end"/>
      </w:r>
      <w:r>
        <w:rPr>
          <w:rFonts w:hint="default" w:ascii="Times New Roman" w:hAnsi="Times New Roman" w:cs="Times New Roman"/>
          <w:color w:val="auto"/>
        </w:rPr>
        <w:fldChar w:fldCharType="end"/>
      </w:r>
    </w:p>
    <w:p w14:paraId="6D047975">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_Toc19151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6.5 固体废物环境保护措施</w:t>
      </w:r>
      <w:r>
        <w:rPr>
          <w:color w:val="auto"/>
        </w:rPr>
        <w:tab/>
      </w:r>
      <w:r>
        <w:rPr>
          <w:color w:val="auto"/>
        </w:rPr>
        <w:fldChar w:fldCharType="begin"/>
      </w:r>
      <w:r>
        <w:rPr>
          <w:color w:val="auto"/>
        </w:rPr>
        <w:instrText xml:space="preserve"> PAGEREF _Toc19151 \h </w:instrText>
      </w:r>
      <w:r>
        <w:rPr>
          <w:color w:val="auto"/>
        </w:rPr>
        <w:fldChar w:fldCharType="separate"/>
      </w:r>
      <w:r>
        <w:rPr>
          <w:color w:val="auto"/>
        </w:rPr>
        <w:t>179</w:t>
      </w:r>
      <w:r>
        <w:rPr>
          <w:color w:val="auto"/>
        </w:rPr>
        <w:fldChar w:fldCharType="end"/>
      </w:r>
      <w:r>
        <w:rPr>
          <w:rFonts w:hint="default" w:ascii="Times New Roman" w:hAnsi="Times New Roman" w:cs="Times New Roman"/>
          <w:color w:val="auto"/>
        </w:rPr>
        <w:fldChar w:fldCharType="end"/>
      </w:r>
    </w:p>
    <w:p w14:paraId="46D4878A">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_Toc20479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6.6 环境风险防范措施</w:t>
      </w:r>
      <w:r>
        <w:rPr>
          <w:color w:val="auto"/>
        </w:rPr>
        <w:tab/>
      </w:r>
      <w:r>
        <w:rPr>
          <w:color w:val="auto"/>
        </w:rPr>
        <w:fldChar w:fldCharType="begin"/>
      </w:r>
      <w:r>
        <w:rPr>
          <w:color w:val="auto"/>
        </w:rPr>
        <w:instrText xml:space="preserve"> PAGEREF _Toc20479 \h </w:instrText>
      </w:r>
      <w:r>
        <w:rPr>
          <w:color w:val="auto"/>
        </w:rPr>
        <w:fldChar w:fldCharType="separate"/>
      </w:r>
      <w:r>
        <w:rPr>
          <w:color w:val="auto"/>
        </w:rPr>
        <w:t>180</w:t>
      </w:r>
      <w:r>
        <w:rPr>
          <w:color w:val="auto"/>
        </w:rPr>
        <w:fldChar w:fldCharType="end"/>
      </w:r>
      <w:r>
        <w:rPr>
          <w:rFonts w:hint="default" w:ascii="Times New Roman" w:hAnsi="Times New Roman" w:cs="Times New Roman"/>
          <w:color w:val="auto"/>
        </w:rPr>
        <w:fldChar w:fldCharType="end"/>
      </w:r>
    </w:p>
    <w:p w14:paraId="4DDF8916">
      <w:pPr>
        <w:pStyle w:val="21"/>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_Toc29159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7 环境影响经济损益分析</w:t>
      </w:r>
      <w:r>
        <w:rPr>
          <w:color w:val="auto"/>
        </w:rPr>
        <w:tab/>
      </w:r>
      <w:r>
        <w:rPr>
          <w:color w:val="auto"/>
        </w:rPr>
        <w:fldChar w:fldCharType="begin"/>
      </w:r>
      <w:r>
        <w:rPr>
          <w:color w:val="auto"/>
        </w:rPr>
        <w:instrText xml:space="preserve"> PAGEREF _Toc29159 \h </w:instrText>
      </w:r>
      <w:r>
        <w:rPr>
          <w:color w:val="auto"/>
        </w:rPr>
        <w:fldChar w:fldCharType="separate"/>
      </w:r>
      <w:r>
        <w:rPr>
          <w:color w:val="auto"/>
        </w:rPr>
        <w:t>189</w:t>
      </w:r>
      <w:r>
        <w:rPr>
          <w:color w:val="auto"/>
        </w:rPr>
        <w:fldChar w:fldCharType="end"/>
      </w:r>
      <w:r>
        <w:rPr>
          <w:rFonts w:hint="default" w:ascii="Times New Roman" w:hAnsi="Times New Roman" w:cs="Times New Roman"/>
          <w:color w:val="auto"/>
        </w:rPr>
        <w:fldChar w:fldCharType="end"/>
      </w:r>
    </w:p>
    <w:p w14:paraId="43A504A3">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_Toc4464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7.1 经济效益分析</w:t>
      </w:r>
      <w:r>
        <w:rPr>
          <w:color w:val="auto"/>
        </w:rPr>
        <w:tab/>
      </w:r>
      <w:r>
        <w:rPr>
          <w:color w:val="auto"/>
        </w:rPr>
        <w:fldChar w:fldCharType="begin"/>
      </w:r>
      <w:r>
        <w:rPr>
          <w:color w:val="auto"/>
        </w:rPr>
        <w:instrText xml:space="preserve"> PAGEREF _Toc4464 \h </w:instrText>
      </w:r>
      <w:r>
        <w:rPr>
          <w:color w:val="auto"/>
        </w:rPr>
        <w:fldChar w:fldCharType="separate"/>
      </w:r>
      <w:r>
        <w:rPr>
          <w:color w:val="auto"/>
        </w:rPr>
        <w:t>189</w:t>
      </w:r>
      <w:r>
        <w:rPr>
          <w:color w:val="auto"/>
        </w:rPr>
        <w:fldChar w:fldCharType="end"/>
      </w:r>
      <w:r>
        <w:rPr>
          <w:rFonts w:hint="default" w:ascii="Times New Roman" w:hAnsi="Times New Roman" w:cs="Times New Roman"/>
          <w:color w:val="auto"/>
        </w:rPr>
        <w:fldChar w:fldCharType="end"/>
      </w:r>
    </w:p>
    <w:p w14:paraId="2BAABA4C">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_Toc17888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7.2 社会效益分析</w:t>
      </w:r>
      <w:r>
        <w:rPr>
          <w:color w:val="auto"/>
        </w:rPr>
        <w:tab/>
      </w:r>
      <w:r>
        <w:rPr>
          <w:color w:val="auto"/>
        </w:rPr>
        <w:fldChar w:fldCharType="begin"/>
      </w:r>
      <w:r>
        <w:rPr>
          <w:color w:val="auto"/>
        </w:rPr>
        <w:instrText xml:space="preserve"> PAGEREF _Toc17888 \h </w:instrText>
      </w:r>
      <w:r>
        <w:rPr>
          <w:color w:val="auto"/>
        </w:rPr>
        <w:fldChar w:fldCharType="separate"/>
      </w:r>
      <w:r>
        <w:rPr>
          <w:color w:val="auto"/>
        </w:rPr>
        <w:t>190</w:t>
      </w:r>
      <w:r>
        <w:rPr>
          <w:color w:val="auto"/>
        </w:rPr>
        <w:fldChar w:fldCharType="end"/>
      </w:r>
      <w:r>
        <w:rPr>
          <w:rFonts w:hint="default" w:ascii="Times New Roman" w:hAnsi="Times New Roman" w:cs="Times New Roman"/>
          <w:color w:val="auto"/>
        </w:rPr>
        <w:fldChar w:fldCharType="end"/>
      </w:r>
    </w:p>
    <w:p w14:paraId="6D9DC606">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_Toc2023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7.3 环境效益分析</w:t>
      </w:r>
      <w:r>
        <w:rPr>
          <w:color w:val="auto"/>
        </w:rPr>
        <w:tab/>
      </w:r>
      <w:r>
        <w:rPr>
          <w:color w:val="auto"/>
        </w:rPr>
        <w:fldChar w:fldCharType="begin"/>
      </w:r>
      <w:r>
        <w:rPr>
          <w:color w:val="auto"/>
        </w:rPr>
        <w:instrText xml:space="preserve"> PAGEREF _Toc2023 \h </w:instrText>
      </w:r>
      <w:r>
        <w:rPr>
          <w:color w:val="auto"/>
        </w:rPr>
        <w:fldChar w:fldCharType="separate"/>
      </w:r>
      <w:r>
        <w:rPr>
          <w:color w:val="auto"/>
        </w:rPr>
        <w:t>191</w:t>
      </w:r>
      <w:r>
        <w:rPr>
          <w:color w:val="auto"/>
        </w:rPr>
        <w:fldChar w:fldCharType="end"/>
      </w:r>
      <w:r>
        <w:rPr>
          <w:rFonts w:hint="default" w:ascii="Times New Roman" w:hAnsi="Times New Roman" w:cs="Times New Roman"/>
          <w:color w:val="auto"/>
        </w:rPr>
        <w:fldChar w:fldCharType="end"/>
      </w:r>
    </w:p>
    <w:p w14:paraId="7C5B61CE">
      <w:pPr>
        <w:pStyle w:val="21"/>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_Toc28112 </w:instrText>
      </w:r>
      <w:r>
        <w:rPr>
          <w:rFonts w:hint="default" w:ascii="Times New Roman" w:hAnsi="Times New Roman" w:cs="Times New Roman"/>
          <w:color w:val="auto"/>
        </w:rPr>
        <w:fldChar w:fldCharType="separate"/>
      </w:r>
      <w:r>
        <w:rPr>
          <w:rFonts w:hint="default" w:ascii="Times New Roman" w:hAnsi="Times New Roman" w:cs="Times New Roman"/>
          <w:color w:val="auto"/>
        </w:rPr>
        <w:t>8</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环境管理与监测计划</w:t>
      </w:r>
      <w:r>
        <w:rPr>
          <w:color w:val="auto"/>
        </w:rPr>
        <w:tab/>
      </w:r>
      <w:r>
        <w:rPr>
          <w:color w:val="auto"/>
        </w:rPr>
        <w:fldChar w:fldCharType="begin"/>
      </w:r>
      <w:r>
        <w:rPr>
          <w:color w:val="auto"/>
        </w:rPr>
        <w:instrText xml:space="preserve"> PAGEREF _Toc28112 \h </w:instrText>
      </w:r>
      <w:r>
        <w:rPr>
          <w:color w:val="auto"/>
        </w:rPr>
        <w:fldChar w:fldCharType="separate"/>
      </w:r>
      <w:r>
        <w:rPr>
          <w:color w:val="auto"/>
        </w:rPr>
        <w:t>195</w:t>
      </w:r>
      <w:r>
        <w:rPr>
          <w:color w:val="auto"/>
        </w:rPr>
        <w:fldChar w:fldCharType="end"/>
      </w:r>
      <w:r>
        <w:rPr>
          <w:rFonts w:hint="default" w:ascii="Times New Roman" w:hAnsi="Times New Roman" w:cs="Times New Roman"/>
          <w:color w:val="auto"/>
        </w:rPr>
        <w:fldChar w:fldCharType="end"/>
      </w:r>
    </w:p>
    <w:p w14:paraId="32854BA4">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_Toc5640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8</w:t>
      </w:r>
      <w:r>
        <w:rPr>
          <w:rFonts w:hint="default" w:ascii="Times New Roman" w:hAnsi="Times New Roman" w:cs="Times New Roman"/>
          <w:color w:val="auto"/>
        </w:rPr>
        <w:t>.1</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环境管理</w:t>
      </w:r>
      <w:r>
        <w:rPr>
          <w:rFonts w:hint="default" w:ascii="Times New Roman" w:hAnsi="Times New Roman" w:cs="Times New Roman"/>
          <w:color w:val="auto"/>
          <w:lang w:val="en-US" w:eastAsia="zh-CN"/>
        </w:rPr>
        <w:t>计划</w:t>
      </w:r>
      <w:r>
        <w:rPr>
          <w:color w:val="auto"/>
        </w:rPr>
        <w:tab/>
      </w:r>
      <w:r>
        <w:rPr>
          <w:color w:val="auto"/>
        </w:rPr>
        <w:fldChar w:fldCharType="begin"/>
      </w:r>
      <w:r>
        <w:rPr>
          <w:color w:val="auto"/>
        </w:rPr>
        <w:instrText xml:space="preserve"> PAGEREF _Toc5640 \h </w:instrText>
      </w:r>
      <w:r>
        <w:rPr>
          <w:color w:val="auto"/>
        </w:rPr>
        <w:fldChar w:fldCharType="separate"/>
      </w:r>
      <w:r>
        <w:rPr>
          <w:color w:val="auto"/>
        </w:rPr>
        <w:t>195</w:t>
      </w:r>
      <w:r>
        <w:rPr>
          <w:color w:val="auto"/>
        </w:rPr>
        <w:fldChar w:fldCharType="end"/>
      </w:r>
      <w:r>
        <w:rPr>
          <w:rFonts w:hint="default" w:ascii="Times New Roman" w:hAnsi="Times New Roman" w:cs="Times New Roman"/>
          <w:color w:val="auto"/>
        </w:rPr>
        <w:fldChar w:fldCharType="end"/>
      </w:r>
    </w:p>
    <w:p w14:paraId="0E92EAD8">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_Toc13750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8.2 环境监理计划</w:t>
      </w:r>
      <w:r>
        <w:rPr>
          <w:color w:val="auto"/>
        </w:rPr>
        <w:tab/>
      </w:r>
      <w:r>
        <w:rPr>
          <w:color w:val="auto"/>
        </w:rPr>
        <w:fldChar w:fldCharType="begin"/>
      </w:r>
      <w:r>
        <w:rPr>
          <w:color w:val="auto"/>
        </w:rPr>
        <w:instrText xml:space="preserve"> PAGEREF _Toc13750 \h </w:instrText>
      </w:r>
      <w:r>
        <w:rPr>
          <w:color w:val="auto"/>
        </w:rPr>
        <w:fldChar w:fldCharType="separate"/>
      </w:r>
      <w:r>
        <w:rPr>
          <w:color w:val="auto"/>
        </w:rPr>
        <w:t>199</w:t>
      </w:r>
      <w:r>
        <w:rPr>
          <w:color w:val="auto"/>
        </w:rPr>
        <w:fldChar w:fldCharType="end"/>
      </w:r>
      <w:r>
        <w:rPr>
          <w:rFonts w:hint="default" w:ascii="Times New Roman" w:hAnsi="Times New Roman" w:cs="Times New Roman"/>
          <w:color w:val="auto"/>
        </w:rPr>
        <w:fldChar w:fldCharType="end"/>
      </w:r>
    </w:p>
    <w:p w14:paraId="4F6FFA72">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_Toc23325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8.3 环境监测计划</w:t>
      </w:r>
      <w:r>
        <w:rPr>
          <w:color w:val="auto"/>
        </w:rPr>
        <w:tab/>
      </w:r>
      <w:r>
        <w:rPr>
          <w:color w:val="auto"/>
        </w:rPr>
        <w:fldChar w:fldCharType="begin"/>
      </w:r>
      <w:r>
        <w:rPr>
          <w:color w:val="auto"/>
        </w:rPr>
        <w:instrText xml:space="preserve"> PAGEREF _Toc23325 \h </w:instrText>
      </w:r>
      <w:r>
        <w:rPr>
          <w:color w:val="auto"/>
        </w:rPr>
        <w:fldChar w:fldCharType="separate"/>
      </w:r>
      <w:r>
        <w:rPr>
          <w:color w:val="auto"/>
        </w:rPr>
        <w:t>202</w:t>
      </w:r>
      <w:r>
        <w:rPr>
          <w:color w:val="auto"/>
        </w:rPr>
        <w:fldChar w:fldCharType="end"/>
      </w:r>
      <w:r>
        <w:rPr>
          <w:rFonts w:hint="default" w:ascii="Times New Roman" w:hAnsi="Times New Roman" w:cs="Times New Roman"/>
          <w:color w:val="auto"/>
        </w:rPr>
        <w:fldChar w:fldCharType="end"/>
      </w:r>
    </w:p>
    <w:p w14:paraId="65CEAB0C">
      <w:pPr>
        <w:pStyle w:val="21"/>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_Toc13633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 xml:space="preserve">9 </w:t>
      </w:r>
      <w:r>
        <w:rPr>
          <w:rFonts w:hint="default" w:ascii="Times New Roman" w:hAnsi="Times New Roman" w:cs="Times New Roman"/>
          <w:color w:val="auto"/>
          <w:lang w:val="en-US"/>
        </w:rPr>
        <w:t>结论及建议</w:t>
      </w:r>
      <w:r>
        <w:rPr>
          <w:color w:val="auto"/>
        </w:rPr>
        <w:tab/>
      </w:r>
      <w:r>
        <w:rPr>
          <w:color w:val="auto"/>
        </w:rPr>
        <w:fldChar w:fldCharType="begin"/>
      </w:r>
      <w:r>
        <w:rPr>
          <w:color w:val="auto"/>
        </w:rPr>
        <w:instrText xml:space="preserve"> PAGEREF _Toc13633 \h </w:instrText>
      </w:r>
      <w:r>
        <w:rPr>
          <w:color w:val="auto"/>
        </w:rPr>
        <w:fldChar w:fldCharType="separate"/>
      </w:r>
      <w:r>
        <w:rPr>
          <w:color w:val="auto"/>
        </w:rPr>
        <w:t>204</w:t>
      </w:r>
      <w:r>
        <w:rPr>
          <w:color w:val="auto"/>
        </w:rPr>
        <w:fldChar w:fldCharType="end"/>
      </w:r>
      <w:r>
        <w:rPr>
          <w:rFonts w:hint="default" w:ascii="Times New Roman" w:hAnsi="Times New Roman" w:cs="Times New Roman"/>
          <w:color w:val="auto"/>
        </w:rPr>
        <w:fldChar w:fldCharType="end"/>
      </w:r>
    </w:p>
    <w:p w14:paraId="753DECF0">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_Toc187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9.1 环境影响评价结论</w:t>
      </w:r>
      <w:r>
        <w:rPr>
          <w:color w:val="auto"/>
        </w:rPr>
        <w:tab/>
      </w:r>
      <w:r>
        <w:rPr>
          <w:color w:val="auto"/>
        </w:rPr>
        <w:fldChar w:fldCharType="begin"/>
      </w:r>
      <w:r>
        <w:rPr>
          <w:color w:val="auto"/>
        </w:rPr>
        <w:instrText xml:space="preserve"> PAGEREF _Toc187 \h </w:instrText>
      </w:r>
      <w:r>
        <w:rPr>
          <w:color w:val="auto"/>
        </w:rPr>
        <w:fldChar w:fldCharType="separate"/>
      </w:r>
      <w:r>
        <w:rPr>
          <w:color w:val="auto"/>
        </w:rPr>
        <w:t>204</w:t>
      </w:r>
      <w:r>
        <w:rPr>
          <w:color w:val="auto"/>
        </w:rPr>
        <w:fldChar w:fldCharType="end"/>
      </w:r>
      <w:r>
        <w:rPr>
          <w:rFonts w:hint="default" w:ascii="Times New Roman" w:hAnsi="Times New Roman" w:cs="Times New Roman"/>
          <w:color w:val="auto"/>
        </w:rPr>
        <w:fldChar w:fldCharType="end"/>
      </w:r>
    </w:p>
    <w:p w14:paraId="11B56066">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_Toc9682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9.2 主要环境影响</w:t>
      </w:r>
      <w:r>
        <w:rPr>
          <w:color w:val="auto"/>
        </w:rPr>
        <w:tab/>
      </w:r>
      <w:r>
        <w:rPr>
          <w:color w:val="auto"/>
        </w:rPr>
        <w:fldChar w:fldCharType="begin"/>
      </w:r>
      <w:r>
        <w:rPr>
          <w:color w:val="auto"/>
        </w:rPr>
        <w:instrText xml:space="preserve"> PAGEREF _Toc9682 \h </w:instrText>
      </w:r>
      <w:r>
        <w:rPr>
          <w:color w:val="auto"/>
        </w:rPr>
        <w:fldChar w:fldCharType="separate"/>
      </w:r>
      <w:r>
        <w:rPr>
          <w:color w:val="auto"/>
        </w:rPr>
        <w:t>205</w:t>
      </w:r>
      <w:r>
        <w:rPr>
          <w:color w:val="auto"/>
        </w:rPr>
        <w:fldChar w:fldCharType="end"/>
      </w:r>
      <w:r>
        <w:rPr>
          <w:rFonts w:hint="default" w:ascii="Times New Roman" w:hAnsi="Times New Roman" w:cs="Times New Roman"/>
          <w:color w:val="auto"/>
        </w:rPr>
        <w:fldChar w:fldCharType="end"/>
      </w:r>
    </w:p>
    <w:p w14:paraId="1727BF03">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_Toc8300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9.3 主要环境保护措施</w:t>
      </w:r>
      <w:r>
        <w:rPr>
          <w:color w:val="auto"/>
        </w:rPr>
        <w:tab/>
      </w:r>
      <w:r>
        <w:rPr>
          <w:color w:val="auto"/>
        </w:rPr>
        <w:fldChar w:fldCharType="begin"/>
      </w:r>
      <w:r>
        <w:rPr>
          <w:color w:val="auto"/>
        </w:rPr>
        <w:instrText xml:space="preserve"> PAGEREF _Toc8300 \h </w:instrText>
      </w:r>
      <w:r>
        <w:rPr>
          <w:color w:val="auto"/>
        </w:rPr>
        <w:fldChar w:fldCharType="separate"/>
      </w:r>
      <w:r>
        <w:rPr>
          <w:color w:val="auto"/>
        </w:rPr>
        <w:t>206</w:t>
      </w:r>
      <w:r>
        <w:rPr>
          <w:color w:val="auto"/>
        </w:rPr>
        <w:fldChar w:fldCharType="end"/>
      </w:r>
      <w:r>
        <w:rPr>
          <w:rFonts w:hint="default" w:ascii="Times New Roman" w:hAnsi="Times New Roman" w:cs="Times New Roman"/>
          <w:color w:val="auto"/>
        </w:rPr>
        <w:fldChar w:fldCharType="end"/>
      </w:r>
    </w:p>
    <w:p w14:paraId="339EB2A5">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_Toc32424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9.4 环境管理及监测计划</w:t>
      </w:r>
      <w:r>
        <w:rPr>
          <w:color w:val="auto"/>
        </w:rPr>
        <w:tab/>
      </w:r>
      <w:r>
        <w:rPr>
          <w:color w:val="auto"/>
        </w:rPr>
        <w:fldChar w:fldCharType="begin"/>
      </w:r>
      <w:r>
        <w:rPr>
          <w:color w:val="auto"/>
        </w:rPr>
        <w:instrText xml:space="preserve"> PAGEREF _Toc32424 \h </w:instrText>
      </w:r>
      <w:r>
        <w:rPr>
          <w:color w:val="auto"/>
        </w:rPr>
        <w:fldChar w:fldCharType="separate"/>
      </w:r>
      <w:r>
        <w:rPr>
          <w:color w:val="auto"/>
        </w:rPr>
        <w:t>207</w:t>
      </w:r>
      <w:r>
        <w:rPr>
          <w:color w:val="auto"/>
        </w:rPr>
        <w:fldChar w:fldCharType="end"/>
      </w:r>
      <w:r>
        <w:rPr>
          <w:rFonts w:hint="default" w:ascii="Times New Roman" w:hAnsi="Times New Roman" w:cs="Times New Roman"/>
          <w:color w:val="auto"/>
        </w:rPr>
        <w:fldChar w:fldCharType="end"/>
      </w:r>
    </w:p>
    <w:p w14:paraId="328E8585">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_Toc18859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9</w:t>
      </w:r>
      <w:r>
        <w:rPr>
          <w:rFonts w:hint="default" w:ascii="Times New Roman" w:hAnsi="Times New Roman" w:cs="Times New Roman"/>
          <w:color w:val="auto"/>
        </w:rPr>
        <w:t>.</w:t>
      </w:r>
      <w:r>
        <w:rPr>
          <w:rFonts w:hint="default" w:ascii="Times New Roman" w:hAnsi="Times New Roman" w:cs="Times New Roman"/>
          <w:color w:val="auto"/>
          <w:lang w:val="en-US" w:eastAsia="zh-CN"/>
        </w:rPr>
        <w:t xml:space="preserve">5 </w:t>
      </w:r>
      <w:r>
        <w:rPr>
          <w:rFonts w:hint="eastAsia" w:cs="Times New Roman"/>
          <w:color w:val="auto"/>
          <w:lang w:val="en-US" w:eastAsia="zh-CN"/>
        </w:rPr>
        <w:t>公众参与</w:t>
      </w:r>
      <w:r>
        <w:rPr>
          <w:color w:val="auto"/>
        </w:rPr>
        <w:tab/>
      </w:r>
      <w:r>
        <w:rPr>
          <w:color w:val="auto"/>
        </w:rPr>
        <w:fldChar w:fldCharType="begin"/>
      </w:r>
      <w:r>
        <w:rPr>
          <w:color w:val="auto"/>
        </w:rPr>
        <w:instrText xml:space="preserve"> PAGEREF _Toc18859 \h </w:instrText>
      </w:r>
      <w:r>
        <w:rPr>
          <w:color w:val="auto"/>
        </w:rPr>
        <w:fldChar w:fldCharType="separate"/>
      </w:r>
      <w:r>
        <w:rPr>
          <w:color w:val="auto"/>
        </w:rPr>
        <w:t>208</w:t>
      </w:r>
      <w:r>
        <w:rPr>
          <w:color w:val="auto"/>
        </w:rPr>
        <w:fldChar w:fldCharType="end"/>
      </w:r>
      <w:r>
        <w:rPr>
          <w:rFonts w:hint="default" w:ascii="Times New Roman" w:hAnsi="Times New Roman" w:cs="Times New Roman"/>
          <w:color w:val="auto"/>
        </w:rPr>
        <w:fldChar w:fldCharType="end"/>
      </w:r>
    </w:p>
    <w:p w14:paraId="75875AE0">
      <w:pPr>
        <w:pStyle w:val="26"/>
        <w:tabs>
          <w:tab w:val="right" w:leader="dot" w:pos="8306"/>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_Toc30267 </w:instrText>
      </w:r>
      <w:r>
        <w:rPr>
          <w:rFonts w:hint="default" w:ascii="Times New Roman" w:hAnsi="Times New Roman" w:cs="Times New Roman"/>
          <w:color w:val="auto"/>
        </w:rPr>
        <w:fldChar w:fldCharType="separate"/>
      </w:r>
      <w:r>
        <w:rPr>
          <w:rFonts w:hint="eastAsia" w:cs="Times New Roman"/>
          <w:color w:val="auto"/>
          <w:lang w:val="en-US" w:eastAsia="zh-CN"/>
        </w:rPr>
        <w:t>9.6</w:t>
      </w:r>
      <w:r>
        <w:rPr>
          <w:rFonts w:hint="default" w:ascii="Times New Roman" w:hAnsi="Times New Roman" w:cs="Times New Roman"/>
          <w:color w:val="auto"/>
          <w:lang w:val="en-US" w:eastAsia="zh-CN"/>
        </w:rPr>
        <w:t>评价</w:t>
      </w:r>
      <w:r>
        <w:rPr>
          <w:rFonts w:hint="default" w:ascii="Times New Roman" w:hAnsi="Times New Roman" w:cs="Times New Roman"/>
          <w:color w:val="auto"/>
        </w:rPr>
        <w:t>结论</w:t>
      </w:r>
      <w:r>
        <w:rPr>
          <w:color w:val="auto"/>
        </w:rPr>
        <w:tab/>
      </w:r>
      <w:r>
        <w:rPr>
          <w:color w:val="auto"/>
        </w:rPr>
        <w:fldChar w:fldCharType="begin"/>
      </w:r>
      <w:r>
        <w:rPr>
          <w:color w:val="auto"/>
        </w:rPr>
        <w:instrText xml:space="preserve"> PAGEREF _Toc30267 \h </w:instrText>
      </w:r>
      <w:r>
        <w:rPr>
          <w:color w:val="auto"/>
        </w:rPr>
        <w:fldChar w:fldCharType="separate"/>
      </w:r>
      <w:r>
        <w:rPr>
          <w:color w:val="auto"/>
        </w:rPr>
        <w:t>208</w:t>
      </w:r>
      <w:r>
        <w:rPr>
          <w:color w:val="auto"/>
        </w:rPr>
        <w:fldChar w:fldCharType="end"/>
      </w:r>
      <w:r>
        <w:rPr>
          <w:rFonts w:hint="default" w:ascii="Times New Roman" w:hAnsi="Times New Roman" w:cs="Times New Roman"/>
          <w:color w:val="auto"/>
        </w:rPr>
        <w:fldChar w:fldCharType="end"/>
      </w:r>
    </w:p>
    <w:p w14:paraId="6E511523">
      <w:pPr>
        <w:rPr>
          <w:rFonts w:hint="default" w:ascii="Times New Roman" w:hAnsi="Times New Roman" w:cs="Times New Roman"/>
          <w:color w:val="auto"/>
        </w:rPr>
      </w:pPr>
      <w:r>
        <w:rPr>
          <w:rFonts w:hint="default" w:ascii="Times New Roman" w:hAnsi="Times New Roman" w:cs="Times New Roman"/>
          <w:color w:val="auto"/>
        </w:rPr>
        <w:fldChar w:fldCharType="end"/>
      </w:r>
    </w:p>
    <w:p w14:paraId="6BE13452">
      <w:pPr>
        <w:keepNext w:val="0"/>
        <w:keepLines w:val="0"/>
        <w:pageBreakBefore w:val="0"/>
        <w:widowControl w:val="0"/>
        <w:tabs>
          <w:tab w:val="left" w:pos="3195"/>
        </w:tabs>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color w:val="auto"/>
        </w:rPr>
      </w:pPr>
    </w:p>
    <w:p w14:paraId="7DD1F616">
      <w:pPr>
        <w:pStyle w:val="5"/>
        <w:rPr>
          <w:rFonts w:hint="default" w:ascii="Times New Roman" w:hAnsi="Times New Roman" w:cs="Times New Roman"/>
          <w:color w:val="auto"/>
        </w:rPr>
      </w:pPr>
    </w:p>
    <w:p w14:paraId="1A0F40E4">
      <w:pPr>
        <w:rPr>
          <w:rFonts w:hint="default" w:ascii="Times New Roman" w:hAnsi="Times New Roman" w:cs="Times New Roman"/>
          <w:color w:val="auto"/>
        </w:rPr>
      </w:pPr>
    </w:p>
    <w:p w14:paraId="4E8C5F9D">
      <w:pPr>
        <w:tabs>
          <w:tab w:val="left" w:pos="3195"/>
        </w:tabs>
        <w:spacing w:line="360" w:lineRule="auto"/>
        <w:jc w:val="center"/>
        <w:rPr>
          <w:rFonts w:hint="default" w:ascii="Times New Roman" w:hAnsi="Times New Roman" w:eastAsia="楷体_GB2312" w:cs="Times New Roman"/>
          <w:color w:val="auto"/>
          <w:sz w:val="44"/>
          <w:szCs w:val="44"/>
        </w:rPr>
        <w:sectPr>
          <w:headerReference r:id="rId5" w:type="default"/>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6D571FDB">
      <w:pPr>
        <w:bidi w:val="0"/>
        <w:ind w:left="0" w:leftChars="0" w:firstLine="0" w:firstLineChars="0"/>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附件：</w:t>
      </w:r>
    </w:p>
    <w:p w14:paraId="0DC75F25">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附件1：项目委托书</w:t>
      </w:r>
    </w:p>
    <w:p w14:paraId="3A5D356C">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附件2：法人身份证</w:t>
      </w:r>
    </w:p>
    <w:p w14:paraId="0EDD0248">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附件3：统一社会信用代码</w:t>
      </w:r>
    </w:p>
    <w:p w14:paraId="6B2A0F11">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附件4：关于S227阿图什至喀什公路新建工程（隧道）可行性研究报告（代项目建议书）的批复，克发改字</w:t>
      </w:r>
      <w:r>
        <w:rPr>
          <w:rFonts w:hint="eastAsia" w:cs="Times New Roman"/>
          <w:color w:val="auto"/>
          <w:lang w:val="en-US" w:eastAsia="zh-CN"/>
        </w:rPr>
        <w:t>[</w:t>
      </w:r>
      <w:r>
        <w:rPr>
          <w:rFonts w:hint="default" w:ascii="Times New Roman" w:hAnsi="Times New Roman" w:cs="Times New Roman"/>
          <w:color w:val="auto"/>
          <w:lang w:val="en-US" w:eastAsia="zh-CN"/>
        </w:rPr>
        <w:t>2025]180号，克孜勒苏柯尔克孜自治州发展和改革委员会文件，2025年7月15日；</w:t>
      </w:r>
      <w:r>
        <w:rPr>
          <w:rFonts w:hint="default" w:ascii="Times New Roman" w:hAnsi="Times New Roman" w:cs="Times New Roman"/>
          <w:color w:val="auto"/>
          <w:highlight w:val="none"/>
          <w:lang w:val="en-US" w:eastAsia="zh-CN"/>
        </w:rPr>
        <w:t>2505-653001-18-01-641397</w:t>
      </w:r>
    </w:p>
    <w:p w14:paraId="65DED5D5">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附件5：建设项目用地预审与选址意见书</w:t>
      </w:r>
    </w:p>
    <w:p w14:paraId="47BA889E">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附件6：关于S227阿图什至喀什公路新建工程</w:t>
      </w:r>
      <w:r>
        <w:rPr>
          <w:rFonts w:hint="eastAsia" w:cs="Times New Roman"/>
          <w:color w:val="auto"/>
          <w:lang w:val="en-US" w:eastAsia="zh-CN"/>
        </w:rPr>
        <w:t>环境影响评价报告表的批复</w:t>
      </w:r>
    </w:p>
    <w:p w14:paraId="732ABC6D">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附件7：阿图什市自然资源局关于招拍挂料场取土、弃土合作事宜的函</w:t>
      </w:r>
    </w:p>
    <w:p w14:paraId="6F96DD01">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附件8：关于S227阿图什至喀什公路新建工程（隧道）</w:t>
      </w:r>
      <w:r>
        <w:rPr>
          <w:rFonts w:hint="eastAsia" w:cs="Times New Roman"/>
          <w:color w:val="auto"/>
          <w:lang w:val="en-US" w:eastAsia="zh-CN"/>
        </w:rPr>
        <w:t>水土保持方案的批复</w:t>
      </w:r>
    </w:p>
    <w:p w14:paraId="6BA0A19B">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附件9：环境质量现状监测报告</w:t>
      </w:r>
    </w:p>
    <w:p w14:paraId="1AA5E99B">
      <w:pPr>
        <w:bidi w:val="0"/>
        <w:rPr>
          <w:rFonts w:hint="default" w:ascii="Times New Roman" w:hAnsi="Times New Roman" w:cs="Times New Roman"/>
          <w:color w:val="auto"/>
          <w:lang w:val="en-US" w:eastAsia="zh-CN"/>
        </w:rPr>
      </w:pPr>
    </w:p>
    <w:p w14:paraId="3E9B7EE2">
      <w:pPr>
        <w:bidi w:val="0"/>
        <w:rPr>
          <w:rFonts w:hint="default" w:ascii="Times New Roman" w:hAnsi="Times New Roman" w:cs="Times New Roman"/>
          <w:color w:val="auto"/>
          <w:lang w:val="en-US" w:eastAsia="zh-CN"/>
        </w:rPr>
      </w:pPr>
    </w:p>
    <w:p w14:paraId="5A5A3CEC">
      <w:pPr>
        <w:bidi w:val="0"/>
        <w:rPr>
          <w:rFonts w:hint="default" w:ascii="Times New Roman" w:hAnsi="Times New Roman" w:cs="Times New Roman"/>
          <w:color w:val="auto"/>
          <w:lang w:val="en-US" w:eastAsia="zh-CN"/>
        </w:rPr>
      </w:pPr>
    </w:p>
    <w:p w14:paraId="56450114">
      <w:pPr>
        <w:bidi w:val="0"/>
        <w:rPr>
          <w:rFonts w:hint="default" w:ascii="Times New Roman" w:hAnsi="Times New Roman" w:cs="Times New Roman"/>
          <w:color w:val="auto"/>
          <w:lang w:val="en-US" w:eastAsia="zh-CN"/>
        </w:rPr>
      </w:pPr>
    </w:p>
    <w:p w14:paraId="2EDEE883">
      <w:pPr>
        <w:bidi w:val="0"/>
        <w:rPr>
          <w:rFonts w:hint="default" w:ascii="Times New Roman" w:hAnsi="Times New Roman" w:cs="Times New Roman"/>
          <w:color w:val="auto"/>
          <w:lang w:val="en-US" w:eastAsia="zh-CN"/>
        </w:rPr>
      </w:pPr>
    </w:p>
    <w:p w14:paraId="0873061F">
      <w:pPr>
        <w:bidi w:val="0"/>
        <w:rPr>
          <w:rFonts w:hint="default" w:ascii="Times New Roman" w:hAnsi="Times New Roman" w:cs="Times New Roman"/>
          <w:color w:val="auto"/>
          <w:lang w:val="en-US" w:eastAsia="zh-CN"/>
        </w:rPr>
      </w:pPr>
    </w:p>
    <w:p w14:paraId="2AB5DDBD">
      <w:pPr>
        <w:bidi w:val="0"/>
        <w:rPr>
          <w:rFonts w:hint="default" w:ascii="Times New Roman" w:hAnsi="Times New Roman" w:cs="Times New Roman"/>
          <w:color w:val="auto"/>
          <w:lang w:val="en-US" w:eastAsia="zh-CN"/>
        </w:rPr>
      </w:pPr>
    </w:p>
    <w:p w14:paraId="3A875D7E">
      <w:pPr>
        <w:bidi w:val="0"/>
        <w:rPr>
          <w:rFonts w:hint="default" w:ascii="Times New Roman" w:hAnsi="Times New Roman" w:cs="Times New Roman"/>
          <w:color w:val="auto"/>
          <w:lang w:val="en-US" w:eastAsia="zh-CN"/>
        </w:rPr>
      </w:pPr>
    </w:p>
    <w:p w14:paraId="667C6DBA">
      <w:pPr>
        <w:bidi w:val="0"/>
        <w:rPr>
          <w:rFonts w:hint="default" w:ascii="Times New Roman" w:hAnsi="Times New Roman" w:cs="Times New Roman"/>
          <w:color w:val="auto"/>
          <w:lang w:val="en-US" w:eastAsia="zh-CN"/>
        </w:rPr>
      </w:pPr>
    </w:p>
    <w:p w14:paraId="2EED9F11">
      <w:pPr>
        <w:bidi w:val="0"/>
        <w:rPr>
          <w:rFonts w:hint="default" w:ascii="Times New Roman" w:hAnsi="Times New Roman" w:cs="Times New Roman"/>
          <w:color w:val="auto"/>
          <w:lang w:val="en-US" w:eastAsia="zh-CN"/>
        </w:rPr>
      </w:pPr>
    </w:p>
    <w:p w14:paraId="3EF26852">
      <w:pPr>
        <w:bidi w:val="0"/>
        <w:rPr>
          <w:rFonts w:hint="default" w:ascii="Times New Roman" w:hAnsi="Times New Roman" w:cs="Times New Roman"/>
          <w:color w:val="auto"/>
          <w:lang w:val="en-US" w:eastAsia="zh-CN"/>
        </w:rPr>
      </w:pPr>
    </w:p>
    <w:p w14:paraId="4686E54E">
      <w:pPr>
        <w:bidi w:val="0"/>
        <w:rPr>
          <w:rFonts w:hint="default" w:ascii="Times New Roman" w:hAnsi="Times New Roman" w:cs="Times New Roman"/>
          <w:color w:val="auto"/>
          <w:lang w:val="en-US" w:eastAsia="zh-CN"/>
        </w:rPr>
      </w:pPr>
    </w:p>
    <w:p w14:paraId="4B8BAD8D">
      <w:pPr>
        <w:bidi w:val="0"/>
        <w:rPr>
          <w:rFonts w:hint="default" w:ascii="Times New Roman" w:hAnsi="Times New Roman" w:cs="Times New Roman"/>
          <w:color w:val="auto"/>
          <w:lang w:val="en-US" w:eastAsia="zh-CN"/>
        </w:rPr>
      </w:pPr>
    </w:p>
    <w:p w14:paraId="7C06F7E9">
      <w:pPr>
        <w:bidi w:val="0"/>
        <w:rPr>
          <w:rFonts w:hint="default" w:ascii="Times New Roman" w:hAnsi="Times New Roman" w:cs="Times New Roman"/>
          <w:color w:val="auto"/>
          <w:lang w:val="en-US" w:eastAsia="zh-CN"/>
        </w:rPr>
      </w:pPr>
    </w:p>
    <w:p w14:paraId="73A6F822">
      <w:pPr>
        <w:bidi w:val="0"/>
        <w:rPr>
          <w:rFonts w:hint="default" w:ascii="Times New Roman" w:hAnsi="Times New Roman" w:cs="Times New Roman"/>
          <w:color w:val="auto"/>
          <w:lang w:val="en-US" w:eastAsia="zh-CN"/>
        </w:rPr>
      </w:pPr>
    </w:p>
    <w:p w14:paraId="7AB01077">
      <w:pPr>
        <w:bidi w:val="0"/>
        <w:rPr>
          <w:rFonts w:hint="default" w:ascii="Times New Roman" w:hAnsi="Times New Roman" w:cs="Times New Roman"/>
          <w:color w:val="auto"/>
          <w:lang w:val="en-US" w:eastAsia="zh-CN"/>
        </w:rPr>
      </w:pPr>
    </w:p>
    <w:p w14:paraId="4C338CE1">
      <w:pPr>
        <w:bidi w:val="0"/>
        <w:rPr>
          <w:rFonts w:hint="default" w:ascii="Times New Roman" w:hAnsi="Times New Roman" w:cs="Times New Roman"/>
          <w:color w:val="auto"/>
          <w:lang w:val="en-US" w:eastAsia="zh-CN"/>
        </w:rPr>
      </w:pPr>
    </w:p>
    <w:p w14:paraId="5DBFF8FE">
      <w:pPr>
        <w:rPr>
          <w:rFonts w:hint="default" w:ascii="Times New Roman" w:hAnsi="Times New Roman" w:cs="Times New Roman"/>
          <w:color w:val="auto"/>
          <w:lang w:val="en-US" w:eastAsia="zh-CN"/>
        </w:rPr>
      </w:pPr>
    </w:p>
    <w:p w14:paraId="79782B2F">
      <w:pPr>
        <w:rPr>
          <w:rFonts w:hint="default" w:ascii="Times New Roman" w:hAnsi="Times New Roman"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64D07769">
      <w:pPr>
        <w:pStyle w:val="2"/>
        <w:bidi w:val="0"/>
        <w:rPr>
          <w:rFonts w:hint="default" w:ascii="Times New Roman" w:hAnsi="Times New Roman" w:cs="Times New Roman"/>
          <w:color w:val="auto"/>
        </w:rPr>
      </w:pPr>
      <w:bookmarkStart w:id="0" w:name="_Toc30683"/>
      <w:bookmarkStart w:id="1" w:name="_Toc20779"/>
      <w:bookmarkStart w:id="2" w:name="_Toc19239"/>
      <w:bookmarkStart w:id="3" w:name="_Toc14147"/>
      <w:bookmarkStart w:id="4" w:name="_Toc15357"/>
      <w:bookmarkStart w:id="5" w:name="_Toc24588"/>
      <w:bookmarkStart w:id="6" w:name="_Toc11458"/>
      <w:bookmarkStart w:id="7" w:name="_Toc15309"/>
      <w:bookmarkStart w:id="8" w:name="_Toc9279"/>
      <w:bookmarkStart w:id="9" w:name="_Toc7224"/>
      <w:bookmarkStart w:id="10" w:name="_Toc30726"/>
      <w:bookmarkStart w:id="11" w:name="_Toc13496"/>
      <w:bookmarkStart w:id="12" w:name="_Toc1575"/>
      <w:bookmarkStart w:id="13" w:name="_Toc10151"/>
      <w:bookmarkStart w:id="14" w:name="_Toc15976"/>
      <w:bookmarkStart w:id="15" w:name="_Toc13277"/>
      <w:bookmarkStart w:id="16" w:name="_Toc30572"/>
      <w:bookmarkStart w:id="17" w:name="_Toc11617"/>
      <w:bookmarkStart w:id="18" w:name="_Toc10539"/>
      <w:bookmarkStart w:id="19" w:name="_Toc1706"/>
      <w:bookmarkStart w:id="20" w:name="_Toc31759"/>
      <w:bookmarkStart w:id="21" w:name="_Toc19464"/>
      <w:bookmarkStart w:id="22" w:name="_Toc535783352"/>
      <w:bookmarkStart w:id="23" w:name="_Toc19503"/>
      <w:bookmarkStart w:id="24" w:name="_Toc2303"/>
      <w:r>
        <w:rPr>
          <w:rFonts w:hint="default" w:ascii="Times New Roman" w:hAnsi="Times New Roman" w:cs="Times New Roman"/>
          <w:color w:val="auto"/>
        </w:rPr>
        <w:t>1</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概述</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p w14:paraId="437D9928">
      <w:pPr>
        <w:pStyle w:val="3"/>
        <w:numPr>
          <w:ilvl w:val="1"/>
          <w:numId w:val="0"/>
        </w:numPr>
        <w:bidi w:val="0"/>
        <w:ind w:leftChars="0"/>
        <w:rPr>
          <w:rFonts w:hint="default" w:ascii="Times New Roman" w:hAnsi="Times New Roman" w:eastAsia="宋体" w:cs="Times New Roman"/>
          <w:b/>
          <w:color w:val="auto"/>
          <w:szCs w:val="24"/>
        </w:rPr>
      </w:pPr>
      <w:bookmarkStart w:id="25" w:name="_Toc2204"/>
      <w:bookmarkStart w:id="26" w:name="_Toc20141"/>
      <w:bookmarkStart w:id="27" w:name="_Toc22858"/>
      <w:bookmarkStart w:id="28" w:name="_Toc9250"/>
      <w:bookmarkStart w:id="29" w:name="_Toc16279"/>
      <w:bookmarkStart w:id="30" w:name="_Toc3916"/>
      <w:bookmarkStart w:id="31" w:name="_Toc8465"/>
      <w:bookmarkStart w:id="32" w:name="_Toc28187"/>
      <w:bookmarkStart w:id="33" w:name="_Toc2460"/>
      <w:bookmarkStart w:id="34" w:name="_Toc6298"/>
      <w:bookmarkStart w:id="35" w:name="_Toc26955"/>
      <w:bookmarkStart w:id="36" w:name="_Toc6065"/>
      <w:bookmarkStart w:id="37" w:name="_Toc30163"/>
      <w:bookmarkStart w:id="38" w:name="_Toc313"/>
      <w:bookmarkStart w:id="39" w:name="_Toc15024"/>
      <w:bookmarkStart w:id="40" w:name="_Toc9326"/>
      <w:bookmarkStart w:id="41" w:name="_Toc8572"/>
      <w:bookmarkStart w:id="42" w:name="_Toc30415"/>
      <w:bookmarkStart w:id="43" w:name="_Toc20250"/>
      <w:bookmarkStart w:id="44" w:name="_Toc12362"/>
      <w:bookmarkStart w:id="45" w:name="_Toc2241"/>
      <w:bookmarkStart w:id="46" w:name="_Toc14655"/>
      <w:bookmarkStart w:id="47" w:name="_Toc16317"/>
      <w:bookmarkStart w:id="48" w:name="_Toc25540"/>
      <w:bookmarkStart w:id="49" w:name="_Toc31707"/>
      <w:bookmarkStart w:id="50" w:name="_Toc32116"/>
      <w:bookmarkStart w:id="51" w:name="_Toc27132"/>
      <w:bookmarkStart w:id="52" w:name="_Toc28632"/>
      <w:bookmarkStart w:id="53" w:name="_Toc7225"/>
      <w:bookmarkStart w:id="54" w:name="_Toc26445"/>
      <w:bookmarkStart w:id="55" w:name="_Toc12082"/>
      <w:bookmarkStart w:id="56" w:name="_Toc25169"/>
      <w:bookmarkStart w:id="57" w:name="_Toc25398"/>
      <w:bookmarkStart w:id="58" w:name="_Toc20357"/>
      <w:bookmarkStart w:id="59" w:name="_Toc27720"/>
      <w:bookmarkStart w:id="60" w:name="_Toc26825"/>
      <w:bookmarkStart w:id="61" w:name="_Toc15702"/>
      <w:bookmarkStart w:id="62" w:name="_Toc18925"/>
      <w:bookmarkStart w:id="63" w:name="_Toc32569"/>
      <w:bookmarkStart w:id="64" w:name="_Toc10741"/>
      <w:bookmarkStart w:id="65" w:name="_Toc11852"/>
      <w:bookmarkStart w:id="66" w:name="_Toc1930"/>
      <w:bookmarkStart w:id="67" w:name="_Toc13927"/>
      <w:bookmarkStart w:id="68" w:name="_Toc18610"/>
      <w:bookmarkStart w:id="69" w:name="_Toc15735"/>
      <w:bookmarkStart w:id="70" w:name="_Toc15760"/>
      <w:bookmarkStart w:id="71" w:name="_Toc17320"/>
      <w:bookmarkStart w:id="72" w:name="_Toc18343"/>
      <w:bookmarkStart w:id="73" w:name="_Toc21804"/>
      <w:bookmarkStart w:id="74" w:name="_Toc3005"/>
      <w:bookmarkStart w:id="75" w:name="_Toc19598"/>
      <w:bookmarkStart w:id="76" w:name="_Toc9645"/>
      <w:bookmarkStart w:id="77" w:name="_Toc5732"/>
      <w:bookmarkStart w:id="78" w:name="_Toc758"/>
      <w:bookmarkStart w:id="79" w:name="_Toc25509"/>
      <w:bookmarkStart w:id="80" w:name="_Toc8029"/>
      <w:bookmarkStart w:id="81" w:name="_Toc23351"/>
      <w:bookmarkStart w:id="82" w:name="_Toc4439"/>
      <w:bookmarkStart w:id="83" w:name="_Toc19956"/>
      <w:bookmarkStart w:id="84" w:name="_Toc19547"/>
      <w:bookmarkStart w:id="85" w:name="_Toc7045"/>
      <w:bookmarkStart w:id="86" w:name="_Toc8916"/>
      <w:bookmarkStart w:id="87" w:name="_Toc535783353"/>
      <w:bookmarkStart w:id="88" w:name="_Toc6001"/>
      <w:r>
        <w:rPr>
          <w:rFonts w:hint="default" w:ascii="Times New Roman" w:hAnsi="Times New Roman" w:cs="Times New Roman"/>
          <w:color w:val="auto"/>
        </w:rPr>
        <w:t>1.1</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建设项目</w:t>
      </w:r>
      <w:r>
        <w:rPr>
          <w:rFonts w:hint="default" w:ascii="Times New Roman" w:hAnsi="Times New Roman" w:cs="Times New Roman"/>
          <w:color w:val="auto"/>
          <w:lang w:val="en-US" w:eastAsia="zh-CN"/>
        </w:rPr>
        <w:t>的特点</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p>
    <w:p w14:paraId="4686B063">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新疆是我国向西开放的重要门户，也是新亚欧大陆桥的重要通道，周边与蒙古、俄罗斯、哈萨克斯坦、吉尔吉斯斯坦、塔吉克斯坦、阿富汗、巴基斯坦、印度8个国家接壤，是我国陆地边境线最长的省区。克孜勒苏柯尔克孜自治州（简称克州）总面积7.25万平方公里，是新疆最西部州，克州地处中亚门户，目前克州已成为我国西部对外开放的“桥头堡”，已成为新疆“东联西出，西来东去”的“枢纽站”</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喀什有着“五口通八国、一路连欧亚”特殊区位和集群口岸优势，作为</w:t>
      </w:r>
      <w:r>
        <w:rPr>
          <w:rFonts w:hint="default" w:ascii="Times New Roman" w:hAnsi="Times New Roman" w:cs="Times New Roman"/>
          <w:color w:val="auto"/>
          <w:kern w:val="0"/>
          <w:sz w:val="24"/>
          <w:szCs w:val="24"/>
          <w:lang w:val="en-US" w:eastAsia="zh-CN" w:bidi="ar"/>
        </w:rPr>
        <w:t>“一带一路”</w:t>
      </w:r>
      <w:r>
        <w:rPr>
          <w:rFonts w:hint="default" w:ascii="Times New Roman" w:hAnsi="Times New Roman" w:eastAsia="宋体" w:cs="Times New Roman"/>
          <w:color w:val="auto"/>
          <w:kern w:val="0"/>
          <w:sz w:val="24"/>
          <w:szCs w:val="24"/>
          <w:lang w:val="en-US" w:eastAsia="zh-CN" w:bidi="ar"/>
        </w:rPr>
        <w:t>重要节点城市，在与中亚、南亚、西亚和东欧的合作中将成为开放合作平台，成为我国向西开放的重要窗口。</w:t>
      </w:r>
    </w:p>
    <w:p w14:paraId="03A62369">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当前，喀什</w:t>
      </w:r>
      <w:r>
        <w:rPr>
          <w:rFonts w:hint="default" w:ascii="Times New Roman" w:hAnsi="Times New Roman" w:cs="Times New Roman"/>
          <w:color w:val="auto"/>
          <w:kern w:val="0"/>
          <w:sz w:val="24"/>
          <w:szCs w:val="24"/>
          <w:lang w:val="en-US" w:eastAsia="zh-CN" w:bidi="ar"/>
        </w:rPr>
        <w:t>市</w:t>
      </w:r>
      <w:r>
        <w:rPr>
          <w:rFonts w:hint="default" w:ascii="Times New Roman" w:hAnsi="Times New Roman" w:eastAsia="宋体" w:cs="Times New Roman"/>
          <w:color w:val="auto"/>
          <w:kern w:val="0"/>
          <w:sz w:val="24"/>
          <w:szCs w:val="24"/>
          <w:lang w:val="en-US" w:eastAsia="zh-CN" w:bidi="ar"/>
        </w:rPr>
        <w:t>及阿图什</w:t>
      </w:r>
      <w:r>
        <w:rPr>
          <w:rFonts w:hint="default" w:ascii="Times New Roman" w:hAnsi="Times New Roman" w:cs="Times New Roman"/>
          <w:color w:val="auto"/>
          <w:kern w:val="0"/>
          <w:sz w:val="24"/>
          <w:szCs w:val="24"/>
          <w:lang w:val="en-US" w:eastAsia="zh-CN" w:bidi="ar"/>
        </w:rPr>
        <w:t>市</w:t>
      </w:r>
      <w:r>
        <w:rPr>
          <w:rFonts w:hint="default" w:ascii="Times New Roman" w:hAnsi="Times New Roman" w:eastAsia="宋体" w:cs="Times New Roman"/>
          <w:color w:val="auto"/>
          <w:kern w:val="0"/>
          <w:sz w:val="24"/>
          <w:szCs w:val="24"/>
          <w:lang w:val="en-US" w:eastAsia="zh-CN" w:bidi="ar"/>
        </w:rPr>
        <w:t>正按照中央和新疆党委的部署要求，紧抓建“一带一路”的步伐，积极发挥喀什南疆核心区的先导作用，不断深化与国内及对外的务实合作，努力打造南疆地区的核心区，同时实现“双什一体化”发展是两座城市共同的发展愿景和需求。</w:t>
      </w:r>
      <w:r>
        <w:rPr>
          <w:rFonts w:hint="default" w:ascii="Times New Roman" w:hAnsi="Times New Roman" w:eastAsia="宋体" w:cs="Times New Roman"/>
          <w:color w:val="auto"/>
          <w:kern w:val="0"/>
          <w:sz w:val="24"/>
          <w:szCs w:val="24"/>
          <w:highlight w:val="none"/>
          <w:lang w:val="en-US" w:eastAsia="zh-CN" w:bidi="ar"/>
        </w:rPr>
        <w:t>喀什市与阿图什市分别位于兰干塔格山南北两侧，山脉南侧分布有喀什市经济开发区、喀什中欧国家物流港，北侧分布有阿图什市轻工业园区、阿图什市新区，近年来，各自依托自身优势，形成了一定的发展规模，发展势头良好，但受兰干塔格山的阻隔，南北两侧的经济开发区、园区间的互动和交流不便，各片区间协同发展的需求日益强烈</w:t>
      </w:r>
      <w:r>
        <w:rPr>
          <w:rFonts w:hint="default" w:ascii="Times New Roman" w:hAnsi="Times New Roman"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lang w:val="en-US" w:eastAsia="zh-CN" w:bidi="ar"/>
        </w:rPr>
        <w:t>目前阿图什与喀什市间的公路联系通道仅有G314和G3012，两条公路均因兰干塔什山的阻隔由喀什城西和阿图什市西北绕行，且90%以上段落为并行，</w:t>
      </w:r>
      <w:r>
        <w:rPr>
          <w:rFonts w:hint="eastAsia" w:cs="Times New Roman"/>
          <w:color w:val="auto"/>
          <w:kern w:val="0"/>
          <w:sz w:val="24"/>
          <w:szCs w:val="24"/>
          <w:lang w:val="en-US" w:eastAsia="zh-CN" w:bidi="ar"/>
        </w:rPr>
        <w:t>呈“</w:t>
      </w:r>
      <w:r>
        <w:rPr>
          <w:rFonts w:hint="default" w:ascii="Times New Roman" w:hAnsi="Times New Roman" w:eastAsia="宋体" w:cs="Times New Roman"/>
          <w:color w:val="auto"/>
          <w:kern w:val="0"/>
          <w:sz w:val="24"/>
          <w:szCs w:val="24"/>
          <w:lang w:val="en-US" w:eastAsia="zh-CN" w:bidi="ar"/>
        </w:rPr>
        <w:t>一字形”路网布局，通道单一，路网整体效率低下、对周边区域的辐射作用低，路网结构不合理，通行效率低下，时常出行拥堵，已成为阻碍区域经济发展的重要因素。</w:t>
      </w:r>
    </w:p>
    <w:p w14:paraId="0BB466AA">
      <w:pPr>
        <w:keepNext w:val="0"/>
        <w:keepLines w:val="0"/>
        <w:widowControl/>
        <w:suppressLineNumbers w:val="0"/>
        <w:jc w:val="both"/>
        <w:rPr>
          <w:rFonts w:hint="default" w:ascii="Times New Roman" w:hAnsi="Times New Roman" w:cs="Times New Roman"/>
          <w:color w:val="auto"/>
          <w:lang w:val="en-US"/>
        </w:rPr>
      </w:pPr>
      <w:r>
        <w:rPr>
          <w:rFonts w:hint="default" w:ascii="Times New Roman" w:hAnsi="Times New Roman" w:eastAsia="宋体" w:cs="Times New Roman"/>
          <w:color w:val="auto"/>
          <w:kern w:val="0"/>
          <w:sz w:val="24"/>
          <w:szCs w:val="24"/>
          <w:lang w:val="en-US" w:eastAsia="zh-CN" w:bidi="ar"/>
        </w:rPr>
        <w:t>2017年克州人民政府即着手规划筹建本项目，</w:t>
      </w:r>
      <w:r>
        <w:rPr>
          <w:rFonts w:hint="eastAsia" w:cs="Times New Roman"/>
          <w:color w:val="auto"/>
          <w:kern w:val="0"/>
          <w:sz w:val="24"/>
          <w:szCs w:val="24"/>
          <w:lang w:val="en-US" w:eastAsia="zh-CN" w:bidi="ar"/>
        </w:rPr>
        <w:t>由于</w:t>
      </w:r>
      <w:r>
        <w:rPr>
          <w:rFonts w:hint="default" w:ascii="Times New Roman" w:hAnsi="Times New Roman" w:eastAsia="宋体" w:cs="Times New Roman"/>
          <w:color w:val="auto"/>
          <w:kern w:val="0"/>
          <w:sz w:val="24"/>
          <w:szCs w:val="24"/>
          <w:lang w:val="en-US" w:eastAsia="zh-CN" w:bidi="ar"/>
        </w:rPr>
        <w:t>建设时机不成熟，项目进展缓慢。2023年《克-喀协调发展专题研究》编制完成，构建“大喀什”都市圈要求空间一体发展，克州三面包围喀什，以喀什为引领，克喀协同，只有“双什一体化”发展，方能构建“大喀什”都市圈。克喀突破兰干塔格山的自然壁垒势在必行，项目建设时机已成熟。</w:t>
      </w:r>
      <w:r>
        <w:rPr>
          <w:rFonts w:hint="default" w:ascii="Times New Roman" w:hAnsi="Times New Roman" w:eastAsia="宋体" w:cs="Times New Roman"/>
          <w:color w:val="auto"/>
          <w:kern w:val="0"/>
          <w:sz w:val="24"/>
          <w:szCs w:val="24"/>
          <w:highlight w:val="none"/>
          <w:lang w:val="en-US" w:eastAsia="zh-CN" w:bidi="ar"/>
        </w:rPr>
        <w:t>因此在阿图什市与喀什市间新增一条干线公路</w:t>
      </w:r>
      <w:r>
        <w:rPr>
          <w:rFonts w:hint="default" w:ascii="Times New Roman" w:hAnsi="Times New Roman" w:cs="Times New Roman"/>
          <w:color w:val="auto"/>
          <w:kern w:val="0"/>
          <w:sz w:val="24"/>
          <w:szCs w:val="24"/>
          <w:highlight w:val="none"/>
          <w:lang w:val="en-US" w:eastAsia="zh-CN" w:bidi="ar"/>
        </w:rPr>
        <w:t>迫在眉睫，</w:t>
      </w:r>
      <w:r>
        <w:rPr>
          <w:rFonts w:hint="default" w:ascii="Times New Roman" w:hAnsi="Times New Roman" w:cs="Times New Roman"/>
          <w:color w:val="auto"/>
          <w:sz w:val="24"/>
          <w:szCs w:val="24"/>
          <w:highlight w:val="none"/>
          <w:lang w:val="en-US" w:eastAsia="zh-CN"/>
        </w:rPr>
        <w:t>S227阿图什至喀什公路新建工程被提上建设日程。</w:t>
      </w:r>
    </w:p>
    <w:p w14:paraId="33001948">
      <w:pPr>
        <w:keepNext w:val="0"/>
        <w:keepLines w:val="0"/>
        <w:widowControl/>
        <w:suppressLineNumbers w:val="0"/>
        <w:jc w:val="both"/>
        <w:rPr>
          <w:rFonts w:hint="default" w:ascii="Times New Roman" w:hAnsi="Times New Roman" w:eastAsia="宋体" w:cs="Times New Roman"/>
          <w:color w:val="auto"/>
          <w:kern w:val="0"/>
          <w:sz w:val="24"/>
          <w:szCs w:val="24"/>
          <w:lang w:val="en-US" w:eastAsia="zh-CN" w:bidi="ar"/>
        </w:rPr>
      </w:pPr>
    </w:p>
    <w:p w14:paraId="06754D80">
      <w:pPr>
        <w:keepNext w:val="0"/>
        <w:keepLines w:val="0"/>
        <w:widowControl/>
        <w:suppressLineNumbers w:val="0"/>
        <w:jc w:val="both"/>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建设单位对S227阿图什至喀什公路项目的建设计划安排，项目分两段分别立项实施，第一段S227阿图什至喀什公路新建工程位于阿图什境内，主要为道路工程，第二段S227阿图什至喀什公路新建工程（隧道）项目主要为阿图什市与喀什市间的隧道和喀什一侧引道组成，两段的分界位于隧道（兰干隧道进口处）</w:t>
      </w:r>
      <w:r>
        <w:rPr>
          <w:rFonts w:hint="eastAsia" w:cs="Times New Roman"/>
          <w:color w:val="auto"/>
          <w:kern w:val="0"/>
          <w:sz w:val="24"/>
          <w:szCs w:val="24"/>
          <w:lang w:val="en-US" w:eastAsia="zh-CN" w:bidi="ar"/>
        </w:rPr>
        <w:t>。目前S227阿图什至喀什公路项目环境影响评价报告已取得克州生态环境局批复，批复文号：克环评函[2026]7号。</w:t>
      </w:r>
    </w:p>
    <w:p w14:paraId="0BBF379A">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本项目为第二段，顺接第一段S227阿图什至喀什公路新建工程建设项目终点。桩号范围K5+546~K10+931，路线里程5.385km。本项目推荐路线方案路线起点位于兰干塔格山北侧（兰干隧道进口处），顺接</w:t>
      </w:r>
      <w:r>
        <w:rPr>
          <w:rFonts w:hint="default" w:ascii="Times New Roman" w:hAnsi="Times New Roman" w:cs="Times New Roman"/>
          <w:color w:val="auto"/>
          <w:kern w:val="0"/>
          <w:sz w:val="24"/>
          <w:szCs w:val="24"/>
          <w:lang w:val="en-US" w:eastAsia="zh-CN" w:bidi="ar"/>
        </w:rPr>
        <w:t>S227阿图什至喀什公路新建工程</w:t>
      </w:r>
      <w:r>
        <w:rPr>
          <w:rFonts w:hint="default" w:ascii="Times New Roman" w:hAnsi="Times New Roman" w:eastAsia="宋体" w:cs="Times New Roman"/>
          <w:color w:val="auto"/>
          <w:kern w:val="0"/>
          <w:sz w:val="24"/>
          <w:szCs w:val="24"/>
          <w:lang w:val="en-US" w:eastAsia="zh-CN" w:bidi="ar"/>
        </w:rPr>
        <w:t>项目终点，采用隧道结合明线形式穿越兰干塔格山（设置长隧道1座，长1147m）后进入喀什经济开发区，终点位于喀什市经济开发区规划城东大道与横一路交叉路口，推荐路线全长5.385km，项目拟采用一级公路标准建设，设计速度80km/h。</w:t>
      </w:r>
      <w:r>
        <w:rPr>
          <w:rFonts w:hint="default" w:ascii="Times New Roman" w:hAnsi="Times New Roman" w:eastAsia="宋体" w:cs="Times New Roman"/>
          <w:color w:val="auto"/>
          <w:kern w:val="0"/>
          <w:sz w:val="24"/>
          <w:szCs w:val="24"/>
          <w:highlight w:val="none"/>
          <w:lang w:val="en-US" w:eastAsia="zh-CN" w:bidi="ar"/>
        </w:rPr>
        <w:t>S227线阿图什-喀什公路建设项目是连接阿图什市与喀什市的城际快速通道，是支撑区域经济社会发展的区域次干线公路，是阿图什城市规划中“南北城市发展轴”主通道，项目建设有利于加快推进“南疆城市群</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双什一体化”发展格局，完善“双什”交通路网结构，缓解当前G3012及G314线的交通压力，有利于阿图什市依托喀什自贸试验区及自身区位优势打造西部重要边贸城市、加速经济发展</w:t>
      </w:r>
      <w:r>
        <w:rPr>
          <w:rFonts w:hint="default" w:ascii="Times New Roman" w:hAnsi="Times New Roman" w:eastAsia="宋体" w:cs="Times New Roman"/>
          <w:color w:val="auto"/>
          <w:kern w:val="0"/>
          <w:sz w:val="24"/>
          <w:szCs w:val="24"/>
          <w:lang w:val="en-US" w:eastAsia="zh-CN" w:bidi="ar"/>
        </w:rPr>
        <w:t>。</w:t>
      </w:r>
    </w:p>
    <w:bookmarkEnd w:id="87"/>
    <w:bookmarkEnd w:id="88"/>
    <w:p w14:paraId="55915BEC">
      <w:pPr>
        <w:pStyle w:val="3"/>
        <w:keepNext/>
        <w:keepLines/>
        <w:pageBreakBefore w:val="0"/>
        <w:widowControl w:val="0"/>
        <w:numPr>
          <w:ilvl w:val="1"/>
          <w:numId w:val="0"/>
        </w:numPr>
        <w:kinsoku/>
        <w:wordWrap/>
        <w:overflowPunct/>
        <w:topLinePunct w:val="0"/>
        <w:autoSpaceDE/>
        <w:autoSpaceDN/>
        <w:bidi w:val="0"/>
        <w:adjustRightInd w:val="0"/>
        <w:snapToGrid w:val="0"/>
        <w:ind w:leftChars="0"/>
        <w:textAlignment w:val="auto"/>
        <w:rPr>
          <w:rFonts w:hint="default" w:ascii="Times New Roman" w:hAnsi="Times New Roman" w:eastAsia="宋体" w:cs="Times New Roman"/>
          <w:b/>
          <w:color w:val="auto"/>
          <w:szCs w:val="22"/>
        </w:rPr>
      </w:pPr>
      <w:bookmarkStart w:id="89" w:name="_Toc18520"/>
      <w:bookmarkStart w:id="90" w:name="_Toc21315"/>
      <w:bookmarkStart w:id="91" w:name="_Toc8624"/>
      <w:bookmarkStart w:id="92" w:name="_Toc3166"/>
      <w:bookmarkStart w:id="93" w:name="_Toc6393"/>
      <w:bookmarkStart w:id="94" w:name="_Toc24927"/>
      <w:bookmarkStart w:id="95" w:name="_Toc20146"/>
      <w:bookmarkStart w:id="96" w:name="_Toc17244"/>
      <w:bookmarkStart w:id="97" w:name="_Toc5442"/>
      <w:bookmarkStart w:id="98" w:name="_Toc8483"/>
      <w:bookmarkStart w:id="99" w:name="_Toc19044"/>
      <w:bookmarkStart w:id="100" w:name="_Toc9732"/>
      <w:bookmarkStart w:id="101" w:name="_Toc17658"/>
      <w:bookmarkStart w:id="102" w:name="_Toc5509"/>
      <w:bookmarkStart w:id="103" w:name="_Toc24829"/>
      <w:bookmarkStart w:id="104" w:name="_Toc26871"/>
      <w:bookmarkStart w:id="105" w:name="_Toc30136"/>
      <w:bookmarkStart w:id="106" w:name="_Toc12808"/>
      <w:bookmarkStart w:id="107" w:name="_Toc12022"/>
      <w:bookmarkStart w:id="108" w:name="_Toc16799"/>
      <w:bookmarkStart w:id="109" w:name="_Toc31897"/>
      <w:bookmarkStart w:id="110" w:name="_Toc147"/>
      <w:bookmarkStart w:id="111" w:name="_Toc14385"/>
      <w:bookmarkStart w:id="112" w:name="_Toc16115"/>
      <w:bookmarkStart w:id="113" w:name="_Toc17033"/>
      <w:bookmarkStart w:id="114" w:name="_Toc4980"/>
      <w:bookmarkStart w:id="115" w:name="_Toc26609"/>
      <w:bookmarkStart w:id="116" w:name="_Toc4761"/>
      <w:bookmarkStart w:id="117" w:name="_Toc1333"/>
      <w:bookmarkStart w:id="118" w:name="_Toc9911"/>
      <w:bookmarkStart w:id="119" w:name="_Toc12"/>
      <w:bookmarkStart w:id="120" w:name="_Toc4072"/>
      <w:bookmarkStart w:id="121" w:name="_Toc26731"/>
      <w:bookmarkStart w:id="122" w:name="_Toc27768"/>
      <w:bookmarkStart w:id="123" w:name="_Toc29658"/>
      <w:bookmarkStart w:id="124" w:name="_Toc7001"/>
      <w:bookmarkStart w:id="125" w:name="_Toc21127"/>
      <w:bookmarkStart w:id="126" w:name="_Toc10309"/>
      <w:bookmarkStart w:id="127" w:name="_Toc24981"/>
      <w:bookmarkStart w:id="128" w:name="_Toc27835"/>
      <w:bookmarkStart w:id="129" w:name="_Toc26771"/>
      <w:bookmarkStart w:id="130" w:name="_Toc16173"/>
      <w:bookmarkStart w:id="131" w:name="_Toc21591"/>
      <w:bookmarkStart w:id="132" w:name="_Toc17834"/>
      <w:bookmarkStart w:id="133" w:name="_Toc27344"/>
      <w:bookmarkStart w:id="134" w:name="_Toc29619"/>
      <w:bookmarkStart w:id="135" w:name="_Toc14874"/>
      <w:bookmarkStart w:id="136" w:name="_Toc32695"/>
      <w:bookmarkStart w:id="137" w:name="_Toc22573"/>
      <w:bookmarkStart w:id="138" w:name="_Toc19293"/>
      <w:bookmarkStart w:id="139" w:name="_Toc27153"/>
      <w:bookmarkStart w:id="140" w:name="_Toc9223"/>
      <w:bookmarkStart w:id="141" w:name="_Toc8835"/>
      <w:bookmarkStart w:id="142" w:name="_Toc18430"/>
      <w:bookmarkStart w:id="143" w:name="_Toc24863"/>
      <w:bookmarkStart w:id="144" w:name="_Toc6918"/>
      <w:bookmarkStart w:id="145" w:name="_Toc16061"/>
      <w:bookmarkStart w:id="146" w:name="_Toc8578"/>
      <w:bookmarkStart w:id="147" w:name="_Toc16018"/>
      <w:bookmarkStart w:id="148" w:name="_Toc30872"/>
      <w:bookmarkStart w:id="149" w:name="_Toc8031"/>
      <w:bookmarkStart w:id="150" w:name="_Toc30490"/>
      <w:r>
        <w:rPr>
          <w:rFonts w:hint="default" w:ascii="Times New Roman" w:hAnsi="Times New Roman" w:cs="Times New Roman"/>
          <w:color w:val="auto"/>
          <w:lang w:val="en-US" w:eastAsia="zh-CN"/>
        </w:rPr>
        <w:t xml:space="preserve">1.2 </w:t>
      </w:r>
      <w:r>
        <w:rPr>
          <w:rFonts w:hint="default" w:ascii="Times New Roman" w:hAnsi="Times New Roman" w:cs="Times New Roman"/>
          <w:color w:val="auto"/>
        </w:rPr>
        <w:t>环境影响评价的工作过程</w:t>
      </w:r>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p>
    <w:p w14:paraId="64C5AD08">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highlight w:val="none"/>
          <w:lang w:val="en-US" w:eastAsia="zh-CN" w:bidi="ar"/>
        </w:rPr>
        <w:t>202</w:t>
      </w:r>
      <w:r>
        <w:rPr>
          <w:rFonts w:hint="eastAsia" w:cs="Times New Roman"/>
          <w:color w:val="auto"/>
          <w:kern w:val="0"/>
          <w:sz w:val="24"/>
          <w:szCs w:val="24"/>
          <w:highlight w:val="none"/>
          <w:lang w:val="en-US" w:eastAsia="zh-CN" w:bidi="ar"/>
        </w:rPr>
        <w:t>5</w:t>
      </w:r>
      <w:r>
        <w:rPr>
          <w:rFonts w:hint="default" w:ascii="Times New Roman" w:hAnsi="Times New Roman" w:eastAsia="宋体" w:cs="Times New Roman"/>
          <w:color w:val="auto"/>
          <w:kern w:val="0"/>
          <w:sz w:val="24"/>
          <w:szCs w:val="24"/>
          <w:highlight w:val="none"/>
          <w:lang w:val="en-US" w:eastAsia="zh-CN" w:bidi="ar"/>
        </w:rPr>
        <w:t>年</w:t>
      </w:r>
      <w:r>
        <w:rPr>
          <w:rFonts w:hint="eastAsia" w:cs="Times New Roman"/>
          <w:color w:val="auto"/>
          <w:kern w:val="0"/>
          <w:sz w:val="24"/>
          <w:szCs w:val="24"/>
          <w:highlight w:val="none"/>
          <w:lang w:val="en-US" w:eastAsia="zh-CN" w:bidi="ar"/>
        </w:rPr>
        <w:t>11</w:t>
      </w:r>
      <w:r>
        <w:rPr>
          <w:rFonts w:hint="default" w:ascii="Times New Roman" w:hAnsi="Times New Roman" w:eastAsia="宋体" w:cs="Times New Roman"/>
          <w:color w:val="auto"/>
          <w:kern w:val="0"/>
          <w:sz w:val="24"/>
          <w:szCs w:val="24"/>
          <w:highlight w:val="none"/>
          <w:lang w:val="en-US" w:eastAsia="zh-CN" w:bidi="ar"/>
        </w:rPr>
        <w:t>月</w:t>
      </w:r>
      <w:r>
        <w:rPr>
          <w:rFonts w:hint="eastAsia" w:cs="Times New Roman"/>
          <w:color w:val="auto"/>
          <w:kern w:val="0"/>
          <w:sz w:val="24"/>
          <w:szCs w:val="24"/>
          <w:highlight w:val="none"/>
          <w:lang w:val="en-US" w:eastAsia="zh-CN" w:bidi="ar"/>
        </w:rPr>
        <w:t>15</w:t>
      </w:r>
      <w:r>
        <w:rPr>
          <w:rFonts w:hint="default" w:ascii="Times New Roman" w:hAnsi="Times New Roman" w:eastAsia="宋体" w:cs="Times New Roman"/>
          <w:color w:val="auto"/>
          <w:kern w:val="0"/>
          <w:sz w:val="24"/>
          <w:szCs w:val="24"/>
          <w:highlight w:val="none"/>
          <w:lang w:val="en-US" w:eastAsia="zh-CN" w:bidi="ar"/>
        </w:rPr>
        <w:t>日</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highlight w:val="none"/>
          <w:lang w:val="en-US" w:eastAsia="zh-CN" w:bidi="ar"/>
        </w:rPr>
        <w:t>克州襄泽项目管理有限公司</w:t>
      </w:r>
      <w:r>
        <w:rPr>
          <w:rFonts w:hint="default" w:ascii="Times New Roman" w:hAnsi="Times New Roman" w:eastAsia="宋体" w:cs="Times New Roman"/>
          <w:color w:val="auto"/>
          <w:kern w:val="0"/>
          <w:sz w:val="24"/>
          <w:szCs w:val="24"/>
          <w:lang w:val="en-US" w:eastAsia="zh-CN" w:bidi="ar"/>
        </w:rPr>
        <w:t>委托新疆荣祥环保科技咨询有限公司编制《</w:t>
      </w:r>
      <w:r>
        <w:rPr>
          <w:rFonts w:hint="default" w:ascii="Times New Roman" w:hAnsi="Times New Roman" w:cs="Times New Roman"/>
          <w:color w:val="auto"/>
          <w:sz w:val="24"/>
          <w:szCs w:val="24"/>
          <w:lang w:val="en-US" w:eastAsia="zh-CN"/>
        </w:rPr>
        <w:t>S227阿图什至喀什公路新建工程（隧道）</w:t>
      </w:r>
      <w:r>
        <w:rPr>
          <w:rFonts w:hint="default" w:ascii="Times New Roman" w:hAnsi="Times New Roman" w:eastAsia="宋体" w:cs="Times New Roman"/>
          <w:color w:val="auto"/>
          <w:kern w:val="0"/>
          <w:sz w:val="24"/>
          <w:szCs w:val="24"/>
          <w:lang w:val="en-US" w:eastAsia="zh-CN" w:bidi="ar"/>
        </w:rPr>
        <w:t>环境影响报告书》，评价单位按照环境影响评价的有关工作程序，组织专业人员，对项目区现场实地踏勘、开展现状监测、收集资料及其他支撑性文件资料，同时对建设项目进行工程分析，根据环境各要素的评价等级及其相应评价等级的要求对各要素环境影响进行预测和评价，提出环境保护措施并进行经济技术论证，提出环境可行的评价结论，在此基础上，编制完成了《</w:t>
      </w:r>
      <w:r>
        <w:rPr>
          <w:rFonts w:hint="default" w:ascii="Times New Roman" w:hAnsi="Times New Roman" w:cs="Times New Roman"/>
          <w:color w:val="auto"/>
          <w:sz w:val="24"/>
          <w:szCs w:val="24"/>
          <w:lang w:val="en-US" w:eastAsia="zh-CN"/>
        </w:rPr>
        <w:t>S227阿图什至喀什公路新建工程（隧道）</w:t>
      </w:r>
      <w:r>
        <w:rPr>
          <w:rFonts w:hint="default" w:ascii="Times New Roman" w:hAnsi="Times New Roman" w:eastAsia="宋体" w:cs="Times New Roman"/>
          <w:color w:val="auto"/>
          <w:kern w:val="0"/>
          <w:sz w:val="24"/>
          <w:szCs w:val="24"/>
          <w:lang w:val="en-US" w:eastAsia="zh-CN" w:bidi="ar"/>
        </w:rPr>
        <w:t>环境影响报告书》，报生态环境主管部门批准后，可作为本工程环保工作及主管部门环境管理的依据。</w:t>
      </w:r>
    </w:p>
    <w:p w14:paraId="4D96BC39">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cs="Times New Roman"/>
          <w:color w:val="auto"/>
          <w:kern w:val="0"/>
          <w:sz w:val="24"/>
          <w:szCs w:val="24"/>
          <w:lang w:val="en-US" w:eastAsia="zh-CN" w:bidi="ar"/>
        </w:rPr>
        <w:t>公路建设项目环境影响</w:t>
      </w:r>
      <w:r>
        <w:rPr>
          <w:rFonts w:hint="default" w:ascii="Times New Roman" w:hAnsi="Times New Roman" w:eastAsia="宋体" w:cs="Times New Roman"/>
          <w:color w:val="auto"/>
          <w:kern w:val="0"/>
          <w:sz w:val="24"/>
          <w:szCs w:val="24"/>
          <w:lang w:val="en-US" w:eastAsia="zh-CN" w:bidi="ar"/>
        </w:rPr>
        <w:t>评价工作程序见图1.2-1。</w:t>
      </w:r>
    </w:p>
    <w:p w14:paraId="5BA1B4A5">
      <w:pPr>
        <w:pStyle w:val="43"/>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528310" cy="7837805"/>
            <wp:effectExtent l="0" t="0" r="3810" b="10795"/>
            <wp:docPr id="35" name="图片 35" descr="截图20240709125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截图20240709125201"/>
                    <pic:cNvPicPr>
                      <a:picLocks noChangeAspect="1"/>
                    </pic:cNvPicPr>
                  </pic:nvPicPr>
                  <pic:blipFill>
                    <a:blip r:embed="rId15"/>
                    <a:stretch>
                      <a:fillRect/>
                    </a:stretch>
                  </pic:blipFill>
                  <pic:spPr>
                    <a:xfrm>
                      <a:off x="0" y="0"/>
                      <a:ext cx="5528310" cy="7837805"/>
                    </a:xfrm>
                    <a:prstGeom prst="rect">
                      <a:avLst/>
                    </a:prstGeom>
                  </pic:spPr>
                </pic:pic>
              </a:graphicData>
            </a:graphic>
          </wp:inline>
        </w:drawing>
      </w:r>
    </w:p>
    <w:p w14:paraId="27ACF705">
      <w:pPr>
        <w:ind w:left="-240" w:leftChars="-100" w:firstLine="422"/>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图</w:t>
      </w:r>
      <w:r>
        <w:rPr>
          <w:rFonts w:hint="default" w:ascii="Times New Roman" w:hAnsi="Times New Roman" w:cs="Times New Roman"/>
          <w:b/>
          <w:color w:val="auto"/>
          <w:sz w:val="21"/>
          <w:szCs w:val="21"/>
          <w:lang w:val="en-US" w:eastAsia="zh-CN"/>
        </w:rPr>
        <w:t>1.2-1</w:t>
      </w:r>
      <w:r>
        <w:rPr>
          <w:rFonts w:hint="default" w:ascii="Times New Roman" w:hAnsi="Times New Roman" w:cs="Times New Roman"/>
          <w:b/>
          <w:color w:val="auto"/>
          <w:sz w:val="21"/>
          <w:szCs w:val="21"/>
        </w:rPr>
        <w:t xml:space="preserve">  </w:t>
      </w:r>
      <w:r>
        <w:rPr>
          <w:rFonts w:hint="default" w:ascii="Times New Roman" w:hAnsi="Times New Roman" w:cs="Times New Roman"/>
          <w:b/>
          <w:color w:val="auto"/>
          <w:sz w:val="21"/>
          <w:szCs w:val="21"/>
          <w:lang w:val="en-US" w:eastAsia="zh-CN"/>
        </w:rPr>
        <w:t>公路建设项目</w:t>
      </w:r>
      <w:r>
        <w:rPr>
          <w:rFonts w:hint="default" w:ascii="Times New Roman" w:hAnsi="Times New Roman" w:cs="Times New Roman"/>
          <w:b/>
          <w:color w:val="auto"/>
          <w:sz w:val="21"/>
          <w:szCs w:val="21"/>
        </w:rPr>
        <w:t>环境影响评价工作程序框图</w:t>
      </w:r>
    </w:p>
    <w:p w14:paraId="79CD22D0">
      <w:pPr>
        <w:pStyle w:val="3"/>
        <w:keepNext/>
        <w:keepLines/>
        <w:pageBreakBefore w:val="0"/>
        <w:widowControl w:val="0"/>
        <w:numPr>
          <w:ilvl w:val="1"/>
          <w:numId w:val="0"/>
        </w:numPr>
        <w:kinsoku/>
        <w:wordWrap/>
        <w:overflowPunct/>
        <w:topLinePunct w:val="0"/>
        <w:autoSpaceDE/>
        <w:autoSpaceDN/>
        <w:bidi w:val="0"/>
        <w:adjustRightInd w:val="0"/>
        <w:snapToGrid w:val="0"/>
        <w:spacing w:before="157" w:beforeLines="50"/>
        <w:ind w:leftChars="0"/>
        <w:textAlignment w:val="auto"/>
        <w:rPr>
          <w:rFonts w:hint="default" w:ascii="Times New Roman" w:hAnsi="Times New Roman" w:eastAsia="宋体" w:cs="Times New Roman"/>
          <w:b/>
          <w:bCs/>
          <w:color w:val="auto"/>
          <w:szCs w:val="22"/>
          <w:lang w:val="en-US" w:eastAsia="zh-CN"/>
        </w:rPr>
      </w:pPr>
      <w:bookmarkStart w:id="151" w:name="_Toc8482"/>
      <w:bookmarkStart w:id="152" w:name="_Toc16591"/>
      <w:bookmarkStart w:id="153" w:name="_Toc20059"/>
      <w:bookmarkStart w:id="154" w:name="_Toc22761"/>
      <w:bookmarkStart w:id="155" w:name="_Toc13999"/>
      <w:bookmarkStart w:id="156" w:name="_Toc5061"/>
      <w:bookmarkStart w:id="157" w:name="_Toc2651"/>
      <w:bookmarkStart w:id="158" w:name="_Toc10982"/>
      <w:bookmarkStart w:id="159" w:name="_Toc19890"/>
      <w:bookmarkStart w:id="160" w:name="_Toc31082"/>
      <w:bookmarkStart w:id="161" w:name="_Toc26360"/>
      <w:bookmarkStart w:id="162" w:name="_Toc484105081"/>
      <w:bookmarkStart w:id="163" w:name="_Toc20254"/>
      <w:bookmarkStart w:id="164" w:name="_Toc9520"/>
      <w:bookmarkStart w:id="165" w:name="_Toc7151"/>
      <w:bookmarkStart w:id="166" w:name="_Toc12530"/>
      <w:bookmarkStart w:id="167" w:name="_Toc2815"/>
      <w:bookmarkStart w:id="168" w:name="_Toc26365"/>
      <w:bookmarkStart w:id="169" w:name="_Toc8891"/>
      <w:bookmarkStart w:id="170" w:name="_Toc27516"/>
      <w:bookmarkStart w:id="171" w:name="_Toc1997"/>
      <w:bookmarkStart w:id="172" w:name="_Toc23384"/>
      <w:bookmarkStart w:id="173" w:name="_Toc13463"/>
      <w:bookmarkStart w:id="174" w:name="_Toc27867"/>
      <w:bookmarkStart w:id="175" w:name="_Toc3970"/>
      <w:bookmarkStart w:id="176" w:name="_Toc28037"/>
      <w:bookmarkStart w:id="177" w:name="_Toc16804"/>
      <w:bookmarkStart w:id="178" w:name="_Toc11779"/>
      <w:bookmarkStart w:id="179" w:name="_Toc20010"/>
      <w:bookmarkStart w:id="180" w:name="_Toc22547"/>
      <w:bookmarkStart w:id="181" w:name="_Toc10271"/>
      <w:bookmarkStart w:id="182" w:name="_Toc16875"/>
      <w:bookmarkStart w:id="183" w:name="_Toc7573"/>
      <w:bookmarkStart w:id="184" w:name="_Toc28326"/>
      <w:bookmarkStart w:id="185" w:name="_Toc15756"/>
      <w:bookmarkStart w:id="186" w:name="_Toc16640"/>
      <w:bookmarkStart w:id="187" w:name="_Toc11490"/>
      <w:bookmarkStart w:id="188" w:name="_Toc5946"/>
      <w:bookmarkStart w:id="189" w:name="_Toc3390"/>
      <w:bookmarkStart w:id="190" w:name="_Toc12366"/>
      <w:bookmarkStart w:id="191" w:name="_Toc21168"/>
      <w:bookmarkStart w:id="192" w:name="_Toc14077"/>
      <w:bookmarkStart w:id="193" w:name="_Toc4970"/>
      <w:bookmarkStart w:id="194" w:name="_Toc25315"/>
      <w:bookmarkStart w:id="195" w:name="_Toc9774"/>
      <w:bookmarkStart w:id="196" w:name="_Toc565"/>
      <w:bookmarkStart w:id="197" w:name="_Toc17462"/>
      <w:bookmarkStart w:id="198" w:name="_Toc27258"/>
      <w:bookmarkStart w:id="199" w:name="_Toc8332"/>
      <w:bookmarkStart w:id="200" w:name="_Toc10648"/>
      <w:bookmarkStart w:id="201" w:name="_Toc5446"/>
      <w:bookmarkStart w:id="202" w:name="_Toc7159"/>
      <w:bookmarkStart w:id="203" w:name="_Toc960"/>
      <w:bookmarkStart w:id="204" w:name="_Toc1311"/>
      <w:bookmarkStart w:id="205" w:name="_Toc26931"/>
      <w:bookmarkStart w:id="206" w:name="_Toc6278"/>
      <w:bookmarkStart w:id="207" w:name="_Toc25950"/>
      <w:bookmarkStart w:id="208" w:name="_Toc12313"/>
      <w:bookmarkStart w:id="209" w:name="_Toc6498"/>
      <w:bookmarkStart w:id="210" w:name="_Toc28019"/>
      <w:bookmarkStart w:id="211" w:name="_Toc30126"/>
      <w:bookmarkStart w:id="212" w:name="_Toc13168"/>
      <w:bookmarkStart w:id="213" w:name="_Toc493523085"/>
      <w:bookmarkStart w:id="214" w:name="_Toc23529"/>
      <w:bookmarkStart w:id="215" w:name="_Toc28000"/>
      <w:bookmarkStart w:id="216" w:name="_Toc5902"/>
      <w:bookmarkStart w:id="217" w:name="_Toc30994"/>
      <w:r>
        <w:rPr>
          <w:rFonts w:hint="default" w:ascii="Times New Roman" w:hAnsi="Times New Roman" w:cs="Times New Roman"/>
          <w:color w:val="auto"/>
          <w:lang w:val="en-US" w:eastAsia="zh-CN"/>
        </w:rPr>
        <w:t>1.3 分析判定相关情况</w:t>
      </w:r>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p>
    <w:p w14:paraId="58BEB931">
      <w:pPr>
        <w:keepNext w:val="0"/>
        <w:keepLines w:val="0"/>
        <w:pageBreakBefore w:val="0"/>
        <w:widowControl/>
        <w:suppressLineNumbers w:val="0"/>
        <w:kinsoku/>
        <w:overflowPunct/>
        <w:autoSpaceDE/>
        <w:autoSpaceDN/>
        <w:bidi w:val="0"/>
        <w:adjustRightInd w:val="0"/>
        <w:snapToGrid w:val="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cs="Times New Roman"/>
          <w:color w:val="auto"/>
          <w:highlight w:val="none"/>
        </w:rPr>
        <w:t>根据《国民经济行业分类》（</w:t>
      </w:r>
      <w:r>
        <w:rPr>
          <w:rFonts w:hint="default" w:ascii="Times New Roman" w:hAnsi="Times New Roman" w:eastAsia="Times New Roman" w:cs="Times New Roman"/>
          <w:color w:val="auto"/>
          <w:highlight w:val="none"/>
        </w:rPr>
        <w:t>GB/T4754-2017</w:t>
      </w:r>
      <w:r>
        <w:rPr>
          <w:rFonts w:hint="default" w:ascii="Times New Roman" w:hAnsi="Times New Roman" w:cs="Times New Roman"/>
          <w:color w:val="auto"/>
          <w:highlight w:val="none"/>
        </w:rPr>
        <w:t>），本工程</w:t>
      </w:r>
      <w:r>
        <w:rPr>
          <w:rFonts w:hint="eastAsia" w:cs="Times New Roman"/>
          <w:color w:val="auto"/>
          <w:highlight w:val="none"/>
          <w:lang w:eastAsia="zh-CN"/>
        </w:rPr>
        <w:t>属于</w:t>
      </w:r>
      <w:r>
        <w:rPr>
          <w:rFonts w:hint="default" w:ascii="Times New Roman" w:hAnsi="Times New Roman" w:cs="Times New Roman"/>
          <w:color w:val="auto"/>
          <w:highlight w:val="none"/>
        </w:rPr>
        <w:t>其中的“</w:t>
      </w:r>
      <w:r>
        <w:rPr>
          <w:rFonts w:hint="default" w:ascii="Times New Roman" w:hAnsi="Times New Roman" w:eastAsia="Times New Roman" w:cs="Times New Roman"/>
          <w:color w:val="auto"/>
          <w:highlight w:val="none"/>
        </w:rPr>
        <w:t>E4812</w:t>
      </w:r>
      <w:r>
        <w:rPr>
          <w:rFonts w:hint="default" w:ascii="Times New Roman" w:hAnsi="Times New Roman" w:cs="Times New Roman"/>
          <w:color w:val="auto"/>
          <w:highlight w:val="none"/>
        </w:rPr>
        <w:t xml:space="preserve"> 公路工程建筑”；根据《产业结构调整指导目录（</w:t>
      </w:r>
      <w:r>
        <w:rPr>
          <w:rFonts w:hint="default" w:ascii="Times New Roman" w:hAnsi="Times New Roman" w:eastAsia="Times New Roman" w:cs="Times New Roman"/>
          <w:color w:val="auto"/>
          <w:highlight w:val="none"/>
        </w:rPr>
        <w:t>2024</w:t>
      </w:r>
      <w:r>
        <w:rPr>
          <w:rFonts w:hint="default" w:ascii="Times New Roman" w:hAnsi="Times New Roman" w:cs="Times New Roman"/>
          <w:color w:val="auto"/>
          <w:highlight w:val="none"/>
        </w:rPr>
        <w:t>年本）》，本项目属于“第一类鼓励类 第二十四条 公路及道路运输”中的“1 公路交通网络建设国省干线改造升级”。因此，本项目的建设符合国家当前的相关产业政策。</w:t>
      </w:r>
    </w:p>
    <w:p w14:paraId="581DF96B">
      <w:pPr>
        <w:keepNext w:val="0"/>
        <w:keepLines w:val="0"/>
        <w:pageBreakBefore w:val="0"/>
        <w:widowControl/>
        <w:suppressLineNumbers w:val="0"/>
        <w:kinsoku/>
        <w:overflowPunct/>
        <w:autoSpaceDE/>
        <w:autoSpaceDN/>
        <w:bidi w:val="0"/>
        <w:adjustRightInd w:val="0"/>
        <w:snapToGrid w:val="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cs="Times New Roman"/>
          <w:color w:val="auto"/>
          <w:sz w:val="24"/>
          <w:szCs w:val="24"/>
          <w:lang w:val="en-US" w:eastAsia="zh-CN"/>
        </w:rPr>
        <w:t>S227阿图什至喀什公路新建工程（隧道）</w:t>
      </w:r>
      <w:r>
        <w:rPr>
          <w:rFonts w:hint="default" w:ascii="Times New Roman" w:hAnsi="Times New Roman" w:cs="Times New Roman"/>
          <w:color w:val="auto"/>
          <w:highlight w:val="none"/>
          <w:lang w:val="en-US" w:eastAsia="zh-CN"/>
        </w:rPr>
        <w:t>是《国家公路网规划（2013年-2030年）》普通国道网G3012、G314的重要组成部分，是《新疆维吾尔自治区公路网规划（2021-2050年）》南疆环的重要组成部分，</w:t>
      </w:r>
      <w:r>
        <w:rPr>
          <w:rFonts w:hint="default" w:ascii="Times New Roman" w:hAnsi="Times New Roman" w:eastAsia="宋体" w:cs="Times New Roman"/>
          <w:color w:val="auto"/>
          <w:kern w:val="0"/>
          <w:sz w:val="24"/>
          <w:szCs w:val="24"/>
          <w:lang w:val="en-US" w:eastAsia="zh-CN" w:bidi="ar"/>
        </w:rPr>
        <w:t>《新疆维吾尔自治区省道网规划（2022-2035）》中S227省道重要组成部分，</w:t>
      </w:r>
      <w:r>
        <w:rPr>
          <w:rFonts w:hint="default" w:ascii="Times New Roman" w:hAnsi="Times New Roman" w:cs="Times New Roman"/>
          <w:color w:val="auto"/>
          <w:highlight w:val="none"/>
        </w:rPr>
        <w:t>符合沿线路网规划。</w:t>
      </w:r>
    </w:p>
    <w:p w14:paraId="1E877D17">
      <w:pPr>
        <w:keepNext w:val="0"/>
        <w:keepLines w:val="0"/>
        <w:pageBreakBefore w:val="0"/>
        <w:widowControl/>
        <w:suppressLineNumbers w:val="0"/>
        <w:kinsoku/>
        <w:overflowPunct/>
        <w:autoSpaceDE/>
        <w:autoSpaceDN/>
        <w:bidi w:val="0"/>
        <w:adjustRightInd w:val="0"/>
        <w:snapToGrid w:val="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cs="Times New Roman"/>
          <w:color w:val="auto"/>
          <w:highlight w:val="none"/>
        </w:rPr>
        <w:t>拟建公路</w:t>
      </w:r>
      <w:r>
        <w:rPr>
          <w:rFonts w:hint="default" w:ascii="Times New Roman" w:hAnsi="Times New Roman" w:cs="Times New Roman"/>
          <w:color w:val="auto"/>
          <w:highlight w:val="none"/>
          <w:lang w:val="en-US" w:eastAsia="zh-CN"/>
        </w:rPr>
        <w:t>符合</w:t>
      </w:r>
      <w:r>
        <w:rPr>
          <w:rFonts w:hint="default" w:ascii="Times New Roman" w:hAnsi="Times New Roman" w:eastAsia="宋体" w:cs="Times New Roman"/>
          <w:color w:val="auto"/>
          <w:kern w:val="0"/>
          <w:sz w:val="24"/>
          <w:szCs w:val="24"/>
          <w:lang w:val="en-US" w:eastAsia="zh-CN" w:bidi="ar"/>
        </w:rPr>
        <w:t>《关于印发</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新疆维吾尔自治区“三线一单”生态环境分区管控方案</w:t>
      </w:r>
      <w:r>
        <w:rPr>
          <w:rFonts w:hint="default" w:ascii="Times New Roman" w:hAnsi="Times New Roman" w:cs="Times New Roman"/>
          <w:color w:val="auto"/>
          <w:kern w:val="0"/>
          <w:sz w:val="24"/>
          <w:szCs w:val="24"/>
          <w:lang w:val="en-US" w:eastAsia="zh-CN" w:bidi="ar"/>
        </w:rPr>
        <w:t>〉的通知》</w:t>
      </w:r>
      <w:r>
        <w:rPr>
          <w:rFonts w:hint="default" w:ascii="Times New Roman" w:hAnsi="Times New Roman" w:eastAsia="宋体" w:cs="Times New Roman"/>
          <w:b w:val="0"/>
          <w:bCs w:val="0"/>
          <w:color w:val="auto"/>
          <w:spacing w:val="-6"/>
          <w:sz w:val="24"/>
          <w:szCs w:val="24"/>
        </w:rPr>
        <w:t>《关于&lt;喀什地区“三线一单”生态环境分区管控方案（2023年版）修改单&gt;的通知》《</w:t>
      </w:r>
      <w:r>
        <w:rPr>
          <w:rFonts w:hint="default" w:ascii="Times New Roman" w:hAnsi="Times New Roman" w:eastAsia="宋体" w:cs="Times New Roman"/>
          <w:b w:val="0"/>
          <w:bCs w:val="0"/>
          <w:color w:val="auto"/>
          <w:sz w:val="24"/>
          <w:szCs w:val="24"/>
        </w:rPr>
        <w:t>克孜勒苏柯尔克孜自治州</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三线一单</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生态环境分区管控方案</w:t>
      </w:r>
      <w:r>
        <w:rPr>
          <w:rFonts w:hint="default" w:ascii="Times New Roman" w:hAnsi="Times New Roman" w:eastAsia="宋体" w:cs="Times New Roman"/>
          <w:b w:val="0"/>
          <w:bCs w:val="0"/>
          <w:color w:val="auto"/>
          <w:spacing w:val="-6"/>
          <w:sz w:val="24"/>
          <w:szCs w:val="24"/>
        </w:rPr>
        <w:t>》</w:t>
      </w:r>
      <w:r>
        <w:rPr>
          <w:rFonts w:hint="default" w:ascii="Times New Roman" w:hAnsi="Times New Roman" w:cs="Times New Roman"/>
          <w:color w:val="auto"/>
          <w:highlight w:val="none"/>
          <w:lang w:val="en-US" w:eastAsia="zh-CN"/>
        </w:rPr>
        <w:t>的相关管控要求。</w:t>
      </w:r>
    </w:p>
    <w:p w14:paraId="3D8CD080">
      <w:pPr>
        <w:bidi w:val="0"/>
        <w:rPr>
          <w:rFonts w:hint="default" w:ascii="Times New Roman" w:hAnsi="Times New Roman" w:cs="Times New Roman"/>
          <w:color w:val="auto"/>
          <w:highlight w:val="none"/>
          <w:lang w:val="zh-CN"/>
        </w:rPr>
      </w:pPr>
      <w:r>
        <w:rPr>
          <w:rFonts w:hint="default" w:ascii="Times New Roman" w:hAnsi="Times New Roman" w:cs="Times New Roman"/>
          <w:color w:val="auto"/>
        </w:rPr>
        <w:t>本项目永久占地面积为329923m</w:t>
      </w:r>
      <w:r>
        <w:rPr>
          <w:rFonts w:hint="default" w:ascii="Times New Roman" w:hAnsi="Times New Roman" w:cs="Times New Roman"/>
          <w:color w:val="auto"/>
          <w:vertAlign w:val="superscript"/>
        </w:rPr>
        <w:t>2</w:t>
      </w:r>
      <w:r>
        <w:rPr>
          <w:rFonts w:hint="default" w:ascii="Times New Roman" w:hAnsi="Times New Roman" w:cs="Times New Roman"/>
          <w:color w:val="auto"/>
        </w:rPr>
        <w:t>，临时占地为450133m</w:t>
      </w:r>
      <w:r>
        <w:rPr>
          <w:rFonts w:hint="default" w:ascii="Times New Roman" w:hAnsi="Times New Roman" w:cs="Times New Roman"/>
          <w:color w:val="auto"/>
          <w:vertAlign w:val="superscript"/>
        </w:rPr>
        <w:t>2</w:t>
      </w:r>
      <w:r>
        <w:rPr>
          <w:rFonts w:hint="default" w:ascii="Times New Roman" w:hAnsi="Times New Roman" w:cs="Times New Roman"/>
          <w:color w:val="auto"/>
        </w:rPr>
        <w:t>。根据《土地利用现状分类》（GB/T21010-2017）及结合卫片解译，项目区占地类型主要为其他土地—裸岩石砾地（裸岩石质地、戈壁）、少量的建设用地及农用地。关于农用地占用的具体情况，依据阿图什市自然资源局出具的《S227阿图什至喀什公路新建工程（隧道）路线建设方案意见的回函》明确，项目收费站（与隧道管理站合建）涉及占用农用地</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lang w:val="en-US" w:eastAsia="zh-CN"/>
        </w:rPr>
        <w:t>不可避免地对其造成影响。因此施工期严控施工范围、避免对生态环境进行大范围扰动。在依法</w:t>
      </w:r>
      <w:r>
        <w:rPr>
          <w:rFonts w:hint="default" w:ascii="Times New Roman" w:hAnsi="Times New Roman" w:cs="Times New Roman"/>
          <w:color w:val="auto"/>
          <w:lang w:val="zh-CN"/>
        </w:rPr>
        <w:t>取得</w:t>
      </w:r>
      <w:r>
        <w:rPr>
          <w:rFonts w:hint="default" w:ascii="Times New Roman" w:hAnsi="Times New Roman" w:cs="Times New Roman"/>
          <w:color w:val="auto"/>
          <w:lang w:val="en-US" w:eastAsia="zh-CN"/>
        </w:rPr>
        <w:t>克州农业农村、</w:t>
      </w:r>
      <w:r>
        <w:rPr>
          <w:rFonts w:hint="default" w:ascii="Times New Roman" w:hAnsi="Times New Roman" w:cs="Times New Roman"/>
          <w:color w:val="auto"/>
          <w:lang w:val="zh-CN"/>
        </w:rPr>
        <w:t>林业和草原主管部门的同意后方可施工。</w:t>
      </w:r>
    </w:p>
    <w:p w14:paraId="59C7DCCE">
      <w:pPr>
        <w:pStyle w:val="10"/>
        <w:keepNext w:val="0"/>
        <w:keepLines w:val="0"/>
        <w:pageBreakBefore w:val="0"/>
        <w:widowControl w:val="0"/>
        <w:kinsoku/>
        <w:wordWrap w:val="0"/>
        <w:overflowPunct/>
        <w:topLinePunct/>
        <w:autoSpaceDE/>
        <w:autoSpaceDN/>
        <w:bidi w:val="0"/>
        <w:adjustRightInd w:val="0"/>
        <w:snapToGrid w:val="0"/>
        <w:ind w:firstLine="480"/>
        <w:jc w:val="both"/>
        <w:textAlignment w:val="auto"/>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根据项目所在地环境质量现状调查和本项目污染排放影响预测可知，本项目运营后对区域内环境影响较小，环境质量可以保持现有水平，不会对区域环境质量底线造成冲击，因此本项目建设满足环境质量底线要求。本项目建设及营运过程中能耗、水资源消耗较小。本项目建设永久占地会对当地农业生产及林地资源造成一定的影响。项目</w:t>
      </w:r>
      <w:r>
        <w:rPr>
          <w:rFonts w:hint="default" w:ascii="Times New Roman" w:hAnsi="Times New Roman" w:cs="Times New Roman"/>
          <w:color w:val="auto"/>
          <w:sz w:val="24"/>
          <w:szCs w:val="22"/>
          <w:highlight w:val="none"/>
          <w:lang w:val="en-US" w:eastAsia="zh-CN"/>
        </w:rPr>
        <w:t>不占用基本农田，</w:t>
      </w:r>
      <w:r>
        <w:rPr>
          <w:rFonts w:hint="default" w:ascii="Times New Roman" w:hAnsi="Times New Roman" w:cs="Times New Roman"/>
          <w:color w:val="auto"/>
          <w:sz w:val="24"/>
          <w:szCs w:val="22"/>
          <w:highlight w:val="none"/>
        </w:rPr>
        <w:t>占用的</w:t>
      </w:r>
      <w:r>
        <w:rPr>
          <w:rFonts w:hint="default" w:ascii="Times New Roman" w:hAnsi="Times New Roman" w:cs="Times New Roman"/>
          <w:color w:val="auto"/>
          <w:sz w:val="24"/>
          <w:szCs w:val="22"/>
          <w:highlight w:val="none"/>
          <w:lang w:val="en-US" w:eastAsia="zh-CN"/>
        </w:rPr>
        <w:t>主要为其他土地—裸岩石砾地（裸岩石质地、戈壁）、少量的建设用地及农用地</w:t>
      </w:r>
      <w:r>
        <w:rPr>
          <w:rFonts w:hint="default" w:ascii="Times New Roman" w:hAnsi="Times New Roman" w:cs="Times New Roman"/>
          <w:color w:val="auto"/>
          <w:sz w:val="24"/>
          <w:szCs w:val="22"/>
          <w:highlight w:val="none"/>
        </w:rPr>
        <w:t>，相对土地资源占用的较少，同时实施土地占补平衡，项目建设符合资源利用上线要求。建设单位应按照国家、自治区相关的规定缴纳</w:t>
      </w:r>
      <w:r>
        <w:rPr>
          <w:rFonts w:hint="default" w:ascii="Times New Roman" w:hAnsi="Times New Roman" w:cs="Times New Roman"/>
          <w:color w:val="auto"/>
          <w:sz w:val="24"/>
          <w:szCs w:val="22"/>
          <w:highlight w:val="none"/>
          <w:lang w:val="en-US" w:eastAsia="zh-CN"/>
        </w:rPr>
        <w:t>相关费用</w:t>
      </w:r>
      <w:r>
        <w:rPr>
          <w:rFonts w:hint="default" w:ascii="Times New Roman" w:hAnsi="Times New Roman" w:cs="Times New Roman"/>
          <w:color w:val="auto"/>
          <w:sz w:val="24"/>
          <w:szCs w:val="22"/>
          <w:highlight w:val="none"/>
        </w:rPr>
        <w:t>，由相关单位进行等数量的耕地开垦和森林植被恢复。</w:t>
      </w:r>
    </w:p>
    <w:p w14:paraId="6D2588A0">
      <w:pPr>
        <w:keepNext w:val="0"/>
        <w:keepLines w:val="0"/>
        <w:pageBreakBefore w:val="0"/>
        <w:widowControl/>
        <w:suppressLineNumbers w:val="0"/>
        <w:kinsoku/>
        <w:overflowPunct/>
        <w:autoSpaceDE/>
        <w:autoSpaceDN/>
        <w:bidi w:val="0"/>
        <w:adjustRightInd w:val="0"/>
        <w:snapToGrid w:val="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cs="Times New Roman"/>
          <w:color w:val="auto"/>
          <w:sz w:val="24"/>
          <w:szCs w:val="22"/>
          <w:highlight w:val="none"/>
        </w:rPr>
        <w:t>本项目属于公路基础设施建设项目，属于《关于在国土空间规划中统筹划定落实三条控制线的指导意见》中明确的允许类活动。本次环评要求，工程在实施过程中，应严格执行相关生态保护措施，并在取得</w:t>
      </w:r>
      <w:r>
        <w:rPr>
          <w:rFonts w:hint="default" w:ascii="Times New Roman" w:hAnsi="Times New Roman" w:cs="Times New Roman"/>
          <w:color w:val="auto"/>
          <w:lang w:val="en-US" w:eastAsia="zh-CN"/>
        </w:rPr>
        <w:t>克州农业农村、</w:t>
      </w:r>
      <w:r>
        <w:rPr>
          <w:rFonts w:hint="default" w:ascii="Times New Roman" w:hAnsi="Times New Roman" w:cs="Times New Roman"/>
          <w:color w:val="auto"/>
          <w:sz w:val="24"/>
          <w:szCs w:val="22"/>
          <w:highlight w:val="none"/>
          <w:lang w:val="zh-CN"/>
        </w:rPr>
        <w:t>林业和草原主管部门</w:t>
      </w:r>
      <w:r>
        <w:rPr>
          <w:rFonts w:hint="default" w:ascii="Times New Roman" w:hAnsi="Times New Roman" w:cs="Times New Roman"/>
          <w:color w:val="auto"/>
          <w:sz w:val="24"/>
          <w:szCs w:val="22"/>
          <w:highlight w:val="none"/>
        </w:rPr>
        <w:t>等行政许可手续后，项目方可建设实施。</w:t>
      </w:r>
    </w:p>
    <w:p w14:paraId="18DB030F">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根据《中华人民共和国环境保护法</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中华人民共和国环境影响评价法》以及国务院令第682号《建设项目环境保护管理条例》、环境保护部第5号令《建设项目环境影响评价文件分级审批规定》、生态环境部令第16号《建设项目环境影响评价分类管理名录（2021版）》等有关规定，本工程属“五十二、交通运输业、管道运输业-130等级公路（不含维护；不含生命救援、应急保通工程以及国防交通保障项目；不含改扩建四级公路）；</w:t>
      </w:r>
      <w:r>
        <w:rPr>
          <w:rFonts w:hint="default" w:ascii="Times New Roman" w:hAnsi="Times New Roman" w:cs="Times New Roman"/>
          <w:color w:val="auto"/>
          <w:kern w:val="0"/>
          <w:sz w:val="24"/>
          <w:szCs w:val="24"/>
          <w:lang w:val="en-US" w:eastAsia="zh-CN" w:bidi="ar"/>
        </w:rPr>
        <w:t>根据《新疆维吾尔自治区水土流失重点预防区和重点治理区复核划分技术报告》(2017年8月）、《新疆维吾尔自治区水土保持规划（2018-2030年）》（新政函〔2018〕146 号），</w:t>
      </w:r>
      <w:r>
        <w:rPr>
          <w:rFonts w:hint="default" w:ascii="Times New Roman" w:hAnsi="Times New Roman" w:eastAsia="宋体" w:cs="Times New Roman"/>
          <w:color w:val="auto"/>
          <w:kern w:val="0"/>
          <w:sz w:val="24"/>
          <w:szCs w:val="24"/>
          <w:lang w:val="en-US" w:eastAsia="zh-CN" w:bidi="ar"/>
        </w:rPr>
        <w:t>本工程</w:t>
      </w:r>
      <w:r>
        <w:rPr>
          <w:rFonts w:hint="default" w:ascii="Times New Roman" w:hAnsi="Times New Roman" w:cs="Times New Roman"/>
          <w:color w:val="auto"/>
          <w:kern w:val="0"/>
          <w:sz w:val="24"/>
          <w:szCs w:val="24"/>
          <w:lang w:val="en-US" w:eastAsia="zh-CN" w:bidi="ar"/>
        </w:rPr>
        <w:t>位于阿图什市</w:t>
      </w:r>
      <w:r>
        <w:rPr>
          <w:rFonts w:hint="eastAsia" w:cs="Times New Roman"/>
          <w:color w:val="auto"/>
          <w:kern w:val="0"/>
          <w:sz w:val="24"/>
          <w:szCs w:val="24"/>
          <w:lang w:val="en-US" w:eastAsia="zh-CN" w:bidi="ar"/>
        </w:rPr>
        <w:t>、喀什</w:t>
      </w:r>
      <w:r>
        <w:rPr>
          <w:rFonts w:hint="default" w:ascii="Times New Roman" w:hAnsi="Times New Roman" w:cs="Times New Roman"/>
          <w:color w:val="auto"/>
          <w:kern w:val="0"/>
          <w:sz w:val="24"/>
          <w:szCs w:val="24"/>
          <w:lang w:val="en-US" w:eastAsia="zh-CN" w:bidi="ar"/>
        </w:rPr>
        <w:t>境内，</w:t>
      </w:r>
      <w:r>
        <w:rPr>
          <w:rFonts w:hint="default" w:ascii="Times New Roman" w:hAnsi="Times New Roman" w:cs="Times New Roman"/>
          <w:color w:val="auto"/>
          <w:kern w:val="0"/>
          <w:sz w:val="24"/>
          <w:szCs w:val="24"/>
          <w:highlight w:val="none"/>
          <w:lang w:val="en-US" w:eastAsia="zh-CN" w:bidi="ar"/>
        </w:rPr>
        <w:t>为</w:t>
      </w:r>
      <w:r>
        <w:rPr>
          <w:rFonts w:hint="default" w:ascii="Times New Roman" w:hAnsi="Times New Roman" w:eastAsia="宋体" w:cs="Times New Roman"/>
          <w:color w:val="auto"/>
          <w:kern w:val="0"/>
          <w:sz w:val="24"/>
          <w:szCs w:val="24"/>
          <w:highlight w:val="none"/>
          <w:lang w:val="en-US" w:eastAsia="zh-CN" w:bidi="ar"/>
        </w:rPr>
        <w:t>II3塔里木河流域重点治理区</w:t>
      </w:r>
      <w:r>
        <w:rPr>
          <w:rFonts w:hint="default" w:ascii="Times New Roman" w:hAnsi="Times New Roman" w:cs="Times New Roman"/>
          <w:color w:val="auto"/>
          <w:kern w:val="0"/>
          <w:sz w:val="24"/>
          <w:szCs w:val="24"/>
          <w:highlight w:val="none"/>
          <w:lang w:val="en-US" w:eastAsia="zh-CN" w:bidi="ar"/>
        </w:rPr>
        <w:t>，</w:t>
      </w:r>
      <w:r>
        <w:rPr>
          <w:rFonts w:hint="default" w:ascii="Times New Roman" w:hAnsi="Times New Roman" w:cs="Times New Roman"/>
          <w:color w:val="auto"/>
          <w:kern w:val="0"/>
          <w:sz w:val="24"/>
          <w:szCs w:val="24"/>
          <w:lang w:val="en-US" w:eastAsia="zh-CN" w:bidi="ar"/>
        </w:rPr>
        <w:t>属于自治区级重点治理区；</w:t>
      </w:r>
      <w:r>
        <w:rPr>
          <w:rFonts w:hint="default" w:ascii="Times New Roman" w:hAnsi="Times New Roman" w:eastAsia="宋体" w:cs="Times New Roman"/>
          <w:color w:val="auto"/>
          <w:kern w:val="0"/>
          <w:sz w:val="24"/>
          <w:szCs w:val="24"/>
          <w:lang w:val="en-US" w:eastAsia="zh-CN" w:bidi="ar"/>
        </w:rPr>
        <w:t>根据《中华人民共和国环境影响评价法》和建设项目环境影响评价分类管理名录（2021年版）的有关要求，新建涉及环境敏感区的二级及以上等级公路需编制环境影响报告书。</w:t>
      </w:r>
    </w:p>
    <w:p w14:paraId="72529360">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）项目选线合理性分析</w:t>
      </w:r>
    </w:p>
    <w:p w14:paraId="0B91377E">
      <w:pPr>
        <w:bidi w:val="0"/>
        <w:jc w:val="both"/>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本工程线路方案最终选线方案是对环境和生态问题影响较小的方案，所涉及的环境和生态问题可通过采取一定的措施予以解决，从环境角度看项目选线是合理的。</w:t>
      </w:r>
    </w:p>
    <w:p w14:paraId="73ED5104">
      <w:pPr>
        <w:pStyle w:val="3"/>
        <w:keepNext/>
        <w:keepLines/>
        <w:pageBreakBefore w:val="0"/>
        <w:widowControl w:val="0"/>
        <w:numPr>
          <w:ilvl w:val="1"/>
          <w:numId w:val="0"/>
        </w:numPr>
        <w:kinsoku/>
        <w:wordWrap/>
        <w:overflowPunct/>
        <w:topLinePunct w:val="0"/>
        <w:autoSpaceDE/>
        <w:autoSpaceDN/>
        <w:bidi w:val="0"/>
        <w:adjustRightInd w:val="0"/>
        <w:snapToGrid w:val="0"/>
        <w:ind w:leftChars="0"/>
        <w:textAlignment w:val="auto"/>
        <w:rPr>
          <w:rFonts w:hint="default" w:ascii="Times New Roman" w:hAnsi="Times New Roman" w:eastAsia="宋体" w:cs="Times New Roman"/>
          <w:b/>
          <w:color w:val="auto"/>
          <w:szCs w:val="22"/>
        </w:rPr>
      </w:pPr>
      <w:bookmarkStart w:id="218" w:name="_Toc32198"/>
      <w:bookmarkStart w:id="219" w:name="_Toc30783"/>
      <w:bookmarkStart w:id="220" w:name="_Toc13539"/>
      <w:bookmarkStart w:id="221" w:name="_Toc6144"/>
      <w:bookmarkStart w:id="222" w:name="_Toc25282"/>
      <w:bookmarkStart w:id="223" w:name="_Toc15223"/>
      <w:bookmarkStart w:id="224" w:name="_Toc21585"/>
      <w:bookmarkStart w:id="225" w:name="_Toc2909"/>
      <w:bookmarkStart w:id="226" w:name="_Toc12749"/>
      <w:bookmarkStart w:id="227" w:name="_Toc20765"/>
      <w:bookmarkStart w:id="228" w:name="_Toc13310"/>
      <w:bookmarkStart w:id="229" w:name="_Toc17538"/>
      <w:bookmarkStart w:id="230" w:name="_Toc32732"/>
      <w:bookmarkStart w:id="231" w:name="_Toc26508"/>
      <w:bookmarkStart w:id="232" w:name="_Toc15275"/>
      <w:bookmarkStart w:id="233" w:name="_Toc730"/>
      <w:bookmarkStart w:id="234" w:name="_Toc1761"/>
      <w:bookmarkStart w:id="235" w:name="_Toc12025"/>
      <w:bookmarkStart w:id="236" w:name="_Toc14236"/>
      <w:bookmarkStart w:id="237" w:name="_Toc1630"/>
      <w:bookmarkStart w:id="238" w:name="_Toc26849"/>
      <w:bookmarkStart w:id="239" w:name="_Toc953"/>
      <w:bookmarkStart w:id="240" w:name="_Toc23571"/>
      <w:bookmarkStart w:id="241" w:name="_Toc3398"/>
      <w:bookmarkStart w:id="242" w:name="_Toc7318"/>
      <w:bookmarkStart w:id="243" w:name="_Toc19086"/>
      <w:bookmarkStart w:id="244" w:name="_Toc23557"/>
      <w:bookmarkStart w:id="245" w:name="_Toc18835"/>
      <w:bookmarkStart w:id="246" w:name="_Toc22486"/>
      <w:bookmarkStart w:id="247" w:name="_Toc12759"/>
      <w:bookmarkStart w:id="248" w:name="_Toc15859"/>
      <w:bookmarkStart w:id="249" w:name="_Toc18668"/>
      <w:bookmarkStart w:id="250" w:name="_Toc217"/>
      <w:bookmarkStart w:id="251" w:name="_Toc6917"/>
      <w:bookmarkStart w:id="252" w:name="_Toc11769"/>
      <w:bookmarkStart w:id="253" w:name="_Toc8032"/>
      <w:bookmarkStart w:id="254" w:name="_Toc32364"/>
      <w:bookmarkStart w:id="255" w:name="_Toc15311"/>
      <w:bookmarkStart w:id="256" w:name="_Toc148"/>
      <w:bookmarkStart w:id="257" w:name="_Toc8437"/>
      <w:bookmarkStart w:id="258" w:name="_Toc26983"/>
      <w:bookmarkStart w:id="259" w:name="_Toc1185"/>
      <w:bookmarkStart w:id="260" w:name="_Toc19485"/>
      <w:bookmarkStart w:id="261" w:name="_Toc15679"/>
      <w:bookmarkStart w:id="262" w:name="_Toc13342"/>
      <w:bookmarkStart w:id="263" w:name="_Toc12417"/>
      <w:bookmarkStart w:id="264" w:name="_Toc11578"/>
      <w:bookmarkStart w:id="265" w:name="_Toc14923"/>
      <w:bookmarkStart w:id="266" w:name="_Toc28929"/>
      <w:bookmarkStart w:id="267" w:name="_Toc15586"/>
      <w:bookmarkStart w:id="268" w:name="_Toc28938"/>
      <w:bookmarkStart w:id="269" w:name="_Toc10156"/>
      <w:bookmarkStart w:id="270" w:name="_Toc26695"/>
      <w:bookmarkStart w:id="271" w:name="_Toc9217"/>
      <w:bookmarkStart w:id="272" w:name="_Toc25836"/>
      <w:bookmarkStart w:id="273" w:name="_Toc20399"/>
      <w:bookmarkStart w:id="274" w:name="_Toc19232"/>
      <w:bookmarkStart w:id="275" w:name="_Toc32763"/>
      <w:bookmarkStart w:id="276" w:name="_Toc14310"/>
      <w:bookmarkStart w:id="277" w:name="_Toc6173"/>
      <w:bookmarkStart w:id="278" w:name="_Toc8389"/>
      <w:bookmarkStart w:id="279" w:name="_Toc10887"/>
      <w:r>
        <w:rPr>
          <w:rFonts w:hint="default" w:ascii="Times New Roman" w:hAnsi="Times New Roman" w:cs="Times New Roman"/>
          <w:color w:val="auto"/>
        </w:rPr>
        <w:t>1.4</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关注的主要环境问题</w:t>
      </w:r>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p>
    <w:p w14:paraId="70D56831">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拟建项目重点关注的生态环境问题主要为交通噪声及水环境风险等环境问题，工程建设不存在重大的制约因素。</w:t>
      </w:r>
    </w:p>
    <w:p w14:paraId="227314A7">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（1）生态环境</w:t>
      </w:r>
    </w:p>
    <w:p w14:paraId="4AEDB957">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r>
        <w:rPr>
          <w:rFonts w:hint="default" w:ascii="Times New Roman" w:hAnsi="Times New Roman" w:cs="Times New Roman"/>
          <w:color w:val="auto"/>
        </w:rPr>
        <w:t>施工期进行路基、桥梁建设，沿线将设置施工综合场站、施工便道等</w:t>
      </w:r>
      <w:r>
        <w:rPr>
          <w:rFonts w:hint="default" w:ascii="Times New Roman" w:hAnsi="Times New Roman" w:cs="Times New Roman"/>
          <w:color w:val="auto"/>
          <w:lang w:eastAsia="zh-CN"/>
        </w:rPr>
        <w:t>，</w:t>
      </w:r>
      <w:r>
        <w:rPr>
          <w:rFonts w:hint="default" w:ascii="Times New Roman" w:hAnsi="Times New Roman" w:cs="Times New Roman"/>
          <w:color w:val="auto"/>
        </w:rPr>
        <w:t>因此将占用一定面积土地，</w:t>
      </w:r>
      <w:r>
        <w:rPr>
          <w:rFonts w:hint="default" w:ascii="Times New Roman" w:hAnsi="Times New Roman" w:cs="Times New Roman"/>
          <w:color w:val="auto"/>
          <w:lang w:val="en-US" w:eastAsia="zh-CN"/>
        </w:rPr>
        <w:t>破坏植被，</w:t>
      </w:r>
      <w:r>
        <w:rPr>
          <w:rFonts w:hint="default" w:ascii="Times New Roman" w:hAnsi="Times New Roman" w:cs="Times New Roman"/>
          <w:color w:val="auto"/>
        </w:rPr>
        <w:t>加大水土流失</w:t>
      </w:r>
      <w:r>
        <w:rPr>
          <w:rFonts w:hint="default" w:ascii="Times New Roman" w:hAnsi="Times New Roman" w:cs="Times New Roman"/>
          <w:color w:val="auto"/>
          <w:lang w:eastAsia="zh-CN"/>
        </w:rPr>
        <w:t>程度，</w:t>
      </w:r>
      <w:r>
        <w:rPr>
          <w:rFonts w:hint="default" w:ascii="Times New Roman" w:hAnsi="Times New Roman" w:cs="Times New Roman"/>
          <w:color w:val="auto"/>
          <w:lang w:val="en-US" w:eastAsia="zh-CN"/>
        </w:rPr>
        <w:t>临时占地的恢复为施工期重点；同时以工程建设对控制</w:t>
      </w:r>
      <w:r>
        <w:rPr>
          <w:rFonts w:hint="default" w:ascii="Times New Roman" w:hAnsi="Times New Roman" w:cs="Times New Roman"/>
          <w:color w:val="auto"/>
        </w:rPr>
        <w:t>水土流失</w:t>
      </w:r>
      <w:r>
        <w:rPr>
          <w:rFonts w:hint="default" w:ascii="Times New Roman" w:hAnsi="Times New Roman" w:cs="Times New Roman"/>
          <w:color w:val="auto"/>
          <w:lang w:val="en-US" w:eastAsia="zh-CN"/>
        </w:rPr>
        <w:t>、保护野生动植物等环境影响评价及生态保护措施为重点。</w:t>
      </w:r>
    </w:p>
    <w:p w14:paraId="7A46913A">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（2）水环境</w:t>
      </w:r>
    </w:p>
    <w:p w14:paraId="5EA3E47C">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施工站场、桥梁、涵洞施工产生的废水、废渣对拟建公路途经水体的影响以及道路施工对沿途水体产生的影响，本项目距离恰克马克河约2.7km，项目施工不会对水环境保护目标造成影响</w:t>
      </w:r>
      <w:r>
        <w:rPr>
          <w:rFonts w:hint="default" w:ascii="Times New Roman" w:hAnsi="Times New Roman" w:cs="Times New Roman"/>
          <w:color w:val="auto"/>
        </w:rPr>
        <w:t>。</w:t>
      </w:r>
    </w:p>
    <w:p w14:paraId="4801C875">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（3）声环境</w:t>
      </w:r>
    </w:p>
    <w:p w14:paraId="6BBBA266">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kern w:val="0"/>
          <w:szCs w:val="24"/>
          <w:lang w:val="en-US" w:eastAsia="zh-CN" w:bidi="ar"/>
        </w:rPr>
      </w:pPr>
      <w:r>
        <w:rPr>
          <w:rFonts w:hint="default" w:ascii="Times New Roman" w:hAnsi="Times New Roman" w:cs="Times New Roman"/>
          <w:color w:val="auto"/>
          <w:lang w:val="en-US" w:eastAsia="zh-CN"/>
        </w:rPr>
        <w:t>本项目起止沿线均为荒漠戈壁，</w:t>
      </w:r>
      <w:r>
        <w:rPr>
          <w:rFonts w:hint="eastAsia" w:cs="Times New Roman"/>
          <w:color w:val="auto"/>
          <w:lang w:val="en-US" w:eastAsia="zh-CN"/>
        </w:rPr>
        <w:t>评价范围内无声环境保护目标分布，</w:t>
      </w:r>
      <w:r>
        <w:rPr>
          <w:rFonts w:hint="default" w:ascii="Times New Roman" w:hAnsi="Times New Roman" w:cs="Times New Roman"/>
          <w:color w:val="auto"/>
          <w:lang w:val="en-US" w:eastAsia="zh-CN"/>
        </w:rPr>
        <w:t>距离最近的居民区为起点北侧0.5km的兰干村，因此</w:t>
      </w:r>
      <w:r>
        <w:rPr>
          <w:rFonts w:hint="default" w:ascii="Times New Roman" w:hAnsi="Times New Roman" w:cs="Times New Roman"/>
          <w:color w:val="auto"/>
        </w:rPr>
        <w:t>运营期交通噪声对沿线声环境保护目标的影响</w:t>
      </w:r>
      <w:r>
        <w:rPr>
          <w:rFonts w:hint="default" w:ascii="Times New Roman" w:hAnsi="Times New Roman" w:cs="Times New Roman"/>
          <w:color w:val="auto"/>
          <w:lang w:val="en-US" w:eastAsia="zh-CN"/>
        </w:rPr>
        <w:t>很小</w:t>
      </w:r>
      <w:r>
        <w:rPr>
          <w:rFonts w:hint="default" w:ascii="Times New Roman" w:hAnsi="Times New Roman" w:cs="Times New Roman"/>
          <w:color w:val="auto"/>
          <w:lang w:eastAsia="zh-CN"/>
        </w:rPr>
        <w:t>。</w:t>
      </w:r>
    </w:p>
    <w:p w14:paraId="74CF8413">
      <w:pPr>
        <w:pStyle w:val="3"/>
        <w:keepNext/>
        <w:keepLines/>
        <w:pageBreakBefore w:val="0"/>
        <w:widowControl w:val="0"/>
        <w:numPr>
          <w:ilvl w:val="1"/>
          <w:numId w:val="0"/>
        </w:numPr>
        <w:kinsoku/>
        <w:wordWrap/>
        <w:overflowPunct/>
        <w:topLinePunct w:val="0"/>
        <w:autoSpaceDE/>
        <w:autoSpaceDN/>
        <w:bidi w:val="0"/>
        <w:adjustRightInd w:val="0"/>
        <w:snapToGrid w:val="0"/>
        <w:ind w:leftChars="0"/>
        <w:textAlignment w:val="auto"/>
        <w:rPr>
          <w:rFonts w:hint="default" w:ascii="Times New Roman" w:hAnsi="Times New Roman" w:eastAsia="宋体" w:cs="Times New Roman"/>
          <w:b/>
          <w:color w:val="auto"/>
          <w:szCs w:val="22"/>
        </w:rPr>
      </w:pPr>
      <w:bookmarkStart w:id="280" w:name="_Toc15157"/>
      <w:bookmarkStart w:id="281" w:name="_Toc18863"/>
      <w:bookmarkStart w:id="282" w:name="_Toc1224"/>
      <w:bookmarkStart w:id="283" w:name="_Toc14348"/>
      <w:bookmarkStart w:id="284" w:name="_Toc12147"/>
      <w:bookmarkStart w:id="285" w:name="_Toc15074"/>
      <w:bookmarkStart w:id="286" w:name="_Toc23135"/>
      <w:bookmarkStart w:id="287" w:name="_Toc11400"/>
      <w:bookmarkStart w:id="288" w:name="_Toc21487"/>
      <w:bookmarkStart w:id="289" w:name="_Toc7319"/>
      <w:bookmarkStart w:id="290" w:name="_Toc23199"/>
      <w:bookmarkStart w:id="291" w:name="_Toc23"/>
      <w:bookmarkStart w:id="292" w:name="_Toc27650"/>
      <w:bookmarkStart w:id="293" w:name="_Toc32408"/>
      <w:bookmarkStart w:id="294" w:name="_Toc4182"/>
      <w:bookmarkStart w:id="295" w:name="_Toc1060"/>
      <w:bookmarkStart w:id="296" w:name="_Toc1838"/>
      <w:bookmarkStart w:id="297" w:name="_Toc851"/>
      <w:bookmarkStart w:id="298" w:name="_Toc8854"/>
      <w:bookmarkStart w:id="299" w:name="_Toc23646"/>
      <w:bookmarkStart w:id="300" w:name="_Toc20960"/>
      <w:bookmarkStart w:id="301" w:name="_Toc1009"/>
      <w:bookmarkStart w:id="302" w:name="_Toc7978"/>
      <w:bookmarkStart w:id="303" w:name="_Toc28945"/>
      <w:bookmarkStart w:id="304" w:name="_Toc3232"/>
      <w:bookmarkStart w:id="305" w:name="_Toc25978"/>
      <w:bookmarkStart w:id="306" w:name="_Toc7849"/>
      <w:bookmarkStart w:id="307" w:name="_Toc25770"/>
      <w:bookmarkStart w:id="308" w:name="_Toc5964"/>
      <w:bookmarkStart w:id="309" w:name="_Toc7233"/>
      <w:bookmarkStart w:id="310" w:name="_Toc8740"/>
      <w:bookmarkStart w:id="311" w:name="_Toc21956"/>
      <w:bookmarkStart w:id="312" w:name="_Toc17464"/>
      <w:bookmarkStart w:id="313" w:name="_Toc8788"/>
      <w:bookmarkStart w:id="314" w:name="_Toc30314"/>
      <w:bookmarkStart w:id="315" w:name="_Toc11777"/>
      <w:bookmarkStart w:id="316" w:name="_Toc28700"/>
      <w:bookmarkStart w:id="317" w:name="_Toc789"/>
      <w:bookmarkStart w:id="318" w:name="_Toc30410"/>
      <w:bookmarkStart w:id="319" w:name="_Toc27482"/>
      <w:bookmarkStart w:id="320" w:name="_Toc18725"/>
      <w:bookmarkStart w:id="321" w:name="_Toc5230"/>
      <w:bookmarkStart w:id="322" w:name="_Toc17941"/>
      <w:bookmarkStart w:id="323" w:name="_Toc6377"/>
      <w:bookmarkStart w:id="324" w:name="_Toc995"/>
      <w:bookmarkStart w:id="325" w:name="_Toc711"/>
      <w:bookmarkStart w:id="326" w:name="_Toc10012"/>
      <w:bookmarkStart w:id="327" w:name="_Toc20353"/>
      <w:bookmarkStart w:id="328" w:name="_Toc8058"/>
      <w:bookmarkStart w:id="329" w:name="_Toc18067"/>
      <w:bookmarkStart w:id="330" w:name="_Toc31870"/>
      <w:bookmarkStart w:id="331" w:name="_Toc21733"/>
      <w:bookmarkStart w:id="332" w:name="_Toc26598"/>
      <w:bookmarkStart w:id="333" w:name="_Toc387"/>
      <w:bookmarkStart w:id="334" w:name="_Toc26316"/>
      <w:bookmarkStart w:id="335" w:name="_Toc12691"/>
      <w:bookmarkStart w:id="336" w:name="_Toc10735"/>
      <w:bookmarkStart w:id="337" w:name="_Toc7149"/>
      <w:bookmarkStart w:id="338" w:name="_Toc17636"/>
      <w:bookmarkStart w:id="339" w:name="_Toc17961"/>
      <w:bookmarkStart w:id="340" w:name="_Toc18155"/>
      <w:bookmarkStart w:id="341" w:name="_Toc20213"/>
      <w:r>
        <w:rPr>
          <w:rFonts w:hint="default" w:ascii="Times New Roman" w:hAnsi="Times New Roman" w:cs="Times New Roman"/>
          <w:color w:val="auto"/>
        </w:rPr>
        <w:t>1.5</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主要结论</w:t>
      </w:r>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p>
    <w:p w14:paraId="4932CF0F">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cs="Times New Roman"/>
          <w:color w:val="auto"/>
          <w:highlight w:val="none"/>
        </w:rPr>
        <w:t>本项目的建设符合《国家公路网规划（2013年</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2030年）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新疆维吾尔自治区公路网规划（2021</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2050年）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等有关规划。项目实施后，</w:t>
      </w:r>
      <w:r>
        <w:rPr>
          <w:rFonts w:hint="default" w:ascii="Times New Roman" w:hAnsi="Times New Roman" w:eastAsia="宋体" w:cs="Times New Roman"/>
          <w:b w:val="0"/>
          <w:bCs w:val="0"/>
          <w:color w:val="auto"/>
          <w:kern w:val="0"/>
          <w:sz w:val="24"/>
          <w:szCs w:val="24"/>
          <w:lang w:val="en-US" w:eastAsia="zh-CN" w:bidi="ar"/>
        </w:rPr>
        <w:t>有利于加快推进“南疆城市群</w:t>
      </w:r>
      <w:r>
        <w:rPr>
          <w:rFonts w:hint="default" w:ascii="Times New Roman" w:hAnsi="Times New Roman" w:cs="Times New Roman"/>
          <w:b w:val="0"/>
          <w:bCs w:val="0"/>
          <w:color w:val="auto"/>
          <w:kern w:val="0"/>
          <w:sz w:val="24"/>
          <w:szCs w:val="24"/>
          <w:lang w:val="en-US" w:eastAsia="zh-CN" w:bidi="ar"/>
        </w:rPr>
        <w:t>”“</w:t>
      </w:r>
      <w:r>
        <w:rPr>
          <w:rFonts w:hint="default" w:ascii="Times New Roman" w:hAnsi="Times New Roman" w:eastAsia="宋体" w:cs="Times New Roman"/>
          <w:b w:val="0"/>
          <w:bCs w:val="0"/>
          <w:color w:val="auto"/>
          <w:kern w:val="0"/>
          <w:sz w:val="24"/>
          <w:szCs w:val="24"/>
          <w:lang w:val="en-US" w:eastAsia="zh-CN" w:bidi="ar"/>
        </w:rPr>
        <w:t>双什一体化”发展格局，完善“双什”交通路网结构，缓解当前G3012及G314线的交通压力，有利于阿图什市依托喀什自贸试验区及自身区位优势打造西部重要边贸城市、加速经济发展</w:t>
      </w:r>
      <w:r>
        <w:rPr>
          <w:rFonts w:hint="default" w:ascii="Times New Roman" w:hAnsi="Times New Roman" w:cs="Times New Roman"/>
          <w:color w:val="auto"/>
          <w:highlight w:val="none"/>
        </w:rPr>
        <w:t>，具有一定的经济效益和社会效益。</w:t>
      </w:r>
    </w:p>
    <w:p w14:paraId="5D0D5FB9">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建设和运营期间，会对沿线一定区域的环境空气、声环境产生不同程度的影响，同时项目占地还将对沿线的生态环境和社会环境产生一定影响。根据施工期和运营期污染物排放情况及影响预测分析，本项目施工和运营期对环境影响</w:t>
      </w:r>
      <w:r>
        <w:rPr>
          <w:rFonts w:hint="default" w:ascii="Times New Roman" w:hAnsi="Times New Roman" w:cs="Times New Roman"/>
          <w:color w:val="auto"/>
          <w:highlight w:val="none"/>
          <w:lang w:val="en-US" w:eastAsia="zh-CN"/>
        </w:rPr>
        <w:t>较小</w:t>
      </w:r>
      <w:r>
        <w:rPr>
          <w:rFonts w:hint="default" w:ascii="Times New Roman" w:hAnsi="Times New Roman" w:cs="Times New Roman"/>
          <w:color w:val="auto"/>
          <w:highlight w:val="none"/>
        </w:rPr>
        <w:t>，通过在设计、施工和运营期落实报告书提出的各项环保措施，按国家相关</w:t>
      </w:r>
      <w:r>
        <w:rPr>
          <w:rFonts w:hint="default" w:ascii="Times New Roman" w:hAnsi="Times New Roman" w:cs="Times New Roman"/>
          <w:color w:val="auto"/>
          <w:highlight w:val="none"/>
          <w:lang w:eastAsia="zh-CN"/>
        </w:rPr>
        <w:t>法律法规</w:t>
      </w:r>
      <w:r>
        <w:rPr>
          <w:rFonts w:hint="default" w:ascii="Times New Roman" w:hAnsi="Times New Roman" w:cs="Times New Roman"/>
          <w:color w:val="auto"/>
          <w:highlight w:val="none"/>
        </w:rPr>
        <w:t>要求办理征地、补偿等手续后，在征得相关管理部门同意的情况下，工程对环境的不利影响可以得到有效控制和缓解，因此，从环保角度来说该项目建设是可行的。</w:t>
      </w:r>
    </w:p>
    <w:p w14:paraId="3D1D61DB">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在本项目环境影响报告书编制过程中，评价单位得到了</w:t>
      </w:r>
      <w:r>
        <w:rPr>
          <w:rFonts w:hint="default" w:ascii="Times New Roman" w:hAnsi="Times New Roman" w:cs="Times New Roman"/>
          <w:color w:val="auto"/>
          <w:kern w:val="0"/>
          <w:sz w:val="24"/>
          <w:szCs w:val="24"/>
          <w:lang w:val="en-US" w:eastAsia="zh-CN" w:bidi="ar"/>
        </w:rPr>
        <w:t>新疆维吾尔</w:t>
      </w:r>
      <w:r>
        <w:rPr>
          <w:rFonts w:hint="eastAsia" w:cs="Times New Roman"/>
          <w:color w:val="auto"/>
          <w:kern w:val="0"/>
          <w:sz w:val="24"/>
          <w:szCs w:val="24"/>
          <w:lang w:val="en-US" w:eastAsia="zh-CN" w:bidi="ar"/>
        </w:rPr>
        <w:t>自治区交通运输厅</w:t>
      </w:r>
      <w:r>
        <w:rPr>
          <w:rFonts w:hint="default" w:ascii="Times New Roman" w:hAnsi="Times New Roman" w:eastAsia="宋体" w:cs="Times New Roman"/>
          <w:color w:val="auto"/>
          <w:kern w:val="0"/>
          <w:sz w:val="24"/>
          <w:szCs w:val="24"/>
          <w:lang w:val="en-US" w:eastAsia="zh-CN" w:bidi="ar"/>
        </w:rPr>
        <w:t>、克孜勒苏柯尔克孜自治州交通运输局、苏交科集团股份有限公司</w:t>
      </w:r>
      <w:r>
        <w:rPr>
          <w:rFonts w:hint="default" w:ascii="Times New Roman" w:hAnsi="Times New Roman" w:cs="Times New Roman"/>
          <w:color w:val="auto"/>
          <w:highlight w:val="none"/>
        </w:rPr>
        <w:t>等相关部门的大力支持与帮助，在此一并致以衷心感谢！</w:t>
      </w:r>
    </w:p>
    <w:p w14:paraId="49622B18">
      <w:pPr>
        <w:jc w:val="center"/>
        <w:rPr>
          <w:rFonts w:hint="default" w:ascii="Times New Roman" w:hAnsi="Times New Roman" w:cs="Times New Roman"/>
          <w:b/>
          <w:color w:val="auto"/>
          <w:sz w:val="24"/>
        </w:rPr>
        <w:sectPr>
          <w:footerReference r:id="rId7"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14:paraId="641F8EF7">
      <w:pPr>
        <w:pStyle w:val="2"/>
        <w:bidi w:val="0"/>
        <w:ind w:left="0" w:leftChars="0" w:firstLine="0" w:firstLineChars="0"/>
        <w:rPr>
          <w:rFonts w:hint="default" w:ascii="Times New Roman" w:hAnsi="Times New Roman" w:cs="Times New Roman"/>
          <w:color w:val="auto"/>
        </w:rPr>
      </w:pPr>
      <w:bookmarkStart w:id="342" w:name="_Toc397447042"/>
      <w:bookmarkStart w:id="343" w:name="_Toc310783853"/>
      <w:bookmarkStart w:id="344" w:name="_Toc23430"/>
      <w:bookmarkStart w:id="345" w:name="_Toc8776"/>
      <w:bookmarkStart w:id="346" w:name="_Toc25136"/>
      <w:bookmarkStart w:id="347" w:name="_Toc30385"/>
      <w:bookmarkStart w:id="348" w:name="_Toc28086"/>
      <w:bookmarkStart w:id="349" w:name="_Toc15307"/>
      <w:bookmarkStart w:id="350" w:name="_Toc14497"/>
      <w:bookmarkStart w:id="351" w:name="_Toc22594"/>
      <w:bookmarkStart w:id="352" w:name="_Toc30744"/>
      <w:bookmarkStart w:id="353" w:name="_Toc23291"/>
      <w:bookmarkStart w:id="354" w:name="_Toc29912"/>
      <w:bookmarkStart w:id="355" w:name="_Toc11377"/>
      <w:bookmarkStart w:id="356" w:name="_Toc28074"/>
      <w:bookmarkStart w:id="357" w:name="_Toc26278"/>
      <w:bookmarkStart w:id="358" w:name="_Toc7759"/>
      <w:bookmarkStart w:id="359" w:name="_Toc22549"/>
      <w:bookmarkStart w:id="360" w:name="_Toc4505"/>
      <w:bookmarkStart w:id="361" w:name="_Toc21754"/>
      <w:bookmarkStart w:id="362" w:name="_Toc16676"/>
      <w:bookmarkStart w:id="363" w:name="_Toc11623"/>
      <w:bookmarkStart w:id="364" w:name="_Toc12599"/>
      <w:bookmarkStart w:id="365" w:name="_Toc31231"/>
      <w:bookmarkStart w:id="366" w:name="_Toc24713"/>
      <w:bookmarkStart w:id="367" w:name="_Toc7490"/>
      <w:bookmarkStart w:id="368" w:name="_Toc15139"/>
      <w:bookmarkStart w:id="369" w:name="_Toc5525"/>
      <w:bookmarkStart w:id="370" w:name="_Toc30150"/>
      <w:bookmarkStart w:id="371" w:name="_Toc5588"/>
      <w:bookmarkStart w:id="372" w:name="_Toc6639"/>
      <w:bookmarkStart w:id="373" w:name="_Toc11628"/>
      <w:bookmarkStart w:id="374" w:name="_Toc20544"/>
      <w:bookmarkStart w:id="375" w:name="_Toc505708243"/>
      <w:bookmarkStart w:id="376" w:name="_Toc15668"/>
      <w:bookmarkStart w:id="377" w:name="_Toc17273"/>
      <w:bookmarkStart w:id="378" w:name="_Toc19366"/>
      <w:bookmarkStart w:id="379" w:name="_Toc19012"/>
      <w:bookmarkStart w:id="380" w:name="_Toc14057"/>
      <w:bookmarkStart w:id="381" w:name="_Toc31652"/>
      <w:bookmarkStart w:id="382" w:name="_Toc13498"/>
      <w:bookmarkStart w:id="383" w:name="_Toc26296"/>
      <w:bookmarkStart w:id="384" w:name="_Toc29565"/>
      <w:bookmarkStart w:id="385" w:name="_Toc23279"/>
      <w:bookmarkStart w:id="386" w:name="_Toc11486"/>
      <w:bookmarkStart w:id="387" w:name="_Toc10229"/>
      <w:bookmarkStart w:id="388" w:name="_Toc27467"/>
      <w:bookmarkStart w:id="389" w:name="_Toc16805"/>
      <w:bookmarkStart w:id="390" w:name="_Toc20246"/>
      <w:bookmarkStart w:id="391" w:name="_Toc20660"/>
      <w:bookmarkStart w:id="392" w:name="_Toc28347"/>
      <w:bookmarkStart w:id="393" w:name="_Toc15482"/>
      <w:bookmarkStart w:id="394" w:name="_Toc13326"/>
      <w:bookmarkStart w:id="395" w:name="_Toc18931"/>
      <w:bookmarkStart w:id="396" w:name="_Toc17634"/>
      <w:bookmarkStart w:id="397" w:name="_Toc24916"/>
      <w:bookmarkStart w:id="398" w:name="_Toc13639"/>
      <w:bookmarkStart w:id="399" w:name="_Toc4861"/>
      <w:bookmarkStart w:id="400" w:name="_Toc8077"/>
      <w:bookmarkStart w:id="401" w:name="_Toc15434"/>
      <w:bookmarkStart w:id="402" w:name="_Toc23240"/>
      <w:bookmarkStart w:id="403" w:name="_Toc13302"/>
      <w:bookmarkStart w:id="404" w:name="_Toc14995"/>
      <w:bookmarkStart w:id="405" w:name="_Toc32435"/>
      <w:bookmarkStart w:id="406" w:name="_Toc24388"/>
      <w:bookmarkStart w:id="407" w:name="_Toc535783365"/>
      <w:r>
        <w:rPr>
          <w:rFonts w:hint="default" w:ascii="Times New Roman" w:hAnsi="Times New Roman" w:cs="Times New Roman"/>
          <w:color w:val="auto"/>
        </w:rPr>
        <w:t>2</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总</w:t>
      </w:r>
      <w:bookmarkEnd w:id="342"/>
      <w:bookmarkEnd w:id="343"/>
      <w:r>
        <w:rPr>
          <w:rFonts w:hint="default" w:ascii="Times New Roman" w:hAnsi="Times New Roman" w:cs="Times New Roman"/>
          <w:color w:val="auto"/>
        </w:rPr>
        <w:t>则</w:t>
      </w:r>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p>
    <w:p w14:paraId="3571421D">
      <w:pPr>
        <w:pStyle w:val="3"/>
        <w:numPr>
          <w:ilvl w:val="1"/>
          <w:numId w:val="0"/>
        </w:numPr>
        <w:bidi w:val="0"/>
        <w:ind w:leftChars="0"/>
        <w:rPr>
          <w:rFonts w:hint="default" w:ascii="Times New Roman" w:hAnsi="Times New Roman" w:cs="Times New Roman"/>
          <w:color w:val="auto"/>
          <w:szCs w:val="30"/>
        </w:rPr>
      </w:pPr>
      <w:bookmarkStart w:id="408" w:name="_Toc9150"/>
      <w:bookmarkStart w:id="409" w:name="_Toc18854"/>
      <w:bookmarkStart w:id="410" w:name="_Toc365647320"/>
      <w:bookmarkStart w:id="411" w:name="_Toc8252"/>
      <w:bookmarkStart w:id="412" w:name="_Toc13024"/>
      <w:bookmarkStart w:id="413" w:name="_Toc2669"/>
      <w:bookmarkStart w:id="414" w:name="_Toc20886"/>
      <w:bookmarkStart w:id="415" w:name="_Toc15655"/>
      <w:bookmarkStart w:id="416" w:name="_Toc16745"/>
      <w:bookmarkStart w:id="417" w:name="_Toc5521"/>
      <w:bookmarkStart w:id="418" w:name="_Toc6043"/>
      <w:bookmarkStart w:id="419" w:name="_Toc29318"/>
      <w:bookmarkStart w:id="420" w:name="_Toc8169"/>
      <w:bookmarkStart w:id="421" w:name="_Toc26004"/>
      <w:bookmarkStart w:id="422" w:name="_Toc1132"/>
      <w:bookmarkStart w:id="423" w:name="_Toc17180"/>
      <w:bookmarkStart w:id="424" w:name="_Toc21931"/>
      <w:bookmarkStart w:id="425" w:name="_Toc13188"/>
      <w:bookmarkStart w:id="426" w:name="_Toc4378"/>
      <w:bookmarkStart w:id="427" w:name="_Toc24023"/>
      <w:bookmarkStart w:id="428" w:name="_Toc10537"/>
      <w:bookmarkStart w:id="429" w:name="_Toc32171"/>
      <w:bookmarkStart w:id="430" w:name="_Toc355"/>
      <w:bookmarkStart w:id="431" w:name="_Toc4431"/>
      <w:bookmarkStart w:id="432" w:name="_Toc482529078"/>
      <w:bookmarkStart w:id="433" w:name="_Toc11675"/>
      <w:bookmarkStart w:id="434" w:name="_Toc32001"/>
      <w:bookmarkStart w:id="435" w:name="_Toc5243"/>
      <w:bookmarkStart w:id="436" w:name="_Toc30165"/>
      <w:bookmarkStart w:id="437" w:name="_Toc16114"/>
      <w:bookmarkStart w:id="438" w:name="_Toc4326"/>
      <w:bookmarkStart w:id="439" w:name="_Toc27098"/>
      <w:bookmarkStart w:id="440" w:name="_Toc3671"/>
      <w:bookmarkStart w:id="441" w:name="_Toc31298"/>
      <w:bookmarkStart w:id="442" w:name="_Toc13754"/>
      <w:bookmarkStart w:id="443" w:name="_Toc12044"/>
      <w:bookmarkStart w:id="444" w:name="_Toc31042"/>
      <w:bookmarkStart w:id="445" w:name="_Toc447541153"/>
      <w:bookmarkStart w:id="446" w:name="_Toc3285"/>
      <w:bookmarkStart w:id="447" w:name="_Toc4608"/>
      <w:bookmarkStart w:id="448" w:name="_Toc7951"/>
      <w:bookmarkStart w:id="449" w:name="_Toc343125768"/>
      <w:bookmarkStart w:id="450" w:name="_Toc25775"/>
      <w:bookmarkStart w:id="451" w:name="_Toc8108"/>
      <w:bookmarkStart w:id="452" w:name="_Toc14830"/>
      <w:bookmarkStart w:id="453" w:name="_Toc18032"/>
      <w:bookmarkStart w:id="454" w:name="_Toc31922"/>
      <w:bookmarkStart w:id="455" w:name="_Toc10956"/>
      <w:bookmarkStart w:id="456" w:name="_Toc18220"/>
      <w:bookmarkStart w:id="457" w:name="_Toc446160665"/>
      <w:bookmarkStart w:id="458" w:name="_Toc6005"/>
      <w:bookmarkStart w:id="459" w:name="_Toc6329"/>
      <w:bookmarkStart w:id="460" w:name="_Toc17917"/>
      <w:bookmarkStart w:id="461" w:name="_Toc9177"/>
      <w:bookmarkStart w:id="462" w:name="_Toc9056"/>
      <w:bookmarkStart w:id="463" w:name="_Toc12239"/>
      <w:bookmarkStart w:id="464" w:name="_Toc18045"/>
      <w:bookmarkStart w:id="465" w:name="_Toc19398"/>
      <w:bookmarkStart w:id="466" w:name="_Toc8904"/>
      <w:bookmarkStart w:id="467" w:name="_Toc1081"/>
      <w:bookmarkStart w:id="468" w:name="_Toc136"/>
      <w:bookmarkStart w:id="469" w:name="_Toc15708"/>
      <w:bookmarkStart w:id="470" w:name="_Toc21977"/>
      <w:bookmarkStart w:id="471" w:name="_Toc5068"/>
      <w:bookmarkStart w:id="472" w:name="_Toc16278"/>
      <w:bookmarkStart w:id="473" w:name="_Toc20613"/>
      <w:bookmarkStart w:id="474" w:name="_Toc426642623"/>
      <w:bookmarkStart w:id="475" w:name="_Toc9315"/>
      <w:bookmarkStart w:id="476" w:name="_Toc606"/>
      <w:bookmarkStart w:id="477" w:name="_Toc8771"/>
      <w:bookmarkStart w:id="478" w:name="_Toc355784193"/>
      <w:bookmarkStart w:id="479" w:name="_Toc351029963"/>
      <w:bookmarkStart w:id="480" w:name="_Toc30811"/>
      <w:bookmarkStart w:id="481" w:name="_Toc19179"/>
      <w:bookmarkStart w:id="482" w:name="_Toc187224543"/>
      <w:bookmarkStart w:id="483" w:name="_Toc153865338"/>
      <w:bookmarkStart w:id="484" w:name="_Toc223716170"/>
      <w:bookmarkStart w:id="485" w:name="_Toc179543033"/>
      <w:bookmarkStart w:id="486" w:name="_Toc153780637"/>
      <w:bookmarkStart w:id="487" w:name="_Toc123114992"/>
      <w:bookmarkStart w:id="488" w:name="_Toc187224765"/>
      <w:bookmarkStart w:id="489" w:name="_Toc188180092"/>
      <w:bookmarkStart w:id="490" w:name="_Toc224625955"/>
      <w:bookmarkStart w:id="491" w:name="_Toc250461815"/>
      <w:bookmarkStart w:id="492" w:name="_Toc218393841"/>
      <w:bookmarkStart w:id="493" w:name="_Toc12197"/>
      <w:bookmarkStart w:id="494" w:name="_Toc238267881"/>
      <w:bookmarkStart w:id="495" w:name="_Toc327789007"/>
      <w:bookmarkStart w:id="496" w:name="_Toc363115777"/>
      <w:bookmarkStart w:id="497" w:name="_Toc9559"/>
      <w:bookmarkStart w:id="498" w:name="_Toc372"/>
      <w:bookmarkStart w:id="499" w:name="_Toc7882"/>
      <w:bookmarkStart w:id="500" w:name="_Toc26740"/>
      <w:bookmarkStart w:id="501" w:name="_Toc13336"/>
      <w:bookmarkStart w:id="502" w:name="_Toc365019705"/>
      <w:bookmarkStart w:id="503" w:name="_Toc25249"/>
      <w:bookmarkStart w:id="504" w:name="_Toc24207"/>
      <w:bookmarkStart w:id="505" w:name="_Toc134"/>
      <w:bookmarkStart w:id="506" w:name="_Toc16832"/>
      <w:bookmarkStart w:id="507" w:name="_Toc27972"/>
      <w:bookmarkStart w:id="508" w:name="_Toc25670"/>
      <w:bookmarkStart w:id="509" w:name="_Toc29040"/>
      <w:bookmarkStart w:id="510" w:name="_Toc15252"/>
      <w:bookmarkStart w:id="511" w:name="_Toc446160664"/>
      <w:bookmarkStart w:id="512" w:name="_Toc27011"/>
      <w:bookmarkStart w:id="513" w:name="_Toc22284"/>
      <w:bookmarkStart w:id="514" w:name="_Toc16272"/>
      <w:bookmarkStart w:id="515" w:name="_Toc383693971"/>
      <w:bookmarkStart w:id="516" w:name="_Toc12640"/>
      <w:bookmarkStart w:id="517" w:name="_Toc6772"/>
      <w:bookmarkStart w:id="518" w:name="_Toc30926"/>
      <w:bookmarkStart w:id="519" w:name="_Toc482529077"/>
      <w:bookmarkStart w:id="520" w:name="_Toc13858"/>
      <w:bookmarkStart w:id="521" w:name="_Toc21534"/>
      <w:bookmarkStart w:id="522" w:name="_Toc21690"/>
      <w:bookmarkStart w:id="523" w:name="_Toc19671"/>
      <w:bookmarkStart w:id="524" w:name="_Toc374957651"/>
      <w:bookmarkStart w:id="525" w:name="_Toc2501"/>
      <w:bookmarkStart w:id="526" w:name="_Toc447541152"/>
      <w:bookmarkStart w:id="527" w:name="_Toc374609140"/>
      <w:bookmarkStart w:id="528" w:name="_Toc14714"/>
      <w:bookmarkStart w:id="529" w:name="_Toc22650"/>
      <w:bookmarkStart w:id="530" w:name="_Toc2198"/>
      <w:bookmarkStart w:id="531" w:name="_Toc15449"/>
      <w:bookmarkStart w:id="532" w:name="_Toc19181"/>
      <w:bookmarkStart w:id="533" w:name="_Toc27122"/>
      <w:bookmarkStart w:id="534" w:name="_Toc24501"/>
      <w:bookmarkStart w:id="535" w:name="_Toc426642622"/>
      <w:bookmarkStart w:id="536" w:name="_Toc21045"/>
      <w:bookmarkStart w:id="537" w:name="_Toc16431"/>
      <w:bookmarkStart w:id="538" w:name="_Toc383766968"/>
      <w:bookmarkStart w:id="539" w:name="_Toc17858"/>
      <w:bookmarkStart w:id="540" w:name="_Toc23601"/>
      <w:bookmarkStart w:id="541" w:name="_Toc30133"/>
      <w:bookmarkStart w:id="542" w:name="_Toc15701"/>
      <w:bookmarkStart w:id="543" w:name="_Toc25107"/>
      <w:bookmarkStart w:id="544" w:name="_Toc30813"/>
      <w:bookmarkStart w:id="545" w:name="_Toc16180"/>
      <w:bookmarkStart w:id="546" w:name="_Toc28717"/>
      <w:bookmarkStart w:id="547" w:name="_Toc5970"/>
      <w:bookmarkStart w:id="548" w:name="_Toc4446"/>
      <w:bookmarkStart w:id="549" w:name="_Toc10118"/>
      <w:bookmarkStart w:id="550" w:name="_Toc8386"/>
      <w:bookmarkStart w:id="551" w:name="_Toc11416"/>
      <w:bookmarkStart w:id="552" w:name="_Toc16095"/>
      <w:bookmarkStart w:id="553" w:name="_Toc4727"/>
      <w:bookmarkStart w:id="554" w:name="_Toc16424"/>
      <w:bookmarkStart w:id="555" w:name="_Toc3500"/>
      <w:bookmarkStart w:id="556" w:name="_Toc19652"/>
      <w:bookmarkStart w:id="557" w:name="_Toc14171"/>
      <w:bookmarkStart w:id="558" w:name="_Toc31305"/>
      <w:bookmarkStart w:id="559" w:name="_Toc29584"/>
      <w:bookmarkStart w:id="560" w:name="_Toc104708882"/>
      <w:r>
        <w:rPr>
          <w:rFonts w:hint="default" w:ascii="Times New Roman" w:hAnsi="Times New Roman" w:cs="Times New Roman"/>
          <w:color w:val="auto"/>
          <w:lang w:val="en-US" w:eastAsia="zh-CN"/>
        </w:rPr>
        <w:t>2</w:t>
      </w:r>
      <w:r>
        <w:rPr>
          <w:rFonts w:hint="default" w:ascii="Times New Roman" w:hAnsi="Times New Roman" w:cs="Times New Roman"/>
          <w:color w:val="auto"/>
        </w:rPr>
        <w:t>.</w:t>
      </w:r>
      <w:r>
        <w:rPr>
          <w:rFonts w:hint="default" w:ascii="Times New Roman" w:hAnsi="Times New Roman" w:cs="Times New Roman"/>
          <w:color w:val="auto"/>
          <w:lang w:val="en-US" w:eastAsia="zh-CN"/>
        </w:rPr>
        <w:t xml:space="preserve">1 </w:t>
      </w:r>
      <w:r>
        <w:rPr>
          <w:rFonts w:hint="default" w:ascii="Times New Roman" w:hAnsi="Times New Roman" w:cs="Times New Roman"/>
          <w:color w:val="auto"/>
        </w:rPr>
        <w:t>评价目的及评价原则</w:t>
      </w:r>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p>
    <w:p w14:paraId="713A57AF">
      <w:pPr>
        <w:pStyle w:val="4"/>
        <w:bidi w:val="0"/>
        <w:rPr>
          <w:rFonts w:hint="default" w:ascii="Times New Roman" w:hAnsi="Times New Roman" w:cs="Times New Roman"/>
          <w:color w:val="auto"/>
          <w:szCs w:val="28"/>
        </w:rPr>
      </w:pPr>
      <w:r>
        <w:rPr>
          <w:rFonts w:hint="default" w:ascii="Times New Roman" w:hAnsi="Times New Roman" w:cs="Times New Roman"/>
          <w:color w:val="auto"/>
          <w:lang w:val="en-US" w:eastAsia="zh-CN"/>
        </w:rPr>
        <w:t>2</w:t>
      </w:r>
      <w:r>
        <w:rPr>
          <w:rFonts w:hint="default" w:ascii="Times New Roman" w:hAnsi="Times New Roman" w:cs="Times New Roman"/>
          <w:color w:val="auto"/>
        </w:rPr>
        <w:t>.</w:t>
      </w:r>
      <w:r>
        <w:rPr>
          <w:rFonts w:hint="default" w:ascii="Times New Roman" w:hAnsi="Times New Roman" w:cs="Times New Roman"/>
          <w:color w:val="auto"/>
          <w:lang w:val="en-US" w:eastAsia="zh-CN"/>
        </w:rPr>
        <w:t>1</w:t>
      </w:r>
      <w:r>
        <w:rPr>
          <w:rFonts w:hint="default" w:ascii="Times New Roman" w:hAnsi="Times New Roman" w:cs="Times New Roman"/>
          <w:color w:val="auto"/>
        </w:rPr>
        <w:t>.</w:t>
      </w:r>
      <w:r>
        <w:rPr>
          <w:rFonts w:hint="default" w:ascii="Times New Roman" w:hAnsi="Times New Roman" w:cs="Times New Roman"/>
          <w:color w:val="auto"/>
          <w:lang w:val="en-US" w:eastAsia="zh-CN"/>
        </w:rPr>
        <w:t xml:space="preserve">1 </w:t>
      </w:r>
      <w:r>
        <w:rPr>
          <w:rFonts w:hint="default" w:ascii="Times New Roman" w:hAnsi="Times New Roman" w:cs="Times New Roman"/>
          <w:color w:val="auto"/>
        </w:rPr>
        <w:t>评价原则</w:t>
      </w:r>
    </w:p>
    <w:p w14:paraId="657ACB37">
      <w:pPr>
        <w:tabs>
          <w:tab w:val="left" w:pos="741"/>
        </w:tabs>
        <w:ind w:firstLine="480"/>
        <w:jc w:val="both"/>
        <w:rPr>
          <w:rFonts w:hint="default" w:ascii="Times New Roman" w:hAnsi="Times New Roman" w:cs="Times New Roman"/>
          <w:color w:val="auto"/>
        </w:rPr>
      </w:pPr>
      <w:r>
        <w:rPr>
          <w:rFonts w:hint="default" w:ascii="Times New Roman" w:hAnsi="Times New Roman" w:cs="Times New Roman"/>
          <w:color w:val="auto"/>
        </w:rPr>
        <w:t>（1）坚持环境影响评价工作为经济建设、为环境管理服务的原则，注重评价工作的科学性、实用性、针对性，为工程建设、环境管理提供科学依据。</w:t>
      </w:r>
    </w:p>
    <w:p w14:paraId="66138727">
      <w:pPr>
        <w:tabs>
          <w:tab w:val="left" w:pos="741"/>
        </w:tabs>
        <w:ind w:firstLine="480"/>
        <w:jc w:val="both"/>
        <w:rPr>
          <w:rFonts w:hint="default" w:ascii="Times New Roman" w:hAnsi="Times New Roman" w:cs="Times New Roman"/>
          <w:color w:val="auto"/>
        </w:rPr>
      </w:pPr>
      <w:r>
        <w:rPr>
          <w:rFonts w:hint="default" w:ascii="Times New Roman" w:hAnsi="Times New Roman" w:cs="Times New Roman"/>
          <w:color w:val="auto"/>
        </w:rPr>
        <w:t>（2）坚持“预防为主，防治结合”的原则，做好建设工程污染防治工作。</w:t>
      </w:r>
    </w:p>
    <w:p w14:paraId="37FF050B">
      <w:pPr>
        <w:tabs>
          <w:tab w:val="left" w:pos="741"/>
        </w:tabs>
        <w:ind w:firstLine="480"/>
        <w:jc w:val="both"/>
        <w:rPr>
          <w:rFonts w:hint="default" w:ascii="Times New Roman" w:hAnsi="Times New Roman" w:cs="Times New Roman"/>
          <w:color w:val="auto"/>
        </w:rPr>
      </w:pPr>
      <w:r>
        <w:rPr>
          <w:rFonts w:hint="default" w:ascii="Times New Roman" w:hAnsi="Times New Roman" w:cs="Times New Roman"/>
          <w:color w:val="auto"/>
        </w:rPr>
        <w:t>（3）以国家有关环境保护法规为依据，坚持“清洁生产、达标排放、污染物排放总量控制”的原则。</w:t>
      </w:r>
    </w:p>
    <w:p w14:paraId="48078618">
      <w:pPr>
        <w:tabs>
          <w:tab w:val="left" w:pos="741"/>
        </w:tabs>
        <w:ind w:firstLine="480"/>
        <w:jc w:val="both"/>
        <w:rPr>
          <w:rFonts w:hint="default" w:ascii="Times New Roman" w:hAnsi="Times New Roman" w:cs="Times New Roman"/>
          <w:color w:val="auto"/>
        </w:rPr>
      </w:pPr>
      <w:r>
        <w:rPr>
          <w:rFonts w:hint="default" w:ascii="Times New Roman" w:hAnsi="Times New Roman" w:cs="Times New Roman"/>
          <w:color w:val="auto"/>
        </w:rPr>
        <w:t>（4）以科学、客观、公正的原则，开展评价工作，评价内容力求主次分明、重点突出、数据正确、结论可靠，确保评价工作质量。</w:t>
      </w:r>
    </w:p>
    <w:p w14:paraId="6FE16921">
      <w:pPr>
        <w:tabs>
          <w:tab w:val="left" w:pos="741"/>
        </w:tabs>
        <w:ind w:firstLine="480"/>
        <w:jc w:val="both"/>
        <w:rPr>
          <w:rFonts w:hint="default" w:ascii="Times New Roman" w:hAnsi="Times New Roman" w:cs="Times New Roman"/>
          <w:color w:val="auto"/>
          <w:lang w:val="en-US" w:eastAsia="zh-CN"/>
        </w:rPr>
      </w:pPr>
      <w:r>
        <w:rPr>
          <w:rFonts w:hint="default" w:ascii="Times New Roman" w:hAnsi="Times New Roman" w:cs="Times New Roman"/>
          <w:color w:val="auto"/>
        </w:rPr>
        <w:t>（5）充分利用现有资料，</w:t>
      </w:r>
      <w:r>
        <w:rPr>
          <w:rFonts w:hint="default" w:ascii="Times New Roman" w:hAnsi="Times New Roman" w:cs="Times New Roman"/>
          <w:color w:val="auto"/>
          <w:lang w:eastAsia="zh-CN"/>
        </w:rPr>
        <w:t>在满</w:t>
      </w:r>
      <w:r>
        <w:rPr>
          <w:rFonts w:hint="default" w:ascii="Times New Roman" w:hAnsi="Times New Roman" w:cs="Times New Roman"/>
          <w:color w:val="auto"/>
        </w:rPr>
        <w:t>足工程建设需要的基础上开展环境影响评价工作。</w:t>
      </w:r>
    </w:p>
    <w:p w14:paraId="78F588A4">
      <w:pPr>
        <w:pStyle w:val="4"/>
        <w:bidi w:val="0"/>
        <w:ind w:left="0" w:leftChars="0" w:firstLine="0" w:firstLineChars="0"/>
        <w:rPr>
          <w:rFonts w:hint="default" w:ascii="Times New Roman" w:hAnsi="Times New Roman" w:cs="Times New Roman"/>
          <w:color w:val="auto"/>
          <w:szCs w:val="28"/>
        </w:rPr>
      </w:pPr>
      <w:r>
        <w:rPr>
          <w:rFonts w:hint="default" w:ascii="Times New Roman" w:hAnsi="Times New Roman" w:cs="Times New Roman"/>
          <w:color w:val="auto"/>
          <w:lang w:val="en-US" w:eastAsia="zh-CN"/>
        </w:rPr>
        <w:t>2</w:t>
      </w:r>
      <w:r>
        <w:rPr>
          <w:rFonts w:hint="default" w:ascii="Times New Roman" w:hAnsi="Times New Roman" w:cs="Times New Roman"/>
          <w:color w:val="auto"/>
        </w:rPr>
        <w:t>.</w:t>
      </w:r>
      <w:r>
        <w:rPr>
          <w:rFonts w:hint="default" w:ascii="Times New Roman" w:hAnsi="Times New Roman" w:cs="Times New Roman"/>
          <w:color w:val="auto"/>
          <w:lang w:val="en-US" w:eastAsia="zh-CN"/>
        </w:rPr>
        <w:t>1</w:t>
      </w:r>
      <w:r>
        <w:rPr>
          <w:rFonts w:hint="default" w:ascii="Times New Roman" w:hAnsi="Times New Roman" w:cs="Times New Roman"/>
          <w:color w:val="auto"/>
        </w:rPr>
        <w:t>.</w:t>
      </w:r>
      <w:r>
        <w:rPr>
          <w:rFonts w:hint="default" w:ascii="Times New Roman" w:hAnsi="Times New Roman" w:cs="Times New Roman"/>
          <w:color w:val="auto"/>
          <w:lang w:val="en-US" w:eastAsia="zh-CN"/>
        </w:rPr>
        <w:t xml:space="preserve">2 </w:t>
      </w:r>
      <w:r>
        <w:rPr>
          <w:rFonts w:hint="default" w:ascii="Times New Roman" w:hAnsi="Times New Roman" w:cs="Times New Roman"/>
          <w:color w:val="auto"/>
        </w:rPr>
        <w:t>评价目的</w:t>
      </w:r>
      <w:bookmarkEnd w:id="482"/>
      <w:bookmarkEnd w:id="483"/>
      <w:bookmarkEnd w:id="484"/>
      <w:bookmarkEnd w:id="485"/>
      <w:bookmarkEnd w:id="486"/>
      <w:bookmarkEnd w:id="487"/>
      <w:bookmarkEnd w:id="488"/>
      <w:bookmarkEnd w:id="489"/>
      <w:bookmarkEnd w:id="490"/>
    </w:p>
    <w:p w14:paraId="3D74D0CD">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通过本次环境影响评价，应达到以下主要目的：</w:t>
      </w:r>
    </w:p>
    <w:p w14:paraId="471CD427">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（1）通过对公路沿线生态环境现状的调查评价，了解区域主要环境问题，分析公路选线的环境可行性；</w:t>
      </w:r>
    </w:p>
    <w:p w14:paraId="6E89030C">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通过采用模型模拟、类比调查、遥感解译等技术手段，预测评价公路改建可能诱发的主要环境问题以及环境影响范围和程度，从而分析选线的环境可行性，为公路优化选线、设计、施工、运营过程中实施环境保护措施提供依据。</w:t>
      </w:r>
    </w:p>
    <w:p w14:paraId="78D0C9E8">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（3）提出可行的环境保护措施和建议，减缓项目建设带来的不利环境影响，达到经济建设和环境保护协调发展的目的。</w:t>
      </w:r>
    </w:p>
    <w:p w14:paraId="0BAD8976">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（4）为设计单位、建设单位、施工单位及管理部门提供决策和行动依据。</w:t>
      </w:r>
    </w:p>
    <w:p w14:paraId="31BE630D">
      <w:pPr>
        <w:pStyle w:val="3"/>
        <w:keepNext/>
        <w:keepLines/>
        <w:pageBreakBefore w:val="0"/>
        <w:widowControl w:val="0"/>
        <w:numPr>
          <w:ilvl w:val="1"/>
          <w:numId w:val="0"/>
        </w:numPr>
        <w:kinsoku/>
        <w:wordWrap/>
        <w:overflowPunct/>
        <w:topLinePunct w:val="0"/>
        <w:autoSpaceDE/>
        <w:autoSpaceDN/>
        <w:bidi w:val="0"/>
        <w:adjustRightInd w:val="0"/>
        <w:snapToGrid w:val="0"/>
        <w:ind w:leftChars="0"/>
        <w:textAlignment w:val="auto"/>
        <w:rPr>
          <w:rFonts w:hint="default" w:ascii="Times New Roman" w:hAnsi="Times New Roman" w:cs="Times New Roman"/>
          <w:color w:val="auto"/>
        </w:rPr>
      </w:pPr>
      <w:bookmarkStart w:id="561" w:name="_Toc29293"/>
      <w:bookmarkStart w:id="562" w:name="_Toc15940"/>
      <w:bookmarkStart w:id="563" w:name="_Toc28334"/>
      <w:bookmarkStart w:id="564" w:name="_Toc11548"/>
      <w:bookmarkStart w:id="565" w:name="_Toc14182"/>
      <w:bookmarkStart w:id="566" w:name="_Toc3400"/>
      <w:bookmarkStart w:id="567" w:name="_Toc7522"/>
      <w:bookmarkStart w:id="568" w:name="_Toc22504"/>
      <w:bookmarkStart w:id="569" w:name="_Toc3532"/>
      <w:bookmarkStart w:id="570" w:name="_Toc18412"/>
      <w:bookmarkStart w:id="571" w:name="_Toc15051"/>
      <w:bookmarkStart w:id="572" w:name="_Toc5770"/>
      <w:bookmarkStart w:id="573" w:name="_Toc18345"/>
      <w:r>
        <w:rPr>
          <w:rFonts w:hint="default" w:ascii="Times New Roman" w:hAnsi="Times New Roman" w:cs="Times New Roman"/>
          <w:color w:val="auto"/>
          <w:lang w:val="en-US" w:eastAsia="zh-CN"/>
        </w:rPr>
        <w:t>2</w:t>
      </w:r>
      <w:r>
        <w:rPr>
          <w:rFonts w:hint="default" w:ascii="Times New Roman" w:hAnsi="Times New Roman" w:cs="Times New Roman"/>
          <w:color w:val="auto"/>
        </w:rPr>
        <w:t>.</w:t>
      </w:r>
      <w:bookmarkEnd w:id="491"/>
      <w:bookmarkEnd w:id="492"/>
      <w:bookmarkEnd w:id="493"/>
      <w:bookmarkEnd w:id="494"/>
      <w:bookmarkEnd w:id="495"/>
      <w:bookmarkEnd w:id="496"/>
      <w:r>
        <w:rPr>
          <w:rFonts w:hint="default" w:ascii="Times New Roman" w:hAnsi="Times New Roman" w:cs="Times New Roman"/>
          <w:color w:val="auto"/>
          <w:lang w:val="en-US" w:eastAsia="zh-CN"/>
        </w:rPr>
        <w:t xml:space="preserve">2 </w:t>
      </w:r>
      <w:r>
        <w:rPr>
          <w:rFonts w:hint="default" w:ascii="Times New Roman" w:hAnsi="Times New Roman" w:cs="Times New Roman"/>
          <w:color w:val="auto"/>
        </w:rPr>
        <w:t>编制依据</w:t>
      </w:r>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1"/>
      <w:bookmarkEnd w:id="562"/>
      <w:bookmarkEnd w:id="563"/>
      <w:bookmarkEnd w:id="564"/>
      <w:bookmarkEnd w:id="565"/>
      <w:bookmarkEnd w:id="566"/>
      <w:bookmarkEnd w:id="567"/>
      <w:bookmarkEnd w:id="568"/>
      <w:bookmarkEnd w:id="569"/>
      <w:bookmarkEnd w:id="570"/>
      <w:bookmarkEnd w:id="571"/>
      <w:bookmarkEnd w:id="572"/>
      <w:bookmarkEnd w:id="573"/>
    </w:p>
    <w:bookmarkEnd w:id="560"/>
    <w:p w14:paraId="3FC9F58E">
      <w:pPr>
        <w:pStyle w:val="4"/>
        <w:bidi w:val="0"/>
        <w:rPr>
          <w:rFonts w:hint="default" w:ascii="Times New Roman" w:hAnsi="Times New Roman" w:cs="Times New Roman"/>
          <w:color w:val="auto"/>
        </w:rPr>
      </w:pPr>
      <w:bookmarkStart w:id="574" w:name="_Toc7874"/>
      <w:bookmarkStart w:id="575" w:name="_Toc327789008"/>
      <w:bookmarkStart w:id="576" w:name="_Toc363115778"/>
      <w:r>
        <w:rPr>
          <w:rFonts w:hint="default" w:ascii="Times New Roman" w:hAnsi="Times New Roman" w:cs="Times New Roman"/>
          <w:color w:val="auto"/>
          <w:lang w:val="en-US" w:eastAsia="zh-CN"/>
        </w:rPr>
        <w:t>2</w:t>
      </w:r>
      <w:r>
        <w:rPr>
          <w:rFonts w:hint="default" w:ascii="Times New Roman" w:hAnsi="Times New Roman" w:cs="Times New Roman"/>
          <w:color w:val="auto"/>
        </w:rPr>
        <w:t>.</w:t>
      </w:r>
      <w:r>
        <w:rPr>
          <w:rFonts w:hint="default" w:ascii="Times New Roman" w:hAnsi="Times New Roman" w:cs="Times New Roman"/>
          <w:color w:val="auto"/>
          <w:lang w:val="en-US" w:eastAsia="zh-CN"/>
        </w:rPr>
        <w:t>2</w:t>
      </w:r>
      <w:r>
        <w:rPr>
          <w:rFonts w:hint="default" w:ascii="Times New Roman" w:hAnsi="Times New Roman" w:cs="Times New Roman"/>
          <w:color w:val="auto"/>
        </w:rPr>
        <w:t>.1</w:t>
      </w:r>
      <w:bookmarkEnd w:id="574"/>
      <w:bookmarkEnd w:id="575"/>
      <w:bookmarkEnd w:id="576"/>
      <w:r>
        <w:rPr>
          <w:rFonts w:hint="default" w:ascii="Times New Roman" w:hAnsi="Times New Roman" w:cs="Times New Roman"/>
          <w:color w:val="auto"/>
          <w:lang w:val="en-US" w:eastAsia="zh-CN"/>
        </w:rPr>
        <w:t xml:space="preserve"> 国家法律依据</w:t>
      </w:r>
    </w:p>
    <w:p w14:paraId="3B2C4B00">
      <w:pPr>
        <w:keepNext w:val="0"/>
        <w:keepLines w:val="0"/>
        <w:widowControl/>
        <w:suppressLineNumbers w:val="0"/>
        <w:jc w:val="left"/>
        <w:rPr>
          <w:rFonts w:hint="default" w:ascii="Times New Roman" w:hAnsi="Times New Roman" w:eastAsia="宋体" w:cs="Times New Roman"/>
          <w:color w:val="auto"/>
        </w:rPr>
      </w:pPr>
      <w:bookmarkStart w:id="577" w:name="_Toc68274945"/>
      <w:bookmarkStart w:id="578" w:name="_Toc60199612"/>
      <w:bookmarkStart w:id="579" w:name="_Toc137476634"/>
      <w:bookmarkStart w:id="580" w:name="_Toc38679855"/>
      <w:bookmarkStart w:id="581" w:name="_Toc498021282"/>
      <w:bookmarkStart w:id="582" w:name="_Toc9152940"/>
      <w:bookmarkStart w:id="583" w:name="_Toc132596256"/>
      <w:bookmarkStart w:id="584" w:name="_Toc10030068"/>
      <w:bookmarkStart w:id="585" w:name="_Toc10027441"/>
      <w:bookmarkStart w:id="586" w:name="_Toc141027208"/>
      <w:bookmarkStart w:id="587" w:name="_Toc45290825"/>
      <w:bookmarkStart w:id="588" w:name="_Toc9756895"/>
      <w:bookmarkStart w:id="589" w:name="_Toc90770960"/>
      <w:bookmarkStart w:id="590" w:name="_Toc90772631"/>
      <w:bookmarkStart w:id="591" w:name="_Toc8395428"/>
      <w:bookmarkStart w:id="592" w:name="_Toc60281539"/>
      <w:bookmarkStart w:id="593" w:name="_Toc44992225"/>
      <w:bookmarkStart w:id="594" w:name="_Toc71014779"/>
      <w:r>
        <w:rPr>
          <w:rFonts w:hint="default" w:ascii="Times New Roman" w:hAnsi="Times New Roman" w:eastAsia="宋体" w:cs="Times New Roman"/>
          <w:color w:val="auto"/>
          <w:kern w:val="0"/>
          <w:sz w:val="24"/>
          <w:szCs w:val="24"/>
          <w:lang w:val="en-US" w:eastAsia="zh-CN" w:bidi="ar"/>
        </w:rPr>
        <w:t>（1）《中华人民共和国环境保护法》</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2015</w:t>
      </w:r>
      <w:r>
        <w:rPr>
          <w:rFonts w:hint="default" w:ascii="Times New Roman" w:hAnsi="Times New Roman" w:cs="Times New Roman"/>
          <w:color w:val="auto"/>
          <w:kern w:val="0"/>
          <w:sz w:val="24"/>
          <w:szCs w:val="24"/>
          <w:lang w:val="en-US" w:eastAsia="zh-CN" w:bidi="ar"/>
        </w:rPr>
        <w:t>年</w:t>
      </w:r>
      <w:r>
        <w:rPr>
          <w:rFonts w:hint="default" w:ascii="Times New Roman" w:hAnsi="Times New Roman" w:eastAsia="宋体" w:cs="Times New Roman"/>
          <w:color w:val="auto"/>
          <w:kern w:val="0"/>
          <w:sz w:val="24"/>
          <w:szCs w:val="24"/>
          <w:lang w:val="en-US" w:eastAsia="zh-CN" w:bidi="ar"/>
        </w:rPr>
        <w:t>1</w:t>
      </w:r>
      <w:r>
        <w:rPr>
          <w:rFonts w:hint="default" w:ascii="Times New Roman" w:hAnsi="Times New Roman" w:cs="Times New Roman"/>
          <w:color w:val="auto"/>
          <w:kern w:val="0"/>
          <w:sz w:val="24"/>
          <w:szCs w:val="24"/>
          <w:lang w:val="en-US" w:eastAsia="zh-CN" w:bidi="ar"/>
        </w:rPr>
        <w:t>月</w:t>
      </w:r>
      <w:r>
        <w:rPr>
          <w:rFonts w:hint="default" w:ascii="Times New Roman" w:hAnsi="Times New Roman" w:eastAsia="宋体" w:cs="Times New Roman"/>
          <w:color w:val="auto"/>
          <w:kern w:val="0"/>
          <w:sz w:val="24"/>
          <w:szCs w:val="24"/>
          <w:lang w:val="en-US" w:eastAsia="zh-CN" w:bidi="ar"/>
        </w:rPr>
        <w:t>1</w:t>
      </w:r>
      <w:r>
        <w:rPr>
          <w:rFonts w:hint="default" w:ascii="Times New Roman" w:hAnsi="Times New Roman" w:cs="Times New Roman"/>
          <w:color w:val="auto"/>
          <w:kern w:val="0"/>
          <w:sz w:val="24"/>
          <w:szCs w:val="24"/>
          <w:lang w:val="en-US" w:eastAsia="zh-CN" w:bidi="ar"/>
        </w:rPr>
        <w:t>日</w:t>
      </w:r>
      <w:r>
        <w:rPr>
          <w:rFonts w:hint="default" w:ascii="Times New Roman" w:hAnsi="Times New Roman" w:eastAsia="宋体" w:cs="Times New Roman"/>
          <w:color w:val="auto"/>
          <w:kern w:val="0"/>
          <w:sz w:val="24"/>
          <w:szCs w:val="24"/>
          <w:lang w:val="en-US" w:eastAsia="zh-CN" w:bidi="ar"/>
        </w:rPr>
        <w:t>；</w:t>
      </w:r>
    </w:p>
    <w:p w14:paraId="13FABC32">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（2）《中华人民共和国环境影响评价法》</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2018</w:t>
      </w:r>
      <w:r>
        <w:rPr>
          <w:rFonts w:hint="default" w:ascii="Times New Roman" w:hAnsi="Times New Roman" w:cs="Times New Roman"/>
          <w:color w:val="auto"/>
          <w:kern w:val="0"/>
          <w:sz w:val="24"/>
          <w:szCs w:val="24"/>
          <w:lang w:val="en-US" w:eastAsia="zh-CN" w:bidi="ar"/>
        </w:rPr>
        <w:t>年</w:t>
      </w:r>
      <w:r>
        <w:rPr>
          <w:rFonts w:hint="default" w:ascii="Times New Roman" w:hAnsi="Times New Roman" w:eastAsia="宋体" w:cs="Times New Roman"/>
          <w:color w:val="auto"/>
          <w:kern w:val="0"/>
          <w:sz w:val="24"/>
          <w:szCs w:val="24"/>
          <w:lang w:val="en-US" w:eastAsia="zh-CN" w:bidi="ar"/>
        </w:rPr>
        <w:t>12</w:t>
      </w:r>
      <w:r>
        <w:rPr>
          <w:rFonts w:hint="default" w:ascii="Times New Roman" w:hAnsi="Times New Roman" w:cs="Times New Roman"/>
          <w:color w:val="auto"/>
          <w:kern w:val="0"/>
          <w:sz w:val="24"/>
          <w:szCs w:val="24"/>
          <w:lang w:val="en-US" w:eastAsia="zh-CN" w:bidi="ar"/>
        </w:rPr>
        <w:t>月</w:t>
      </w:r>
      <w:r>
        <w:rPr>
          <w:rFonts w:hint="default" w:ascii="Times New Roman" w:hAnsi="Times New Roman" w:eastAsia="宋体" w:cs="Times New Roman"/>
          <w:color w:val="auto"/>
          <w:kern w:val="0"/>
          <w:sz w:val="24"/>
          <w:szCs w:val="24"/>
          <w:lang w:val="en-US" w:eastAsia="zh-CN" w:bidi="ar"/>
        </w:rPr>
        <w:t>29</w:t>
      </w:r>
      <w:r>
        <w:rPr>
          <w:rFonts w:hint="default" w:ascii="Times New Roman" w:hAnsi="Times New Roman" w:cs="Times New Roman"/>
          <w:color w:val="auto"/>
          <w:kern w:val="0"/>
          <w:sz w:val="24"/>
          <w:szCs w:val="24"/>
          <w:lang w:val="en-US" w:eastAsia="zh-CN" w:bidi="ar"/>
        </w:rPr>
        <w:t>日</w:t>
      </w:r>
      <w:r>
        <w:rPr>
          <w:rFonts w:hint="default" w:ascii="Times New Roman" w:hAnsi="Times New Roman" w:eastAsia="宋体" w:cs="Times New Roman"/>
          <w:color w:val="auto"/>
          <w:kern w:val="0"/>
          <w:sz w:val="24"/>
          <w:szCs w:val="24"/>
          <w:lang w:val="en-US" w:eastAsia="zh-CN" w:bidi="ar"/>
        </w:rPr>
        <w:t>；</w:t>
      </w:r>
    </w:p>
    <w:p w14:paraId="556584D6">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（3）《中华人民共和国水污染防治法》</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2018</w:t>
      </w:r>
      <w:r>
        <w:rPr>
          <w:rFonts w:hint="default" w:ascii="Times New Roman" w:hAnsi="Times New Roman" w:cs="Times New Roman"/>
          <w:color w:val="auto"/>
          <w:kern w:val="0"/>
          <w:sz w:val="24"/>
          <w:szCs w:val="24"/>
          <w:lang w:val="en-US" w:eastAsia="zh-CN" w:bidi="ar"/>
        </w:rPr>
        <w:t>年</w:t>
      </w:r>
      <w:r>
        <w:rPr>
          <w:rFonts w:hint="default" w:ascii="Times New Roman" w:hAnsi="Times New Roman" w:eastAsia="宋体" w:cs="Times New Roman"/>
          <w:color w:val="auto"/>
          <w:kern w:val="0"/>
          <w:sz w:val="24"/>
          <w:szCs w:val="24"/>
          <w:lang w:val="en-US" w:eastAsia="zh-CN" w:bidi="ar"/>
        </w:rPr>
        <w:t>1</w:t>
      </w:r>
      <w:r>
        <w:rPr>
          <w:rFonts w:hint="default" w:ascii="Times New Roman" w:hAnsi="Times New Roman" w:cs="Times New Roman"/>
          <w:color w:val="auto"/>
          <w:kern w:val="0"/>
          <w:sz w:val="24"/>
          <w:szCs w:val="24"/>
          <w:lang w:val="en-US" w:eastAsia="zh-CN" w:bidi="ar"/>
        </w:rPr>
        <w:t>月</w:t>
      </w:r>
      <w:r>
        <w:rPr>
          <w:rFonts w:hint="default" w:ascii="Times New Roman" w:hAnsi="Times New Roman" w:eastAsia="宋体" w:cs="Times New Roman"/>
          <w:color w:val="auto"/>
          <w:kern w:val="0"/>
          <w:sz w:val="24"/>
          <w:szCs w:val="24"/>
          <w:lang w:val="en-US" w:eastAsia="zh-CN" w:bidi="ar"/>
        </w:rPr>
        <w:t>1</w:t>
      </w:r>
      <w:r>
        <w:rPr>
          <w:rFonts w:hint="default" w:ascii="Times New Roman" w:hAnsi="Times New Roman" w:cs="Times New Roman"/>
          <w:color w:val="auto"/>
          <w:kern w:val="0"/>
          <w:sz w:val="24"/>
          <w:szCs w:val="24"/>
          <w:lang w:val="en-US" w:eastAsia="zh-CN" w:bidi="ar"/>
        </w:rPr>
        <w:t>日</w:t>
      </w:r>
      <w:r>
        <w:rPr>
          <w:rFonts w:hint="default" w:ascii="Times New Roman" w:hAnsi="Times New Roman" w:eastAsia="宋体" w:cs="Times New Roman"/>
          <w:color w:val="auto"/>
          <w:kern w:val="0"/>
          <w:sz w:val="24"/>
          <w:szCs w:val="24"/>
          <w:lang w:val="en-US" w:eastAsia="zh-CN" w:bidi="ar"/>
        </w:rPr>
        <w:t>；</w:t>
      </w:r>
    </w:p>
    <w:p w14:paraId="37655C58">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（4）《中华人民共和国大气污染防治法》</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2018</w:t>
      </w:r>
      <w:r>
        <w:rPr>
          <w:rFonts w:hint="default" w:ascii="Times New Roman" w:hAnsi="Times New Roman" w:cs="Times New Roman"/>
          <w:color w:val="auto"/>
          <w:kern w:val="0"/>
          <w:sz w:val="24"/>
          <w:szCs w:val="24"/>
          <w:lang w:val="en-US" w:eastAsia="zh-CN" w:bidi="ar"/>
        </w:rPr>
        <w:t>年</w:t>
      </w:r>
      <w:r>
        <w:rPr>
          <w:rFonts w:hint="default" w:ascii="Times New Roman" w:hAnsi="Times New Roman" w:eastAsia="宋体" w:cs="Times New Roman"/>
          <w:color w:val="auto"/>
          <w:kern w:val="0"/>
          <w:sz w:val="24"/>
          <w:szCs w:val="24"/>
          <w:lang w:val="en-US" w:eastAsia="zh-CN" w:bidi="ar"/>
        </w:rPr>
        <w:t>10</w:t>
      </w:r>
      <w:r>
        <w:rPr>
          <w:rFonts w:hint="default" w:ascii="Times New Roman" w:hAnsi="Times New Roman" w:cs="Times New Roman"/>
          <w:color w:val="auto"/>
          <w:kern w:val="0"/>
          <w:sz w:val="24"/>
          <w:szCs w:val="24"/>
          <w:lang w:val="en-US" w:eastAsia="zh-CN" w:bidi="ar"/>
        </w:rPr>
        <w:t>月</w:t>
      </w:r>
      <w:r>
        <w:rPr>
          <w:rFonts w:hint="default" w:ascii="Times New Roman" w:hAnsi="Times New Roman" w:eastAsia="宋体" w:cs="Times New Roman"/>
          <w:color w:val="auto"/>
          <w:kern w:val="0"/>
          <w:sz w:val="24"/>
          <w:szCs w:val="24"/>
          <w:lang w:val="en-US" w:eastAsia="zh-CN" w:bidi="ar"/>
        </w:rPr>
        <w:t>26</w:t>
      </w:r>
      <w:r>
        <w:rPr>
          <w:rFonts w:hint="default" w:ascii="Times New Roman" w:hAnsi="Times New Roman" w:cs="Times New Roman"/>
          <w:color w:val="auto"/>
          <w:kern w:val="0"/>
          <w:sz w:val="24"/>
          <w:szCs w:val="24"/>
          <w:lang w:val="en-US" w:eastAsia="zh-CN" w:bidi="ar"/>
        </w:rPr>
        <w:t>日</w:t>
      </w:r>
      <w:r>
        <w:rPr>
          <w:rFonts w:hint="default" w:ascii="Times New Roman" w:hAnsi="Times New Roman" w:eastAsia="宋体" w:cs="Times New Roman"/>
          <w:color w:val="auto"/>
          <w:kern w:val="0"/>
          <w:sz w:val="24"/>
          <w:szCs w:val="24"/>
          <w:lang w:val="en-US" w:eastAsia="zh-CN" w:bidi="ar"/>
        </w:rPr>
        <w:t>；</w:t>
      </w:r>
    </w:p>
    <w:p w14:paraId="2F26E032">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（5）《中华人民共和国噪声污染防治法》</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2022</w:t>
      </w:r>
      <w:r>
        <w:rPr>
          <w:rFonts w:hint="default" w:ascii="Times New Roman" w:hAnsi="Times New Roman" w:cs="Times New Roman"/>
          <w:color w:val="auto"/>
          <w:kern w:val="0"/>
          <w:sz w:val="24"/>
          <w:szCs w:val="24"/>
          <w:lang w:val="en-US" w:eastAsia="zh-CN" w:bidi="ar"/>
        </w:rPr>
        <w:t>年</w:t>
      </w:r>
      <w:r>
        <w:rPr>
          <w:rFonts w:hint="default" w:ascii="Times New Roman" w:hAnsi="Times New Roman" w:eastAsia="宋体" w:cs="Times New Roman"/>
          <w:color w:val="auto"/>
          <w:kern w:val="0"/>
          <w:sz w:val="24"/>
          <w:szCs w:val="24"/>
          <w:lang w:val="en-US" w:eastAsia="zh-CN" w:bidi="ar"/>
        </w:rPr>
        <w:t>6</w:t>
      </w:r>
      <w:r>
        <w:rPr>
          <w:rFonts w:hint="default" w:ascii="Times New Roman" w:hAnsi="Times New Roman" w:cs="Times New Roman"/>
          <w:color w:val="auto"/>
          <w:kern w:val="0"/>
          <w:sz w:val="24"/>
          <w:szCs w:val="24"/>
          <w:lang w:val="en-US" w:eastAsia="zh-CN" w:bidi="ar"/>
        </w:rPr>
        <w:t>月</w:t>
      </w:r>
      <w:r>
        <w:rPr>
          <w:rFonts w:hint="default" w:ascii="Times New Roman" w:hAnsi="Times New Roman" w:eastAsia="宋体" w:cs="Times New Roman"/>
          <w:color w:val="auto"/>
          <w:kern w:val="0"/>
          <w:sz w:val="24"/>
          <w:szCs w:val="24"/>
          <w:lang w:val="en-US" w:eastAsia="zh-CN" w:bidi="ar"/>
        </w:rPr>
        <w:t>5</w:t>
      </w:r>
      <w:r>
        <w:rPr>
          <w:rFonts w:hint="default" w:ascii="Times New Roman" w:hAnsi="Times New Roman" w:cs="Times New Roman"/>
          <w:color w:val="auto"/>
          <w:kern w:val="0"/>
          <w:sz w:val="24"/>
          <w:szCs w:val="24"/>
          <w:lang w:val="en-US" w:eastAsia="zh-CN" w:bidi="ar"/>
        </w:rPr>
        <w:t>日</w:t>
      </w:r>
      <w:r>
        <w:rPr>
          <w:rFonts w:hint="default" w:ascii="Times New Roman" w:hAnsi="Times New Roman" w:eastAsia="宋体" w:cs="Times New Roman"/>
          <w:color w:val="auto"/>
          <w:kern w:val="0"/>
          <w:sz w:val="24"/>
          <w:szCs w:val="24"/>
          <w:lang w:val="en-US" w:eastAsia="zh-CN" w:bidi="ar"/>
        </w:rPr>
        <w:t>；</w:t>
      </w:r>
    </w:p>
    <w:p w14:paraId="49973058">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（6）《中华人民共和国固体废物污染环境防治法</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2020</w:t>
      </w:r>
      <w:r>
        <w:rPr>
          <w:rFonts w:hint="default" w:ascii="Times New Roman" w:hAnsi="Times New Roman" w:cs="Times New Roman"/>
          <w:color w:val="auto"/>
          <w:kern w:val="0"/>
          <w:sz w:val="24"/>
          <w:szCs w:val="24"/>
          <w:lang w:val="en-US" w:eastAsia="zh-CN" w:bidi="ar"/>
        </w:rPr>
        <w:t>年</w:t>
      </w:r>
      <w:r>
        <w:rPr>
          <w:rFonts w:hint="default" w:ascii="Times New Roman" w:hAnsi="Times New Roman" w:eastAsia="宋体" w:cs="Times New Roman"/>
          <w:color w:val="auto"/>
          <w:kern w:val="0"/>
          <w:sz w:val="24"/>
          <w:szCs w:val="24"/>
          <w:lang w:val="en-US" w:eastAsia="zh-CN" w:bidi="ar"/>
        </w:rPr>
        <w:t>9</w:t>
      </w:r>
      <w:r>
        <w:rPr>
          <w:rFonts w:hint="default" w:ascii="Times New Roman" w:hAnsi="Times New Roman" w:cs="Times New Roman"/>
          <w:color w:val="auto"/>
          <w:kern w:val="0"/>
          <w:sz w:val="24"/>
          <w:szCs w:val="24"/>
          <w:lang w:val="en-US" w:eastAsia="zh-CN" w:bidi="ar"/>
        </w:rPr>
        <w:t>月</w:t>
      </w:r>
      <w:r>
        <w:rPr>
          <w:rFonts w:hint="default" w:ascii="Times New Roman" w:hAnsi="Times New Roman" w:eastAsia="宋体" w:cs="Times New Roman"/>
          <w:color w:val="auto"/>
          <w:kern w:val="0"/>
          <w:sz w:val="24"/>
          <w:szCs w:val="24"/>
          <w:lang w:val="en-US" w:eastAsia="zh-CN" w:bidi="ar"/>
        </w:rPr>
        <w:t>1</w:t>
      </w:r>
      <w:r>
        <w:rPr>
          <w:rFonts w:hint="default" w:ascii="Times New Roman" w:hAnsi="Times New Roman" w:cs="Times New Roman"/>
          <w:color w:val="auto"/>
          <w:kern w:val="0"/>
          <w:sz w:val="24"/>
          <w:szCs w:val="24"/>
          <w:lang w:val="en-US" w:eastAsia="zh-CN" w:bidi="ar"/>
        </w:rPr>
        <w:t>日</w:t>
      </w:r>
      <w:r>
        <w:rPr>
          <w:rFonts w:hint="default" w:ascii="Times New Roman" w:hAnsi="Times New Roman" w:eastAsia="宋体" w:cs="Times New Roman"/>
          <w:color w:val="auto"/>
          <w:kern w:val="0"/>
          <w:sz w:val="24"/>
          <w:szCs w:val="24"/>
          <w:lang w:val="en-US" w:eastAsia="zh-CN" w:bidi="ar"/>
        </w:rPr>
        <w:t>；</w:t>
      </w:r>
    </w:p>
    <w:p w14:paraId="69EEE24E">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（7）《中华人民共和国土壤污染防治法》</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2019</w:t>
      </w:r>
      <w:r>
        <w:rPr>
          <w:rFonts w:hint="default" w:ascii="Times New Roman" w:hAnsi="Times New Roman" w:cs="Times New Roman"/>
          <w:color w:val="auto"/>
          <w:kern w:val="0"/>
          <w:sz w:val="24"/>
          <w:szCs w:val="24"/>
          <w:lang w:val="en-US" w:eastAsia="zh-CN" w:bidi="ar"/>
        </w:rPr>
        <w:t>年</w:t>
      </w:r>
      <w:r>
        <w:rPr>
          <w:rFonts w:hint="default" w:ascii="Times New Roman" w:hAnsi="Times New Roman" w:eastAsia="宋体" w:cs="Times New Roman"/>
          <w:color w:val="auto"/>
          <w:kern w:val="0"/>
          <w:sz w:val="24"/>
          <w:szCs w:val="24"/>
          <w:lang w:val="en-US" w:eastAsia="zh-CN" w:bidi="ar"/>
        </w:rPr>
        <w:t>1</w:t>
      </w:r>
      <w:r>
        <w:rPr>
          <w:rFonts w:hint="default" w:ascii="Times New Roman" w:hAnsi="Times New Roman" w:cs="Times New Roman"/>
          <w:color w:val="auto"/>
          <w:kern w:val="0"/>
          <w:sz w:val="24"/>
          <w:szCs w:val="24"/>
          <w:lang w:val="en-US" w:eastAsia="zh-CN" w:bidi="ar"/>
        </w:rPr>
        <w:t>月</w:t>
      </w:r>
      <w:r>
        <w:rPr>
          <w:rFonts w:hint="default" w:ascii="Times New Roman" w:hAnsi="Times New Roman" w:eastAsia="宋体" w:cs="Times New Roman"/>
          <w:color w:val="auto"/>
          <w:kern w:val="0"/>
          <w:sz w:val="24"/>
          <w:szCs w:val="24"/>
          <w:lang w:val="en-US" w:eastAsia="zh-CN" w:bidi="ar"/>
        </w:rPr>
        <w:t>1</w:t>
      </w:r>
      <w:r>
        <w:rPr>
          <w:rFonts w:hint="default" w:ascii="Times New Roman" w:hAnsi="Times New Roman" w:cs="Times New Roman"/>
          <w:color w:val="auto"/>
          <w:kern w:val="0"/>
          <w:sz w:val="24"/>
          <w:szCs w:val="24"/>
          <w:lang w:val="en-US" w:eastAsia="zh-CN" w:bidi="ar"/>
        </w:rPr>
        <w:t>日</w:t>
      </w:r>
      <w:r>
        <w:rPr>
          <w:rFonts w:hint="default" w:ascii="Times New Roman" w:hAnsi="Times New Roman" w:eastAsia="宋体" w:cs="Times New Roman"/>
          <w:color w:val="auto"/>
          <w:kern w:val="0"/>
          <w:sz w:val="24"/>
          <w:szCs w:val="24"/>
          <w:lang w:val="en-US" w:eastAsia="zh-CN" w:bidi="ar"/>
        </w:rPr>
        <w:t>；</w:t>
      </w:r>
    </w:p>
    <w:p w14:paraId="3058925D">
      <w:pPr>
        <w:keepNext w:val="0"/>
        <w:keepLines w:val="0"/>
        <w:widowControl/>
        <w:suppressLineNumbers w:val="0"/>
        <w:jc w:val="left"/>
        <w:rPr>
          <w:rFonts w:hint="default" w:ascii="Times New Roman" w:hAnsi="Times New Roman" w:cs="Times New Roman"/>
          <w:color w:val="auto"/>
          <w:lang w:val="en-US"/>
        </w:rPr>
      </w:pPr>
      <w:r>
        <w:rPr>
          <w:rFonts w:hint="default" w:ascii="Times New Roman" w:hAnsi="Times New Roman" w:eastAsia="宋体" w:cs="Times New Roman"/>
          <w:color w:val="auto"/>
          <w:kern w:val="0"/>
          <w:sz w:val="24"/>
          <w:szCs w:val="24"/>
          <w:lang w:val="en-US" w:eastAsia="zh-CN" w:bidi="ar"/>
        </w:rPr>
        <w:t>（8）《中华人民共和国水污染防治法》</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201</w:t>
      </w:r>
      <w:r>
        <w:rPr>
          <w:rFonts w:hint="default" w:ascii="Times New Roman" w:hAnsi="Times New Roman" w:cs="Times New Roman"/>
          <w:color w:val="auto"/>
          <w:kern w:val="0"/>
          <w:sz w:val="24"/>
          <w:szCs w:val="24"/>
          <w:lang w:val="en-US" w:eastAsia="zh-CN" w:bidi="ar"/>
        </w:rPr>
        <w:t>8年1月1日；</w:t>
      </w:r>
    </w:p>
    <w:p w14:paraId="4249FBB0">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（9）《中华人民共和国水土保持法》</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2011</w:t>
      </w:r>
      <w:r>
        <w:rPr>
          <w:rFonts w:hint="default" w:ascii="Times New Roman" w:hAnsi="Times New Roman" w:cs="Times New Roman"/>
          <w:color w:val="auto"/>
          <w:kern w:val="0"/>
          <w:sz w:val="24"/>
          <w:szCs w:val="24"/>
          <w:lang w:val="en-US" w:eastAsia="zh-CN" w:bidi="ar"/>
        </w:rPr>
        <w:t>年</w:t>
      </w:r>
      <w:r>
        <w:rPr>
          <w:rFonts w:hint="default" w:ascii="Times New Roman" w:hAnsi="Times New Roman" w:eastAsia="宋体" w:cs="Times New Roman"/>
          <w:color w:val="auto"/>
          <w:kern w:val="0"/>
          <w:sz w:val="24"/>
          <w:szCs w:val="24"/>
          <w:lang w:val="en-US" w:eastAsia="zh-CN" w:bidi="ar"/>
        </w:rPr>
        <w:t>3</w:t>
      </w:r>
      <w:r>
        <w:rPr>
          <w:rFonts w:hint="default" w:ascii="Times New Roman" w:hAnsi="Times New Roman" w:cs="Times New Roman"/>
          <w:color w:val="auto"/>
          <w:kern w:val="0"/>
          <w:sz w:val="24"/>
          <w:szCs w:val="24"/>
          <w:lang w:val="en-US" w:eastAsia="zh-CN" w:bidi="ar"/>
        </w:rPr>
        <w:t>月</w:t>
      </w:r>
      <w:r>
        <w:rPr>
          <w:rFonts w:hint="default" w:ascii="Times New Roman" w:hAnsi="Times New Roman" w:eastAsia="宋体" w:cs="Times New Roman"/>
          <w:color w:val="auto"/>
          <w:kern w:val="0"/>
          <w:sz w:val="24"/>
          <w:szCs w:val="24"/>
          <w:lang w:val="en-US" w:eastAsia="zh-CN" w:bidi="ar"/>
        </w:rPr>
        <w:t>1</w:t>
      </w:r>
      <w:r>
        <w:rPr>
          <w:rFonts w:hint="default" w:ascii="Times New Roman" w:hAnsi="Times New Roman" w:cs="Times New Roman"/>
          <w:color w:val="auto"/>
          <w:kern w:val="0"/>
          <w:sz w:val="24"/>
          <w:szCs w:val="24"/>
          <w:lang w:val="en-US" w:eastAsia="zh-CN" w:bidi="ar"/>
        </w:rPr>
        <w:t>日</w:t>
      </w:r>
      <w:r>
        <w:rPr>
          <w:rFonts w:hint="default" w:ascii="Times New Roman" w:hAnsi="Times New Roman" w:eastAsia="宋体" w:cs="Times New Roman"/>
          <w:color w:val="auto"/>
          <w:kern w:val="0"/>
          <w:sz w:val="24"/>
          <w:szCs w:val="24"/>
          <w:lang w:val="en-US" w:eastAsia="zh-CN" w:bidi="ar"/>
        </w:rPr>
        <w:t>；</w:t>
      </w:r>
    </w:p>
    <w:p w14:paraId="0A1FA55C">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w:t>
      </w:r>
      <w:r>
        <w:rPr>
          <w:rFonts w:hint="default" w:ascii="Times New Roman" w:hAnsi="Times New Roman" w:cs="Times New Roman"/>
          <w:color w:val="auto"/>
          <w:kern w:val="0"/>
          <w:sz w:val="24"/>
          <w:szCs w:val="24"/>
          <w:lang w:val="en-US" w:eastAsia="zh-CN" w:bidi="ar"/>
        </w:rPr>
        <w:t>0</w:t>
      </w:r>
      <w:r>
        <w:rPr>
          <w:rFonts w:hint="default" w:ascii="Times New Roman" w:hAnsi="Times New Roman" w:eastAsia="宋体" w:cs="Times New Roman"/>
          <w:color w:val="auto"/>
          <w:kern w:val="0"/>
          <w:sz w:val="24"/>
          <w:szCs w:val="24"/>
          <w:lang w:val="en-US" w:eastAsia="zh-CN" w:bidi="ar"/>
        </w:rPr>
        <w:t>）《中华人民共和国清洁生产促进法》</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2012</w:t>
      </w:r>
      <w:r>
        <w:rPr>
          <w:rFonts w:hint="default" w:ascii="Times New Roman" w:hAnsi="Times New Roman" w:cs="Times New Roman"/>
          <w:color w:val="auto"/>
          <w:kern w:val="0"/>
          <w:sz w:val="24"/>
          <w:szCs w:val="24"/>
          <w:lang w:val="en-US" w:eastAsia="zh-CN" w:bidi="ar"/>
        </w:rPr>
        <w:t>年</w:t>
      </w:r>
      <w:r>
        <w:rPr>
          <w:rFonts w:hint="default" w:ascii="Times New Roman" w:hAnsi="Times New Roman" w:eastAsia="宋体" w:cs="Times New Roman"/>
          <w:color w:val="auto"/>
          <w:kern w:val="0"/>
          <w:sz w:val="24"/>
          <w:szCs w:val="24"/>
          <w:lang w:val="en-US" w:eastAsia="zh-CN" w:bidi="ar"/>
        </w:rPr>
        <w:t>7</w:t>
      </w:r>
      <w:r>
        <w:rPr>
          <w:rFonts w:hint="default" w:ascii="Times New Roman" w:hAnsi="Times New Roman" w:cs="Times New Roman"/>
          <w:color w:val="auto"/>
          <w:kern w:val="0"/>
          <w:sz w:val="24"/>
          <w:szCs w:val="24"/>
          <w:lang w:val="en-US" w:eastAsia="zh-CN" w:bidi="ar"/>
        </w:rPr>
        <w:t>月</w:t>
      </w:r>
      <w:r>
        <w:rPr>
          <w:rFonts w:hint="default" w:ascii="Times New Roman" w:hAnsi="Times New Roman" w:eastAsia="宋体" w:cs="Times New Roman"/>
          <w:color w:val="auto"/>
          <w:kern w:val="0"/>
          <w:sz w:val="24"/>
          <w:szCs w:val="24"/>
          <w:lang w:val="en-US" w:eastAsia="zh-CN" w:bidi="ar"/>
        </w:rPr>
        <w:t>1</w:t>
      </w:r>
      <w:r>
        <w:rPr>
          <w:rFonts w:hint="default" w:ascii="Times New Roman" w:hAnsi="Times New Roman" w:cs="Times New Roman"/>
          <w:color w:val="auto"/>
          <w:kern w:val="0"/>
          <w:sz w:val="24"/>
          <w:szCs w:val="24"/>
          <w:lang w:val="en-US" w:eastAsia="zh-CN" w:bidi="ar"/>
        </w:rPr>
        <w:t>日</w:t>
      </w:r>
      <w:r>
        <w:rPr>
          <w:rFonts w:hint="default" w:ascii="Times New Roman" w:hAnsi="Times New Roman" w:eastAsia="宋体" w:cs="Times New Roman"/>
          <w:color w:val="auto"/>
          <w:kern w:val="0"/>
          <w:sz w:val="24"/>
          <w:szCs w:val="24"/>
          <w:lang w:val="en-US" w:eastAsia="zh-CN" w:bidi="ar"/>
        </w:rPr>
        <w:t>；</w:t>
      </w:r>
    </w:p>
    <w:p w14:paraId="64B84BD2">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w:t>
      </w:r>
      <w:r>
        <w:rPr>
          <w:rFonts w:hint="default" w:ascii="Times New Roman" w:hAnsi="Times New Roman" w:cs="Times New Roman"/>
          <w:color w:val="auto"/>
          <w:kern w:val="0"/>
          <w:sz w:val="24"/>
          <w:szCs w:val="24"/>
          <w:lang w:val="en-US" w:eastAsia="zh-CN" w:bidi="ar"/>
        </w:rPr>
        <w:t>1</w:t>
      </w:r>
      <w:r>
        <w:rPr>
          <w:rFonts w:hint="default" w:ascii="Times New Roman" w:hAnsi="Times New Roman" w:eastAsia="宋体" w:cs="Times New Roman"/>
          <w:color w:val="auto"/>
          <w:kern w:val="0"/>
          <w:sz w:val="24"/>
          <w:szCs w:val="24"/>
          <w:lang w:val="en-US" w:eastAsia="zh-CN" w:bidi="ar"/>
        </w:rPr>
        <w:t>）《中华人民共和国节约能源法》</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2018</w:t>
      </w:r>
      <w:r>
        <w:rPr>
          <w:rFonts w:hint="default" w:ascii="Times New Roman" w:hAnsi="Times New Roman" w:cs="Times New Roman"/>
          <w:color w:val="auto"/>
          <w:kern w:val="0"/>
          <w:sz w:val="24"/>
          <w:szCs w:val="24"/>
          <w:lang w:val="en-US" w:eastAsia="zh-CN" w:bidi="ar"/>
        </w:rPr>
        <w:t>年</w:t>
      </w:r>
      <w:r>
        <w:rPr>
          <w:rFonts w:hint="default" w:ascii="Times New Roman" w:hAnsi="Times New Roman" w:eastAsia="宋体" w:cs="Times New Roman"/>
          <w:color w:val="auto"/>
          <w:kern w:val="0"/>
          <w:sz w:val="24"/>
          <w:szCs w:val="24"/>
          <w:lang w:val="en-US" w:eastAsia="zh-CN" w:bidi="ar"/>
        </w:rPr>
        <w:t>10</w:t>
      </w:r>
      <w:r>
        <w:rPr>
          <w:rFonts w:hint="default" w:ascii="Times New Roman" w:hAnsi="Times New Roman" w:cs="Times New Roman"/>
          <w:color w:val="auto"/>
          <w:kern w:val="0"/>
          <w:sz w:val="24"/>
          <w:szCs w:val="24"/>
          <w:lang w:val="en-US" w:eastAsia="zh-CN" w:bidi="ar"/>
        </w:rPr>
        <w:t>月</w:t>
      </w:r>
      <w:r>
        <w:rPr>
          <w:rFonts w:hint="default" w:ascii="Times New Roman" w:hAnsi="Times New Roman" w:eastAsia="宋体" w:cs="Times New Roman"/>
          <w:color w:val="auto"/>
          <w:kern w:val="0"/>
          <w:sz w:val="24"/>
          <w:szCs w:val="24"/>
          <w:lang w:val="en-US" w:eastAsia="zh-CN" w:bidi="ar"/>
        </w:rPr>
        <w:t>26</w:t>
      </w:r>
      <w:r>
        <w:rPr>
          <w:rFonts w:hint="default" w:ascii="Times New Roman" w:hAnsi="Times New Roman" w:cs="Times New Roman"/>
          <w:color w:val="auto"/>
          <w:kern w:val="0"/>
          <w:sz w:val="24"/>
          <w:szCs w:val="24"/>
          <w:lang w:val="en-US" w:eastAsia="zh-CN" w:bidi="ar"/>
        </w:rPr>
        <w:t>日</w:t>
      </w:r>
      <w:r>
        <w:rPr>
          <w:rFonts w:hint="default" w:ascii="Times New Roman" w:hAnsi="Times New Roman" w:eastAsia="宋体" w:cs="Times New Roman"/>
          <w:color w:val="auto"/>
          <w:kern w:val="0"/>
          <w:sz w:val="24"/>
          <w:szCs w:val="24"/>
          <w:lang w:val="en-US" w:eastAsia="zh-CN" w:bidi="ar"/>
        </w:rPr>
        <w:t>；</w:t>
      </w:r>
    </w:p>
    <w:p w14:paraId="38437E51">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（12）《中华人民共和国土地管理法》</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2020</w:t>
      </w:r>
      <w:r>
        <w:rPr>
          <w:rFonts w:hint="default" w:ascii="Times New Roman" w:hAnsi="Times New Roman" w:cs="Times New Roman"/>
          <w:color w:val="auto"/>
          <w:kern w:val="0"/>
          <w:sz w:val="24"/>
          <w:szCs w:val="24"/>
          <w:lang w:val="en-US" w:eastAsia="zh-CN" w:bidi="ar"/>
        </w:rPr>
        <w:t>年</w:t>
      </w:r>
      <w:r>
        <w:rPr>
          <w:rFonts w:hint="default" w:ascii="Times New Roman" w:hAnsi="Times New Roman" w:eastAsia="宋体" w:cs="Times New Roman"/>
          <w:color w:val="auto"/>
          <w:kern w:val="0"/>
          <w:sz w:val="24"/>
          <w:szCs w:val="24"/>
          <w:lang w:val="en-US" w:eastAsia="zh-CN" w:bidi="ar"/>
        </w:rPr>
        <w:t>1</w:t>
      </w:r>
      <w:r>
        <w:rPr>
          <w:rFonts w:hint="default" w:ascii="Times New Roman" w:hAnsi="Times New Roman" w:cs="Times New Roman"/>
          <w:color w:val="auto"/>
          <w:kern w:val="0"/>
          <w:sz w:val="24"/>
          <w:szCs w:val="24"/>
          <w:lang w:val="en-US" w:eastAsia="zh-CN" w:bidi="ar"/>
        </w:rPr>
        <w:t>月</w:t>
      </w:r>
      <w:r>
        <w:rPr>
          <w:rFonts w:hint="default" w:ascii="Times New Roman" w:hAnsi="Times New Roman" w:eastAsia="宋体" w:cs="Times New Roman"/>
          <w:color w:val="auto"/>
          <w:kern w:val="0"/>
          <w:sz w:val="24"/>
          <w:szCs w:val="24"/>
          <w:lang w:val="en-US" w:eastAsia="zh-CN" w:bidi="ar"/>
        </w:rPr>
        <w:t>1</w:t>
      </w:r>
      <w:r>
        <w:rPr>
          <w:rFonts w:hint="default" w:ascii="Times New Roman" w:hAnsi="Times New Roman" w:cs="Times New Roman"/>
          <w:color w:val="auto"/>
          <w:kern w:val="0"/>
          <w:sz w:val="24"/>
          <w:szCs w:val="24"/>
          <w:lang w:val="en-US" w:eastAsia="zh-CN" w:bidi="ar"/>
        </w:rPr>
        <w:t>日</w:t>
      </w:r>
      <w:r>
        <w:rPr>
          <w:rFonts w:hint="default" w:ascii="Times New Roman" w:hAnsi="Times New Roman" w:eastAsia="宋体" w:cs="Times New Roman"/>
          <w:color w:val="auto"/>
          <w:kern w:val="0"/>
          <w:sz w:val="24"/>
          <w:szCs w:val="24"/>
          <w:lang w:val="en-US" w:eastAsia="zh-CN" w:bidi="ar"/>
        </w:rPr>
        <w:t>；</w:t>
      </w:r>
    </w:p>
    <w:p w14:paraId="37F9C749">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（13）《中华人民共和国城乡规划法》</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2019</w:t>
      </w:r>
      <w:r>
        <w:rPr>
          <w:rFonts w:hint="default" w:ascii="Times New Roman" w:hAnsi="Times New Roman" w:cs="Times New Roman"/>
          <w:color w:val="auto"/>
          <w:kern w:val="0"/>
          <w:sz w:val="24"/>
          <w:szCs w:val="24"/>
          <w:lang w:val="en-US" w:eastAsia="zh-CN" w:bidi="ar"/>
        </w:rPr>
        <w:t>年</w:t>
      </w:r>
      <w:r>
        <w:rPr>
          <w:rFonts w:hint="default" w:ascii="Times New Roman" w:hAnsi="Times New Roman" w:eastAsia="宋体" w:cs="Times New Roman"/>
          <w:color w:val="auto"/>
          <w:kern w:val="0"/>
          <w:sz w:val="24"/>
          <w:szCs w:val="24"/>
          <w:lang w:val="en-US" w:eastAsia="zh-CN" w:bidi="ar"/>
        </w:rPr>
        <w:t>4</w:t>
      </w:r>
      <w:r>
        <w:rPr>
          <w:rFonts w:hint="default" w:ascii="Times New Roman" w:hAnsi="Times New Roman" w:cs="Times New Roman"/>
          <w:color w:val="auto"/>
          <w:kern w:val="0"/>
          <w:sz w:val="24"/>
          <w:szCs w:val="24"/>
          <w:lang w:val="en-US" w:eastAsia="zh-CN" w:bidi="ar"/>
        </w:rPr>
        <w:t>月</w:t>
      </w:r>
      <w:r>
        <w:rPr>
          <w:rFonts w:hint="default" w:ascii="Times New Roman" w:hAnsi="Times New Roman" w:eastAsia="宋体" w:cs="Times New Roman"/>
          <w:color w:val="auto"/>
          <w:kern w:val="0"/>
          <w:sz w:val="24"/>
          <w:szCs w:val="24"/>
          <w:lang w:val="en-US" w:eastAsia="zh-CN" w:bidi="ar"/>
        </w:rPr>
        <w:t>23</w:t>
      </w:r>
      <w:r>
        <w:rPr>
          <w:rFonts w:hint="default" w:ascii="Times New Roman" w:hAnsi="Times New Roman" w:cs="Times New Roman"/>
          <w:color w:val="auto"/>
          <w:kern w:val="0"/>
          <w:sz w:val="24"/>
          <w:szCs w:val="24"/>
          <w:lang w:val="en-US" w:eastAsia="zh-CN" w:bidi="ar"/>
        </w:rPr>
        <w:t>日</w:t>
      </w:r>
      <w:r>
        <w:rPr>
          <w:rFonts w:hint="default" w:ascii="Times New Roman" w:hAnsi="Times New Roman" w:eastAsia="宋体" w:cs="Times New Roman"/>
          <w:color w:val="auto"/>
          <w:kern w:val="0"/>
          <w:sz w:val="24"/>
          <w:szCs w:val="24"/>
          <w:lang w:val="en-US" w:eastAsia="zh-CN" w:bidi="ar"/>
        </w:rPr>
        <w:t>；</w:t>
      </w:r>
    </w:p>
    <w:p w14:paraId="3CC8F203">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（14）《中华人民共和国防洪法》</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2016</w:t>
      </w:r>
      <w:r>
        <w:rPr>
          <w:rFonts w:hint="default" w:ascii="Times New Roman" w:hAnsi="Times New Roman" w:cs="Times New Roman"/>
          <w:color w:val="auto"/>
          <w:kern w:val="0"/>
          <w:sz w:val="24"/>
          <w:szCs w:val="24"/>
          <w:lang w:val="en-US" w:eastAsia="zh-CN" w:bidi="ar"/>
        </w:rPr>
        <w:t>年</w:t>
      </w:r>
      <w:r>
        <w:rPr>
          <w:rFonts w:hint="default" w:ascii="Times New Roman" w:hAnsi="Times New Roman" w:eastAsia="宋体" w:cs="Times New Roman"/>
          <w:color w:val="auto"/>
          <w:kern w:val="0"/>
          <w:sz w:val="24"/>
          <w:szCs w:val="24"/>
          <w:lang w:val="en-US" w:eastAsia="zh-CN" w:bidi="ar"/>
        </w:rPr>
        <w:t>7</w:t>
      </w:r>
      <w:r>
        <w:rPr>
          <w:rFonts w:hint="default" w:ascii="Times New Roman" w:hAnsi="Times New Roman" w:cs="Times New Roman"/>
          <w:color w:val="auto"/>
          <w:kern w:val="0"/>
          <w:sz w:val="24"/>
          <w:szCs w:val="24"/>
          <w:lang w:val="en-US" w:eastAsia="zh-CN" w:bidi="ar"/>
        </w:rPr>
        <w:t>月</w:t>
      </w:r>
      <w:r>
        <w:rPr>
          <w:rFonts w:hint="default" w:ascii="Times New Roman" w:hAnsi="Times New Roman" w:eastAsia="宋体" w:cs="Times New Roman"/>
          <w:color w:val="auto"/>
          <w:kern w:val="0"/>
          <w:sz w:val="24"/>
          <w:szCs w:val="24"/>
          <w:lang w:val="en-US" w:eastAsia="zh-CN" w:bidi="ar"/>
        </w:rPr>
        <w:t>2</w:t>
      </w:r>
      <w:r>
        <w:rPr>
          <w:rFonts w:hint="default" w:ascii="Times New Roman" w:hAnsi="Times New Roman" w:cs="Times New Roman"/>
          <w:color w:val="auto"/>
          <w:kern w:val="0"/>
          <w:sz w:val="24"/>
          <w:szCs w:val="24"/>
          <w:lang w:val="en-US" w:eastAsia="zh-CN" w:bidi="ar"/>
        </w:rPr>
        <w:t>日</w:t>
      </w:r>
      <w:r>
        <w:rPr>
          <w:rFonts w:hint="default" w:ascii="Times New Roman" w:hAnsi="Times New Roman" w:eastAsia="宋体" w:cs="Times New Roman"/>
          <w:color w:val="auto"/>
          <w:kern w:val="0"/>
          <w:sz w:val="24"/>
          <w:szCs w:val="24"/>
          <w:lang w:val="en-US" w:eastAsia="zh-CN" w:bidi="ar"/>
        </w:rPr>
        <w:t>；</w:t>
      </w:r>
    </w:p>
    <w:p w14:paraId="0C240B1B">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（15）《中华人民共和国农业法》</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2013</w:t>
      </w:r>
      <w:r>
        <w:rPr>
          <w:rFonts w:hint="default" w:ascii="Times New Roman" w:hAnsi="Times New Roman" w:cs="Times New Roman"/>
          <w:color w:val="auto"/>
          <w:kern w:val="0"/>
          <w:sz w:val="24"/>
          <w:szCs w:val="24"/>
          <w:lang w:val="en-US" w:eastAsia="zh-CN" w:bidi="ar"/>
        </w:rPr>
        <w:t>年</w:t>
      </w:r>
      <w:r>
        <w:rPr>
          <w:rFonts w:hint="default" w:ascii="Times New Roman" w:hAnsi="Times New Roman" w:eastAsia="宋体" w:cs="Times New Roman"/>
          <w:color w:val="auto"/>
          <w:kern w:val="0"/>
          <w:sz w:val="24"/>
          <w:szCs w:val="24"/>
          <w:lang w:val="en-US" w:eastAsia="zh-CN" w:bidi="ar"/>
        </w:rPr>
        <w:t>1</w:t>
      </w:r>
      <w:r>
        <w:rPr>
          <w:rFonts w:hint="default" w:ascii="Times New Roman" w:hAnsi="Times New Roman" w:cs="Times New Roman"/>
          <w:color w:val="auto"/>
          <w:kern w:val="0"/>
          <w:sz w:val="24"/>
          <w:szCs w:val="24"/>
          <w:lang w:val="en-US" w:eastAsia="zh-CN" w:bidi="ar"/>
        </w:rPr>
        <w:t>月</w:t>
      </w:r>
      <w:r>
        <w:rPr>
          <w:rFonts w:hint="default" w:ascii="Times New Roman" w:hAnsi="Times New Roman" w:eastAsia="宋体" w:cs="Times New Roman"/>
          <w:color w:val="auto"/>
          <w:kern w:val="0"/>
          <w:sz w:val="24"/>
          <w:szCs w:val="24"/>
          <w:lang w:val="en-US" w:eastAsia="zh-CN" w:bidi="ar"/>
        </w:rPr>
        <w:t>1</w:t>
      </w:r>
      <w:r>
        <w:rPr>
          <w:rFonts w:hint="default" w:ascii="Times New Roman" w:hAnsi="Times New Roman" w:cs="Times New Roman"/>
          <w:color w:val="auto"/>
          <w:kern w:val="0"/>
          <w:sz w:val="24"/>
          <w:szCs w:val="24"/>
          <w:lang w:val="en-US" w:eastAsia="zh-CN" w:bidi="ar"/>
        </w:rPr>
        <w:t>日</w:t>
      </w:r>
      <w:r>
        <w:rPr>
          <w:rFonts w:hint="default" w:ascii="Times New Roman" w:hAnsi="Times New Roman" w:eastAsia="宋体" w:cs="Times New Roman"/>
          <w:color w:val="auto"/>
          <w:kern w:val="0"/>
          <w:sz w:val="24"/>
          <w:szCs w:val="24"/>
          <w:lang w:val="en-US" w:eastAsia="zh-CN" w:bidi="ar"/>
        </w:rPr>
        <w:t>；</w:t>
      </w:r>
    </w:p>
    <w:p w14:paraId="6E8CA10F">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（16）《中华人民共和国野生动物保护法》</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2022</w:t>
      </w:r>
      <w:r>
        <w:rPr>
          <w:rFonts w:hint="default" w:ascii="Times New Roman" w:hAnsi="Times New Roman" w:cs="Times New Roman"/>
          <w:color w:val="auto"/>
          <w:kern w:val="0"/>
          <w:sz w:val="24"/>
          <w:szCs w:val="24"/>
          <w:lang w:val="en-US" w:eastAsia="zh-CN" w:bidi="ar"/>
        </w:rPr>
        <w:t>年</w:t>
      </w:r>
      <w:r>
        <w:rPr>
          <w:rFonts w:hint="default" w:ascii="Times New Roman" w:hAnsi="Times New Roman" w:eastAsia="宋体" w:cs="Times New Roman"/>
          <w:color w:val="auto"/>
          <w:kern w:val="0"/>
          <w:sz w:val="24"/>
          <w:szCs w:val="24"/>
          <w:lang w:val="en-US" w:eastAsia="zh-CN" w:bidi="ar"/>
        </w:rPr>
        <w:t>12</w:t>
      </w:r>
      <w:r>
        <w:rPr>
          <w:rFonts w:hint="default" w:ascii="Times New Roman" w:hAnsi="Times New Roman" w:cs="Times New Roman"/>
          <w:color w:val="auto"/>
          <w:kern w:val="0"/>
          <w:sz w:val="24"/>
          <w:szCs w:val="24"/>
          <w:lang w:val="en-US" w:eastAsia="zh-CN" w:bidi="ar"/>
        </w:rPr>
        <w:t>月</w:t>
      </w:r>
      <w:r>
        <w:rPr>
          <w:rFonts w:hint="default" w:ascii="Times New Roman" w:hAnsi="Times New Roman" w:eastAsia="宋体" w:cs="Times New Roman"/>
          <w:color w:val="auto"/>
          <w:kern w:val="0"/>
          <w:sz w:val="24"/>
          <w:szCs w:val="24"/>
          <w:lang w:val="en-US" w:eastAsia="zh-CN" w:bidi="ar"/>
        </w:rPr>
        <w:t>30</w:t>
      </w:r>
      <w:r>
        <w:rPr>
          <w:rFonts w:hint="default" w:ascii="Times New Roman" w:hAnsi="Times New Roman" w:cs="Times New Roman"/>
          <w:color w:val="auto"/>
          <w:kern w:val="0"/>
          <w:sz w:val="24"/>
          <w:szCs w:val="24"/>
          <w:lang w:val="en-US" w:eastAsia="zh-CN" w:bidi="ar"/>
        </w:rPr>
        <w:t>日；</w:t>
      </w:r>
    </w:p>
    <w:p w14:paraId="70645236">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（17）《中华人民共和国道路交通安全法》</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2021</w:t>
      </w:r>
      <w:r>
        <w:rPr>
          <w:rFonts w:hint="default" w:ascii="Times New Roman" w:hAnsi="Times New Roman" w:cs="Times New Roman"/>
          <w:color w:val="auto"/>
          <w:kern w:val="0"/>
          <w:sz w:val="24"/>
          <w:szCs w:val="24"/>
          <w:lang w:val="en-US" w:eastAsia="zh-CN" w:bidi="ar"/>
        </w:rPr>
        <w:t>年</w:t>
      </w:r>
      <w:r>
        <w:rPr>
          <w:rFonts w:hint="default" w:ascii="Times New Roman" w:hAnsi="Times New Roman" w:eastAsia="宋体" w:cs="Times New Roman"/>
          <w:color w:val="auto"/>
          <w:kern w:val="0"/>
          <w:sz w:val="24"/>
          <w:szCs w:val="24"/>
          <w:lang w:val="en-US" w:eastAsia="zh-CN" w:bidi="ar"/>
        </w:rPr>
        <w:t>4</w:t>
      </w:r>
      <w:r>
        <w:rPr>
          <w:rFonts w:hint="default" w:ascii="Times New Roman" w:hAnsi="Times New Roman" w:cs="Times New Roman"/>
          <w:color w:val="auto"/>
          <w:kern w:val="0"/>
          <w:sz w:val="24"/>
          <w:szCs w:val="24"/>
          <w:lang w:val="en-US" w:eastAsia="zh-CN" w:bidi="ar"/>
        </w:rPr>
        <w:t>月</w:t>
      </w:r>
      <w:r>
        <w:rPr>
          <w:rFonts w:hint="default" w:ascii="Times New Roman" w:hAnsi="Times New Roman" w:eastAsia="宋体" w:cs="Times New Roman"/>
          <w:color w:val="auto"/>
          <w:kern w:val="0"/>
          <w:sz w:val="24"/>
          <w:szCs w:val="24"/>
          <w:lang w:val="en-US" w:eastAsia="zh-CN" w:bidi="ar"/>
        </w:rPr>
        <w:t>29</w:t>
      </w:r>
      <w:r>
        <w:rPr>
          <w:rFonts w:hint="default" w:ascii="Times New Roman" w:hAnsi="Times New Roman" w:cs="Times New Roman"/>
          <w:color w:val="auto"/>
          <w:kern w:val="0"/>
          <w:sz w:val="24"/>
          <w:szCs w:val="24"/>
          <w:lang w:val="en-US" w:eastAsia="zh-CN" w:bidi="ar"/>
        </w:rPr>
        <w:t>日</w:t>
      </w:r>
      <w:r>
        <w:rPr>
          <w:rFonts w:hint="default" w:ascii="Times New Roman" w:hAnsi="Times New Roman" w:eastAsia="宋体" w:cs="Times New Roman"/>
          <w:color w:val="auto"/>
          <w:kern w:val="0"/>
          <w:sz w:val="24"/>
          <w:szCs w:val="24"/>
          <w:lang w:val="en-US" w:eastAsia="zh-CN" w:bidi="ar"/>
        </w:rPr>
        <w:t>；</w:t>
      </w:r>
    </w:p>
    <w:p w14:paraId="67C0EEAC">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（18）《中华人民共和国突发事件应对法</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2007</w:t>
      </w:r>
      <w:r>
        <w:rPr>
          <w:rFonts w:hint="default" w:ascii="Times New Roman" w:hAnsi="Times New Roman" w:cs="Times New Roman"/>
          <w:color w:val="auto"/>
          <w:kern w:val="0"/>
          <w:sz w:val="24"/>
          <w:szCs w:val="24"/>
          <w:lang w:val="en-US" w:eastAsia="zh-CN" w:bidi="ar"/>
        </w:rPr>
        <w:t>年</w:t>
      </w:r>
      <w:r>
        <w:rPr>
          <w:rFonts w:hint="default" w:ascii="Times New Roman" w:hAnsi="Times New Roman" w:eastAsia="宋体" w:cs="Times New Roman"/>
          <w:color w:val="auto"/>
          <w:kern w:val="0"/>
          <w:sz w:val="24"/>
          <w:szCs w:val="24"/>
          <w:lang w:val="en-US" w:eastAsia="zh-CN" w:bidi="ar"/>
        </w:rPr>
        <w:t>11</w:t>
      </w:r>
      <w:r>
        <w:rPr>
          <w:rFonts w:hint="default" w:ascii="Times New Roman" w:hAnsi="Times New Roman" w:cs="Times New Roman"/>
          <w:color w:val="auto"/>
          <w:kern w:val="0"/>
          <w:sz w:val="24"/>
          <w:szCs w:val="24"/>
          <w:lang w:val="en-US" w:eastAsia="zh-CN" w:bidi="ar"/>
        </w:rPr>
        <w:t>月</w:t>
      </w:r>
      <w:r>
        <w:rPr>
          <w:rFonts w:hint="default" w:ascii="Times New Roman" w:hAnsi="Times New Roman" w:eastAsia="宋体" w:cs="Times New Roman"/>
          <w:color w:val="auto"/>
          <w:kern w:val="0"/>
          <w:sz w:val="24"/>
          <w:szCs w:val="24"/>
          <w:lang w:val="en-US" w:eastAsia="zh-CN" w:bidi="ar"/>
        </w:rPr>
        <w:t>1</w:t>
      </w:r>
      <w:r>
        <w:rPr>
          <w:rFonts w:hint="default" w:ascii="Times New Roman" w:hAnsi="Times New Roman" w:cs="Times New Roman"/>
          <w:color w:val="auto"/>
          <w:kern w:val="0"/>
          <w:sz w:val="24"/>
          <w:szCs w:val="24"/>
          <w:lang w:val="en-US" w:eastAsia="zh-CN" w:bidi="ar"/>
        </w:rPr>
        <w:t>日</w:t>
      </w:r>
      <w:r>
        <w:rPr>
          <w:rFonts w:hint="default" w:ascii="Times New Roman" w:hAnsi="Times New Roman" w:eastAsia="宋体" w:cs="Times New Roman"/>
          <w:color w:val="auto"/>
          <w:kern w:val="0"/>
          <w:sz w:val="24"/>
          <w:szCs w:val="24"/>
          <w:lang w:val="en-US" w:eastAsia="zh-CN" w:bidi="ar"/>
        </w:rPr>
        <w:t>；</w:t>
      </w:r>
    </w:p>
    <w:p w14:paraId="44D20483">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（19）《中华人民共和国防沙治沙法》</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2018</w:t>
      </w:r>
      <w:r>
        <w:rPr>
          <w:rFonts w:hint="default" w:ascii="Times New Roman" w:hAnsi="Times New Roman" w:cs="Times New Roman"/>
          <w:color w:val="auto"/>
          <w:kern w:val="0"/>
          <w:sz w:val="24"/>
          <w:szCs w:val="24"/>
          <w:lang w:val="en-US" w:eastAsia="zh-CN" w:bidi="ar"/>
        </w:rPr>
        <w:t>年</w:t>
      </w:r>
      <w:r>
        <w:rPr>
          <w:rFonts w:hint="default" w:ascii="Times New Roman" w:hAnsi="Times New Roman" w:eastAsia="宋体" w:cs="Times New Roman"/>
          <w:color w:val="auto"/>
          <w:kern w:val="0"/>
          <w:sz w:val="24"/>
          <w:szCs w:val="24"/>
          <w:lang w:val="en-US" w:eastAsia="zh-CN" w:bidi="ar"/>
        </w:rPr>
        <w:t>10</w:t>
      </w:r>
      <w:r>
        <w:rPr>
          <w:rFonts w:hint="default" w:ascii="Times New Roman" w:hAnsi="Times New Roman" w:cs="Times New Roman"/>
          <w:color w:val="auto"/>
          <w:kern w:val="0"/>
          <w:sz w:val="24"/>
          <w:szCs w:val="24"/>
          <w:lang w:val="en-US" w:eastAsia="zh-CN" w:bidi="ar"/>
        </w:rPr>
        <w:t>月</w:t>
      </w:r>
      <w:r>
        <w:rPr>
          <w:rFonts w:hint="default" w:ascii="Times New Roman" w:hAnsi="Times New Roman" w:eastAsia="宋体" w:cs="Times New Roman"/>
          <w:color w:val="auto"/>
          <w:kern w:val="0"/>
          <w:sz w:val="24"/>
          <w:szCs w:val="24"/>
          <w:lang w:val="en-US" w:eastAsia="zh-CN" w:bidi="ar"/>
        </w:rPr>
        <w:t>26</w:t>
      </w:r>
      <w:r>
        <w:rPr>
          <w:rFonts w:hint="default" w:ascii="Times New Roman" w:hAnsi="Times New Roman" w:cs="Times New Roman"/>
          <w:color w:val="auto"/>
          <w:kern w:val="0"/>
          <w:sz w:val="24"/>
          <w:szCs w:val="24"/>
          <w:lang w:val="en-US" w:eastAsia="zh-CN" w:bidi="ar"/>
        </w:rPr>
        <w:t>日</w:t>
      </w:r>
      <w:r>
        <w:rPr>
          <w:rFonts w:hint="default" w:ascii="Times New Roman" w:hAnsi="Times New Roman" w:eastAsia="宋体" w:cs="Times New Roman"/>
          <w:color w:val="auto"/>
          <w:kern w:val="0"/>
          <w:sz w:val="24"/>
          <w:szCs w:val="24"/>
          <w:lang w:val="en-US" w:eastAsia="zh-CN" w:bidi="ar"/>
        </w:rPr>
        <w:t>。</w:t>
      </w:r>
    </w:p>
    <w:p w14:paraId="475C7586">
      <w:pPr>
        <w:pStyle w:val="4"/>
        <w:bidi w:val="0"/>
        <w:ind w:left="0" w:leftChars="0" w:firstLine="0" w:firstLineChars="0"/>
        <w:rPr>
          <w:rFonts w:hint="default" w:ascii="Times New Roman" w:hAnsi="Times New Roman" w:cs="Times New Roman"/>
          <w:color w:val="auto"/>
        </w:rPr>
      </w:pPr>
      <w:r>
        <w:rPr>
          <w:rFonts w:hint="default" w:ascii="Times New Roman" w:hAnsi="Times New Roman" w:cs="Times New Roman"/>
          <w:color w:val="auto"/>
        </w:rPr>
        <w:t>2.</w:t>
      </w:r>
      <w:r>
        <w:rPr>
          <w:rFonts w:hint="eastAsia" w:cs="Times New Roman"/>
          <w:color w:val="auto"/>
          <w:lang w:val="en-US" w:eastAsia="zh-CN"/>
        </w:rPr>
        <w:t>2</w:t>
      </w:r>
      <w:r>
        <w:rPr>
          <w:rFonts w:hint="default" w:ascii="Times New Roman" w:hAnsi="Times New Roman" w:cs="Times New Roman"/>
          <w:color w:val="auto"/>
        </w:rPr>
        <w:t>.2</w:t>
      </w:r>
      <w:r>
        <w:rPr>
          <w:rFonts w:hint="default" w:ascii="Times New Roman" w:hAnsi="Times New Roman" w:cs="Times New Roman"/>
          <w:color w:val="auto"/>
          <w:lang w:val="en-US" w:eastAsia="zh-CN"/>
        </w:rPr>
        <w:t xml:space="preserve"> 行政</w:t>
      </w:r>
      <w:r>
        <w:rPr>
          <w:rFonts w:hint="default" w:ascii="Times New Roman" w:hAnsi="Times New Roman" w:cs="Times New Roman"/>
          <w:color w:val="auto"/>
        </w:rPr>
        <w:t>法规</w:t>
      </w:r>
    </w:p>
    <w:p w14:paraId="4F668367">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（1）《中华人民共和国自然保护区条例》</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w:t>
      </w:r>
      <w:r>
        <w:rPr>
          <w:rFonts w:hint="eastAsia" w:cs="Times New Roman"/>
          <w:color w:val="auto"/>
          <w:kern w:val="0"/>
          <w:sz w:val="24"/>
          <w:szCs w:val="24"/>
          <w:lang w:val="en-US" w:eastAsia="zh-CN" w:bidi="ar"/>
        </w:rPr>
        <w:t>26</w:t>
      </w:r>
      <w:r>
        <w:rPr>
          <w:rFonts w:hint="default" w:ascii="Times New Roman" w:hAnsi="Times New Roman" w:eastAsia="宋体" w:cs="Times New Roman"/>
          <w:color w:val="auto"/>
          <w:kern w:val="0"/>
          <w:sz w:val="24"/>
          <w:szCs w:val="24"/>
          <w:lang w:val="en-US" w:eastAsia="zh-CN" w:bidi="ar"/>
        </w:rPr>
        <w:t>年</w:t>
      </w:r>
      <w:r>
        <w:rPr>
          <w:rFonts w:hint="eastAsia"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月</w:t>
      </w:r>
      <w:r>
        <w:rPr>
          <w:rFonts w:hint="eastAsia" w:cs="Times New Roman"/>
          <w:color w:val="auto"/>
          <w:kern w:val="0"/>
          <w:sz w:val="24"/>
          <w:szCs w:val="24"/>
          <w:lang w:val="en-US" w:eastAsia="zh-CN" w:bidi="ar"/>
        </w:rPr>
        <w:t>15</w:t>
      </w:r>
      <w:r>
        <w:rPr>
          <w:rFonts w:hint="default" w:ascii="Times New Roman" w:hAnsi="Times New Roman" w:eastAsia="宋体" w:cs="Times New Roman"/>
          <w:color w:val="auto"/>
          <w:kern w:val="0"/>
          <w:sz w:val="24"/>
          <w:szCs w:val="24"/>
          <w:lang w:val="en-US" w:eastAsia="zh-CN" w:bidi="ar"/>
        </w:rPr>
        <w:t>日；</w:t>
      </w:r>
    </w:p>
    <w:p w14:paraId="4DD8BA60">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（2）《中华人民共和国野生植物保护条例》，2017年10月7日；</w:t>
      </w:r>
    </w:p>
    <w:p w14:paraId="72E0E56D">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（3）《中华人民共和国水土保持法》，20</w:t>
      </w:r>
      <w:r>
        <w:rPr>
          <w:rFonts w:hint="default" w:ascii="Times New Roman" w:hAnsi="Times New Roman" w:cs="Times New Roman"/>
          <w:color w:val="auto"/>
          <w:kern w:val="0"/>
          <w:sz w:val="24"/>
          <w:szCs w:val="24"/>
          <w:lang w:val="en-US" w:eastAsia="zh-CN" w:bidi="ar"/>
        </w:rPr>
        <w:t>11</w:t>
      </w:r>
      <w:r>
        <w:rPr>
          <w:rFonts w:hint="default" w:ascii="Times New Roman" w:hAnsi="Times New Roman" w:eastAsia="宋体" w:cs="Times New Roman"/>
          <w:color w:val="auto"/>
          <w:kern w:val="0"/>
          <w:sz w:val="24"/>
          <w:szCs w:val="24"/>
          <w:lang w:val="en-US" w:eastAsia="zh-CN" w:bidi="ar"/>
        </w:rPr>
        <w:t>年</w:t>
      </w:r>
      <w:r>
        <w:rPr>
          <w:rFonts w:hint="default" w:ascii="Times New Roman" w:hAnsi="Times New Roman"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月</w:t>
      </w:r>
      <w:r>
        <w:rPr>
          <w:rFonts w:hint="default" w:ascii="Times New Roman" w:hAnsi="Times New Roman" w:cs="Times New Roman"/>
          <w:color w:val="auto"/>
          <w:kern w:val="0"/>
          <w:sz w:val="24"/>
          <w:szCs w:val="24"/>
          <w:lang w:val="en-US" w:eastAsia="zh-CN" w:bidi="ar"/>
        </w:rPr>
        <w:t>1</w:t>
      </w:r>
      <w:r>
        <w:rPr>
          <w:rFonts w:hint="default" w:ascii="Times New Roman" w:hAnsi="Times New Roman" w:eastAsia="宋体" w:cs="Times New Roman"/>
          <w:color w:val="auto"/>
          <w:kern w:val="0"/>
          <w:sz w:val="24"/>
          <w:szCs w:val="24"/>
          <w:lang w:val="en-US" w:eastAsia="zh-CN" w:bidi="ar"/>
        </w:rPr>
        <w:t>日；</w:t>
      </w:r>
    </w:p>
    <w:p w14:paraId="7AC490E0">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（4）《中华人民共和国森林法实施条例》，2018年3月19日；</w:t>
      </w:r>
    </w:p>
    <w:p w14:paraId="74C1E31D">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（5）《中华人民共和国河道管理条例》，2018年3月19日；</w:t>
      </w:r>
    </w:p>
    <w:p w14:paraId="49801691">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（6）《中华人民共和国陆生野生动物保护实施条例》，2016年2月6日；</w:t>
      </w:r>
    </w:p>
    <w:p w14:paraId="01231B1E">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（7）《中华人民共和国水生野生动物保护实施条例》，2013年12月7日；</w:t>
      </w:r>
    </w:p>
    <w:p w14:paraId="40E2CC7C">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（8）《中华人民共和国土地管理法实施条例》，2021年9月1日；</w:t>
      </w:r>
    </w:p>
    <w:p w14:paraId="479AFA71">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（9）《中华人民共和国基本农田保护条例》（中华人民共和国国务院令第257号）（2011年1月8日修订）；</w:t>
      </w:r>
    </w:p>
    <w:p w14:paraId="5620FAD7">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（10）《建设项目环境保护管理条例》，2017年7月16日修订；</w:t>
      </w:r>
    </w:p>
    <w:p w14:paraId="6171F91D">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（11）《危险化学品安全管理条例》，2013年12月7日；</w:t>
      </w:r>
    </w:p>
    <w:p w14:paraId="42D59770">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（12）《国务院关于加强环境保护重点工作的意见》，国发〔2011〕35号，2011年10月20日；</w:t>
      </w:r>
    </w:p>
    <w:p w14:paraId="342B10CE">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（13）《国务院关于印发大气污染防治行动计划的通知》，国发〔2013〕37号，2013年9月10日；</w:t>
      </w:r>
    </w:p>
    <w:p w14:paraId="444E2AC9">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（14）《国务院办公厅关于印发国家突发环境事件应急预案的通知》，国办函〔2014〕119号，2015年2月3日；</w:t>
      </w:r>
    </w:p>
    <w:p w14:paraId="4CD8702D">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（15）《国务院关于印发水污染防治行动计划的通知》，国发〔2015〕17号，2015年4月16日；</w:t>
      </w:r>
    </w:p>
    <w:p w14:paraId="4CD0ED43">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（16）《国务院关于印发土壤污染防治行动计划的通知》，国发〔2016〕31号，2016年5月31日；</w:t>
      </w:r>
    </w:p>
    <w:p w14:paraId="174C3210">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（17）</w:t>
      </w:r>
      <w:r>
        <w:rPr>
          <w:rFonts w:hint="default" w:ascii="Times New Roman" w:hAnsi="Times New Roman" w:cs="Times New Roman"/>
          <w:color w:val="auto"/>
          <w:kern w:val="0"/>
          <w:sz w:val="24"/>
          <w:szCs w:val="24"/>
          <w:lang w:val="en-US" w:eastAsia="zh-CN" w:bidi="ar"/>
        </w:rPr>
        <w:t>中共中央办公厅、国务院办公厅</w:t>
      </w:r>
      <w:r>
        <w:rPr>
          <w:rFonts w:hint="default" w:ascii="Times New Roman" w:hAnsi="Times New Roman" w:eastAsia="宋体" w:cs="Times New Roman"/>
          <w:color w:val="auto"/>
          <w:kern w:val="0"/>
          <w:sz w:val="24"/>
          <w:szCs w:val="24"/>
          <w:lang w:val="en-US" w:eastAsia="zh-CN" w:bidi="ar"/>
        </w:rPr>
        <w:t>印发《关于划定并严守生态保护红线的若干意见》；</w:t>
      </w:r>
    </w:p>
    <w:p w14:paraId="7741BF83">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（18）</w:t>
      </w:r>
      <w:r>
        <w:rPr>
          <w:rFonts w:hint="default" w:ascii="Times New Roman" w:hAnsi="Times New Roman" w:cs="Times New Roman"/>
          <w:color w:val="auto"/>
          <w:kern w:val="0"/>
          <w:sz w:val="24"/>
          <w:szCs w:val="24"/>
          <w:lang w:val="en-US" w:eastAsia="zh-CN" w:bidi="ar"/>
        </w:rPr>
        <w:t>中共中央办公厅、国务院办公厅</w:t>
      </w:r>
      <w:r>
        <w:rPr>
          <w:rFonts w:hint="default" w:ascii="Times New Roman" w:hAnsi="Times New Roman" w:eastAsia="宋体" w:cs="Times New Roman"/>
          <w:color w:val="auto"/>
          <w:kern w:val="0"/>
          <w:sz w:val="24"/>
          <w:szCs w:val="24"/>
          <w:lang w:val="en-US" w:eastAsia="zh-CN" w:bidi="ar"/>
        </w:rPr>
        <w:t>印发《关于在国土空间规划中统筹划定落实三条控制线的指导意见》；</w:t>
      </w:r>
    </w:p>
    <w:p w14:paraId="6E257E54">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（19）</w:t>
      </w:r>
      <w:r>
        <w:rPr>
          <w:rFonts w:hint="default" w:ascii="Times New Roman" w:hAnsi="Times New Roman" w:cs="Times New Roman"/>
          <w:color w:val="auto"/>
          <w:kern w:val="0"/>
          <w:sz w:val="24"/>
          <w:szCs w:val="24"/>
          <w:lang w:val="en-US" w:eastAsia="zh-CN" w:bidi="ar"/>
        </w:rPr>
        <w:t>中共中央、国务院</w:t>
      </w:r>
      <w:r>
        <w:rPr>
          <w:rFonts w:hint="default" w:ascii="Times New Roman" w:hAnsi="Times New Roman" w:eastAsia="宋体" w:cs="Times New Roman"/>
          <w:color w:val="auto"/>
          <w:kern w:val="0"/>
          <w:sz w:val="24"/>
          <w:szCs w:val="24"/>
          <w:lang w:val="en-US" w:eastAsia="zh-CN" w:bidi="ar"/>
        </w:rPr>
        <w:t>《关于加强耕地保护和改进占补平衡的意见》，2017年1月9日；</w:t>
      </w:r>
    </w:p>
    <w:p w14:paraId="18E989CB">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（20）《建设项目使用林地审核审批管理办法》，国家林业局令第</w:t>
      </w:r>
      <w:r>
        <w:rPr>
          <w:rFonts w:hint="default" w:ascii="Times New Roman" w:hAnsi="Times New Roman" w:cs="Times New Roman"/>
          <w:color w:val="auto"/>
          <w:kern w:val="0"/>
          <w:sz w:val="24"/>
          <w:szCs w:val="24"/>
          <w:lang w:val="en-US" w:eastAsia="zh-CN" w:bidi="ar"/>
        </w:rPr>
        <w:t>35</w:t>
      </w:r>
      <w:r>
        <w:rPr>
          <w:rFonts w:hint="default" w:ascii="Times New Roman" w:hAnsi="Times New Roman" w:eastAsia="宋体" w:cs="Times New Roman"/>
          <w:color w:val="auto"/>
          <w:kern w:val="0"/>
          <w:sz w:val="24"/>
          <w:szCs w:val="24"/>
          <w:lang w:val="en-US" w:eastAsia="zh-CN" w:bidi="ar"/>
        </w:rPr>
        <w:t>号，201</w:t>
      </w:r>
      <w:r>
        <w:rPr>
          <w:rFonts w:hint="default" w:ascii="Times New Roman" w:hAnsi="Times New Roman" w:cs="Times New Roman"/>
          <w:color w:val="auto"/>
          <w:kern w:val="0"/>
          <w:sz w:val="24"/>
          <w:szCs w:val="24"/>
          <w:lang w:val="en-US" w:eastAsia="zh-CN" w:bidi="ar"/>
        </w:rPr>
        <w:t>5</w:t>
      </w:r>
      <w:r>
        <w:rPr>
          <w:rFonts w:hint="default" w:ascii="Times New Roman" w:hAnsi="Times New Roman" w:eastAsia="宋体" w:cs="Times New Roman"/>
          <w:color w:val="auto"/>
          <w:kern w:val="0"/>
          <w:sz w:val="24"/>
          <w:szCs w:val="24"/>
          <w:lang w:val="en-US" w:eastAsia="zh-CN" w:bidi="ar"/>
        </w:rPr>
        <w:t>年</w:t>
      </w:r>
      <w:r>
        <w:rPr>
          <w:rFonts w:hint="default" w:ascii="Times New Roman" w:hAnsi="Times New Roman" w:cs="Times New Roman"/>
          <w:color w:val="auto"/>
          <w:kern w:val="0"/>
          <w:sz w:val="24"/>
          <w:szCs w:val="24"/>
          <w:lang w:val="en-US" w:eastAsia="zh-CN" w:bidi="ar"/>
        </w:rPr>
        <w:t>5</w:t>
      </w:r>
      <w:r>
        <w:rPr>
          <w:rFonts w:hint="default" w:ascii="Times New Roman" w:hAnsi="Times New Roman" w:eastAsia="宋体" w:cs="Times New Roman"/>
          <w:color w:val="auto"/>
          <w:kern w:val="0"/>
          <w:sz w:val="24"/>
          <w:szCs w:val="24"/>
          <w:lang w:val="en-US" w:eastAsia="zh-CN" w:bidi="ar"/>
        </w:rPr>
        <w:t>月</w:t>
      </w:r>
      <w:r>
        <w:rPr>
          <w:rFonts w:hint="default" w:ascii="Times New Roman" w:hAnsi="Times New Roman" w:cs="Times New Roman"/>
          <w:color w:val="auto"/>
          <w:kern w:val="0"/>
          <w:sz w:val="24"/>
          <w:szCs w:val="24"/>
          <w:lang w:val="en-US" w:eastAsia="zh-CN" w:bidi="ar"/>
        </w:rPr>
        <w:t>1</w:t>
      </w:r>
      <w:r>
        <w:rPr>
          <w:rFonts w:hint="default" w:ascii="Times New Roman" w:hAnsi="Times New Roman" w:eastAsia="宋体" w:cs="Times New Roman"/>
          <w:color w:val="auto"/>
          <w:kern w:val="0"/>
          <w:sz w:val="24"/>
          <w:szCs w:val="24"/>
          <w:lang w:val="en-US" w:eastAsia="zh-CN" w:bidi="ar"/>
        </w:rPr>
        <w:t>日；</w:t>
      </w:r>
    </w:p>
    <w:p w14:paraId="026487E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（21）《环境影响评价公众参与办法》，生态环境部令第4号，2019年1月1日。</w:t>
      </w:r>
    </w:p>
    <w:p w14:paraId="1699E7E3">
      <w:pPr>
        <w:pStyle w:val="4"/>
        <w:bidi w:val="0"/>
        <w:ind w:left="0" w:leftChars="0"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2.2.3 部门规章及其他规范性文件</w:t>
      </w:r>
    </w:p>
    <w:p w14:paraId="714CEC39">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（1）《产业结构调整指导目录（2024本）》，国家发展和改革委员会令</w:t>
      </w:r>
      <w:r>
        <w:rPr>
          <w:rFonts w:hint="default" w:ascii="Times New Roman" w:hAnsi="Times New Roman" w:cs="Times New Roman"/>
          <w:color w:val="auto"/>
          <w:kern w:val="0"/>
          <w:sz w:val="24"/>
          <w:szCs w:val="24"/>
          <w:lang w:val="en-US" w:eastAsia="zh-CN" w:bidi="ar"/>
        </w:rPr>
        <w:t>〔2013〕21号</w:t>
      </w:r>
      <w:r>
        <w:rPr>
          <w:rFonts w:hint="default" w:ascii="Times New Roman" w:hAnsi="Times New Roman" w:eastAsia="宋体" w:cs="Times New Roman"/>
          <w:color w:val="auto"/>
          <w:kern w:val="0"/>
          <w:sz w:val="24"/>
          <w:szCs w:val="24"/>
          <w:lang w:val="en-US" w:eastAsia="zh-CN" w:bidi="ar"/>
        </w:rPr>
        <w:t>令，2024年1月12日；</w:t>
      </w:r>
    </w:p>
    <w:p w14:paraId="7A419DB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（2）《建设项目环境影响评价分类管理名录（2021年版）》，生态环境部令第16号，2021年1月1日；</w:t>
      </w:r>
    </w:p>
    <w:p w14:paraId="1DC20F5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（3）《危险货物道路运输安全管理办法》，交通运输部、工业和信息化部、公安部、生态环境部、应急管理部、国家市场监督管理总局令第29号，2019年11月10日；</w:t>
      </w:r>
    </w:p>
    <w:p w14:paraId="5D7BB05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（4）环境保护部《关于发布地面交通噪声污染防治技术政策的通知》，环发〔2010〕7号，2010年1月11日；</w:t>
      </w:r>
    </w:p>
    <w:p w14:paraId="70C2629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（5）环境保护部《关于加强环境噪声污染防治工作改善城乡声环境质量的指导意见》，环发〔2010〕144号，2010年12月15日；</w:t>
      </w:r>
    </w:p>
    <w:p w14:paraId="090F17C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（6）环境保护部《关于进一步加强环境影响评价管理防范环境风险的通知》，环发〔2012〕77号，2012年7月3日；</w:t>
      </w:r>
    </w:p>
    <w:p w14:paraId="57BBDCA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（7）环境保护部关于印发《企业事业单位突发环境事件应急预案备案管理办法（试行）》的通知，环发〔2015〕4号，2015年1月8日；</w:t>
      </w:r>
    </w:p>
    <w:p w14:paraId="06DEA47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（8）《自然资源部 生态环境部 国家林业和草原局 关于加强生态保护红线管理的通知（试行）》，自然资发〔2022〕142号，2022年8月16日；</w:t>
      </w:r>
    </w:p>
    <w:p w14:paraId="26868E3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（9）自然资源部《关于规范临时用地管理的通知》，自然资规〔2021〕2号，2021年11月4日；</w:t>
      </w:r>
    </w:p>
    <w:p w14:paraId="5DD4F4C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（10）《交通建设项目环境保护管理办法》，</w:t>
      </w:r>
      <w:r>
        <w:rPr>
          <w:rFonts w:hint="default" w:ascii="Times New Roman" w:hAnsi="Times New Roman" w:cs="Times New Roman"/>
          <w:color w:val="auto"/>
          <w:kern w:val="0"/>
          <w:sz w:val="24"/>
          <w:szCs w:val="24"/>
          <w:lang w:val="en-US" w:eastAsia="zh-CN" w:bidi="ar"/>
        </w:rPr>
        <w:t>中华人民共和国</w:t>
      </w:r>
      <w:r>
        <w:rPr>
          <w:rFonts w:hint="default" w:ascii="Times New Roman" w:hAnsi="Times New Roman" w:eastAsia="宋体" w:cs="Times New Roman"/>
          <w:color w:val="auto"/>
          <w:kern w:val="0"/>
          <w:sz w:val="24"/>
          <w:szCs w:val="24"/>
          <w:lang w:val="en-US" w:eastAsia="zh-CN" w:bidi="ar"/>
        </w:rPr>
        <w:t>交通部令2003年第5号，2003年6月1日；</w:t>
      </w:r>
    </w:p>
    <w:p w14:paraId="5548768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（11）水利部办公厅《关于印发全国水土保持规划国家级水土流失重点预防区和重点治理区复核划分成果的通知》，办水保〔2013〕188号，2013年8月12日；</w:t>
      </w:r>
    </w:p>
    <w:p w14:paraId="0E5E179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（12）生态环境部关于印发《“十四五”噪声污染防治行动计划的通知》，环大气〔2023〕1号，2023年1月3日；</w:t>
      </w:r>
    </w:p>
    <w:p w14:paraId="4459714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w:t>
      </w:r>
      <w:r>
        <w:rPr>
          <w:rFonts w:hint="default" w:ascii="Times New Roman" w:hAnsi="Times New Roman"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）国家重点保护野生动物名录（2021版）；</w:t>
      </w:r>
    </w:p>
    <w:p w14:paraId="792FDD37">
      <w:pPr>
        <w:keepNext w:val="0"/>
        <w:keepLines w:val="0"/>
        <w:widowControl/>
        <w:suppressLineNumbers w:val="0"/>
        <w:jc w:val="left"/>
        <w:rPr>
          <w:rFonts w:hint="eastAsia"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w:t>
      </w:r>
      <w:r>
        <w:rPr>
          <w:rFonts w:hint="default" w:ascii="Times New Roman" w:hAnsi="Times New Roman" w:cs="Times New Roman"/>
          <w:color w:val="auto"/>
          <w:kern w:val="0"/>
          <w:sz w:val="24"/>
          <w:szCs w:val="24"/>
          <w:lang w:val="en-US" w:eastAsia="zh-CN" w:bidi="ar"/>
        </w:rPr>
        <w:t>4</w:t>
      </w:r>
      <w:r>
        <w:rPr>
          <w:rFonts w:hint="default" w:ascii="Times New Roman" w:hAnsi="Times New Roman" w:eastAsia="宋体" w:cs="Times New Roman"/>
          <w:color w:val="auto"/>
          <w:kern w:val="0"/>
          <w:sz w:val="24"/>
          <w:szCs w:val="24"/>
          <w:lang w:val="en-US" w:eastAsia="zh-CN" w:bidi="ar"/>
        </w:rPr>
        <w:t>）国家重点保护野生植物名录（2021版）</w:t>
      </w:r>
      <w:r>
        <w:rPr>
          <w:rFonts w:hint="eastAsia" w:cs="Times New Roman"/>
          <w:color w:val="auto"/>
          <w:kern w:val="0"/>
          <w:sz w:val="24"/>
          <w:szCs w:val="24"/>
          <w:lang w:val="en-US" w:eastAsia="zh-CN" w:bidi="ar"/>
        </w:rPr>
        <w:t>；</w:t>
      </w:r>
    </w:p>
    <w:p w14:paraId="35D9D89D">
      <w:pPr>
        <w:keepNext w:val="0"/>
        <w:keepLines w:val="0"/>
        <w:widowControl/>
        <w:suppressLineNumbers w:val="0"/>
        <w:jc w:val="left"/>
        <w:rPr>
          <w:rFonts w:hint="eastAsia" w:cs="Times New Roman"/>
          <w:color w:val="auto"/>
          <w:kern w:val="0"/>
          <w:sz w:val="24"/>
          <w:szCs w:val="24"/>
          <w:lang w:val="en-US" w:eastAsia="zh-CN" w:bidi="ar"/>
        </w:rPr>
      </w:pPr>
      <w:r>
        <w:rPr>
          <w:rFonts w:hint="eastAsia" w:cs="Times New Roman"/>
          <w:color w:val="auto"/>
          <w:kern w:val="0"/>
          <w:sz w:val="24"/>
          <w:szCs w:val="24"/>
          <w:lang w:val="en-US" w:eastAsia="zh-CN" w:bidi="ar"/>
        </w:rPr>
        <w:t>（15）《自然资源部关于规范临时用地管理的通知》（自然资规〔2021〕2号）；</w:t>
      </w:r>
    </w:p>
    <w:p w14:paraId="2E9F5D75">
      <w:pPr>
        <w:keepNext w:val="0"/>
        <w:keepLines w:val="0"/>
        <w:widowControl/>
        <w:suppressLineNumbers w:val="0"/>
        <w:jc w:val="left"/>
        <w:rPr>
          <w:rFonts w:hint="default" w:ascii="Times New Roman" w:hAnsi="Times New Roman" w:cs="Times New Roman"/>
          <w:color w:val="auto"/>
        </w:rPr>
      </w:pPr>
      <w:r>
        <w:rPr>
          <w:rFonts w:hint="eastAsia" w:cs="Times New Roman"/>
          <w:color w:val="auto"/>
          <w:kern w:val="0"/>
          <w:sz w:val="24"/>
          <w:szCs w:val="24"/>
          <w:lang w:val="en-US" w:eastAsia="zh-CN" w:bidi="ar"/>
        </w:rPr>
        <w:t>（16）《交通运输部办公厅生态环境部办公厅关于进一步加强公路规划建设和环评工作推动绿色低碳转型发展的通知》（交办规划函〔2025〕227号）</w:t>
      </w:r>
      <w:r>
        <w:rPr>
          <w:rFonts w:hint="default" w:ascii="Times New Roman" w:hAnsi="Times New Roman" w:eastAsia="宋体" w:cs="Times New Roman"/>
          <w:color w:val="auto"/>
          <w:kern w:val="0"/>
          <w:sz w:val="24"/>
          <w:szCs w:val="24"/>
          <w:lang w:val="en-US" w:eastAsia="zh-CN" w:bidi="ar"/>
        </w:rPr>
        <w:t>。</w:t>
      </w:r>
    </w:p>
    <w:p w14:paraId="098F30E9">
      <w:pPr>
        <w:pStyle w:val="4"/>
        <w:bidi w:val="0"/>
        <w:ind w:left="0" w:leftChars="0"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2.2.4 地方性法规其他规范性文件</w:t>
      </w:r>
    </w:p>
    <w:p w14:paraId="3D8841F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（1）《新疆维吾尔自治区环境保护条例》，2018年9月21日修正；</w:t>
      </w:r>
    </w:p>
    <w:p w14:paraId="7685627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（2）《新疆维吾尔自治区河道管理条例》，2012年修正；</w:t>
      </w:r>
    </w:p>
    <w:p w14:paraId="7402B14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（3）《新疆维吾尔自治区实施&lt;中华人民共和国森林法&gt;办法》，2001年10月1日；</w:t>
      </w:r>
    </w:p>
    <w:p w14:paraId="21904872">
      <w:pPr>
        <w:keepNext w:val="0"/>
        <w:keepLines w:val="0"/>
        <w:widowControl/>
        <w:suppressLineNumbers w:val="0"/>
        <w:jc w:val="left"/>
        <w:rPr>
          <w:rFonts w:hint="default" w:ascii="Times New Roman" w:hAnsi="Times New Roman"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（4）《关于发布新疆维吾尔自治区重点保护野生动物名录（修订）的通知》（新政发</w:t>
      </w:r>
      <w:r>
        <w:rPr>
          <w:rFonts w:hint="default" w:ascii="Times New Roman" w:hAnsi="Times New Roman" w:cs="Times New Roman"/>
          <w:color w:val="auto"/>
          <w:kern w:val="0"/>
          <w:sz w:val="24"/>
          <w:szCs w:val="24"/>
          <w:lang w:val="en-US" w:eastAsia="zh-CN" w:bidi="ar"/>
        </w:rPr>
        <w:t>〔2022〕75号</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cs="Times New Roman"/>
          <w:color w:val="auto"/>
          <w:kern w:val="0"/>
          <w:sz w:val="24"/>
          <w:szCs w:val="24"/>
          <w:lang w:val="en-US" w:eastAsia="zh-CN" w:bidi="ar"/>
        </w:rPr>
        <w:t>；《关于公布新疆维吾尔自治区重点保护野生植物名录的通知》（新政发〔2023〕63号）；《新疆国家重点保护野生植物名录》（自治区林业和草原局、自治区农业农村厅2022年3月9日）；《新疆国家重点保护野生动物名录》（自治区林业和草原局、自治区农业农村厅2022年9月）；</w:t>
      </w:r>
    </w:p>
    <w:p w14:paraId="21F336F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（5）《新疆维吾尔自治区地下水资源管理条例》，2017年7月1日；</w:t>
      </w:r>
    </w:p>
    <w:p w14:paraId="453865D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w:t>
      </w:r>
      <w:r>
        <w:rPr>
          <w:rFonts w:hint="eastAsia" w:cs="Times New Roman"/>
          <w:color w:val="auto"/>
          <w:kern w:val="0"/>
          <w:sz w:val="24"/>
          <w:szCs w:val="24"/>
          <w:lang w:val="en-US" w:eastAsia="zh-CN" w:bidi="ar"/>
        </w:rPr>
        <w:t>6</w:t>
      </w:r>
      <w:r>
        <w:rPr>
          <w:rFonts w:hint="default" w:ascii="Times New Roman" w:hAnsi="Times New Roman" w:eastAsia="宋体" w:cs="Times New Roman"/>
          <w:color w:val="auto"/>
          <w:kern w:val="0"/>
          <w:sz w:val="24"/>
          <w:szCs w:val="24"/>
          <w:lang w:val="en-US" w:eastAsia="zh-CN" w:bidi="ar"/>
        </w:rPr>
        <w:t>）《新疆维吾尔自治区自然保护区管理条例》，2018年9月21日修正；</w:t>
      </w:r>
    </w:p>
    <w:p w14:paraId="3BA1ED0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w:t>
      </w:r>
      <w:r>
        <w:rPr>
          <w:rFonts w:hint="eastAsia" w:cs="Times New Roman"/>
          <w:color w:val="auto"/>
          <w:kern w:val="0"/>
          <w:sz w:val="24"/>
          <w:szCs w:val="24"/>
          <w:lang w:val="en-US" w:eastAsia="zh-CN" w:bidi="ar"/>
        </w:rPr>
        <w:t>7</w:t>
      </w:r>
      <w:r>
        <w:rPr>
          <w:rFonts w:hint="default" w:ascii="Times New Roman" w:hAnsi="Times New Roman" w:eastAsia="宋体" w:cs="Times New Roman"/>
          <w:color w:val="auto"/>
          <w:kern w:val="0"/>
          <w:sz w:val="24"/>
          <w:szCs w:val="24"/>
          <w:lang w:val="en-US" w:eastAsia="zh-CN" w:bidi="ar"/>
        </w:rPr>
        <w:t>）新疆维吾尔自治区环境保护厅关于《建设项目环境影响评价文件审批程序规定》，新环发〔2018〕75号，2018年5月28日；</w:t>
      </w:r>
    </w:p>
    <w:p w14:paraId="79F158E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w:t>
      </w:r>
      <w:r>
        <w:rPr>
          <w:rFonts w:hint="eastAsia" w:cs="Times New Roman"/>
          <w:color w:val="auto"/>
          <w:kern w:val="0"/>
          <w:sz w:val="24"/>
          <w:szCs w:val="24"/>
          <w:lang w:val="en-US" w:eastAsia="zh-CN" w:bidi="ar"/>
        </w:rPr>
        <w:t>8</w:t>
      </w:r>
      <w:r>
        <w:rPr>
          <w:rFonts w:hint="default" w:ascii="Times New Roman" w:hAnsi="Times New Roman" w:eastAsia="宋体" w:cs="Times New Roman"/>
          <w:color w:val="auto"/>
          <w:kern w:val="0"/>
          <w:sz w:val="24"/>
          <w:szCs w:val="24"/>
          <w:lang w:val="en-US" w:eastAsia="zh-CN" w:bidi="ar"/>
        </w:rPr>
        <w:t>）《新疆维吾尔自治区水环境功能区划》，新政函〔2002〕194号，2002年11月16日；</w:t>
      </w:r>
    </w:p>
    <w:p w14:paraId="3BC73C6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w:t>
      </w:r>
      <w:r>
        <w:rPr>
          <w:rFonts w:hint="eastAsia" w:cs="Times New Roman"/>
          <w:color w:val="auto"/>
          <w:kern w:val="0"/>
          <w:sz w:val="24"/>
          <w:szCs w:val="24"/>
          <w:lang w:val="en-US" w:eastAsia="zh-CN" w:bidi="ar"/>
        </w:rPr>
        <w:t>9</w:t>
      </w:r>
      <w:r>
        <w:rPr>
          <w:rFonts w:hint="default" w:ascii="Times New Roman" w:hAnsi="Times New Roman" w:eastAsia="宋体" w:cs="Times New Roman"/>
          <w:color w:val="auto"/>
          <w:kern w:val="0"/>
          <w:sz w:val="24"/>
          <w:szCs w:val="24"/>
          <w:lang w:val="en-US" w:eastAsia="zh-CN" w:bidi="ar"/>
        </w:rPr>
        <w:t>）《新疆生态功能区划》，2004年4月21日；</w:t>
      </w:r>
    </w:p>
    <w:p w14:paraId="075387E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w:t>
      </w:r>
      <w:r>
        <w:rPr>
          <w:rFonts w:hint="eastAsia" w:cs="Times New Roman"/>
          <w:color w:val="auto"/>
          <w:kern w:val="0"/>
          <w:sz w:val="24"/>
          <w:szCs w:val="24"/>
          <w:lang w:val="en-US" w:eastAsia="zh-CN" w:bidi="ar"/>
        </w:rPr>
        <w:t>10</w:t>
      </w:r>
      <w:r>
        <w:rPr>
          <w:rFonts w:hint="default" w:ascii="Times New Roman" w:hAnsi="Times New Roman" w:eastAsia="宋体" w:cs="Times New Roman"/>
          <w:color w:val="auto"/>
          <w:kern w:val="0"/>
          <w:sz w:val="24"/>
          <w:szCs w:val="24"/>
          <w:lang w:val="en-US" w:eastAsia="zh-CN" w:bidi="ar"/>
        </w:rPr>
        <w:t>）新疆维吾尔自治区水利厅《关于印发新疆自治区级水土流失重点预防区和重点治理区复核划分成果的通知》，新水水保〔2019〕4号，2019年1月21日；</w:t>
      </w:r>
    </w:p>
    <w:p w14:paraId="6A20F71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w:t>
      </w:r>
      <w:r>
        <w:rPr>
          <w:rFonts w:hint="eastAsia" w:cs="Times New Roman"/>
          <w:color w:val="auto"/>
          <w:kern w:val="0"/>
          <w:sz w:val="24"/>
          <w:szCs w:val="24"/>
          <w:lang w:val="en-US" w:eastAsia="zh-CN" w:bidi="ar"/>
        </w:rPr>
        <w:t>11</w:t>
      </w:r>
      <w:r>
        <w:rPr>
          <w:rFonts w:hint="default" w:ascii="Times New Roman" w:hAnsi="Times New Roman" w:eastAsia="宋体" w:cs="Times New Roman"/>
          <w:color w:val="auto"/>
          <w:kern w:val="0"/>
          <w:sz w:val="24"/>
          <w:szCs w:val="24"/>
          <w:lang w:val="en-US" w:eastAsia="zh-CN" w:bidi="ar"/>
        </w:rPr>
        <w:t>）《新疆维吾尔自治区主体功能区规划》，2012年10月；</w:t>
      </w:r>
    </w:p>
    <w:p w14:paraId="3E21FD67">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w:t>
      </w:r>
      <w:r>
        <w:rPr>
          <w:rFonts w:hint="eastAsia"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cs="Times New Roman"/>
          <w:color w:val="auto"/>
          <w:lang w:val="en-US" w:eastAsia="zh-CN"/>
        </w:rPr>
        <w:t>《</w:t>
      </w:r>
      <w:r>
        <w:rPr>
          <w:rFonts w:hint="default" w:ascii="Times New Roman" w:hAnsi="Times New Roman" w:eastAsia="宋体" w:cs="Times New Roman"/>
          <w:color w:val="auto"/>
          <w:spacing w:val="0"/>
          <w:kern w:val="0"/>
          <w:sz w:val="24"/>
          <w:szCs w:val="24"/>
          <w:lang w:val="en-US" w:eastAsia="zh-CN"/>
        </w:rPr>
        <w:t>新疆维吾尔自治区水土保持规划（2018-2030）</w:t>
      </w:r>
      <w:r>
        <w:rPr>
          <w:rFonts w:hint="default" w:ascii="Times New Roman" w:hAnsi="Times New Roman" w:cs="Times New Roman"/>
          <w:color w:val="auto"/>
          <w:lang w:val="en-US" w:eastAsia="zh-CN"/>
        </w:rPr>
        <w:t>》</w:t>
      </w:r>
      <w:r>
        <w:rPr>
          <w:rFonts w:hint="default" w:ascii="Times New Roman" w:hAnsi="Times New Roman" w:eastAsia="宋体" w:cs="Times New Roman"/>
          <w:color w:val="auto"/>
          <w:spacing w:val="0"/>
          <w:kern w:val="2"/>
          <w:sz w:val="24"/>
          <w:szCs w:val="24"/>
          <w:highlight w:val="none"/>
          <w:lang w:val="en-US" w:eastAsia="zh-CN" w:bidi="ar-SA"/>
        </w:rPr>
        <w:t>（新疆维吾尔自治区人民政府，新政函〔2018〕146号），2018年8月24日；</w:t>
      </w:r>
    </w:p>
    <w:p w14:paraId="41519EA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kern w:val="0"/>
          <w:sz w:val="24"/>
          <w:szCs w:val="24"/>
          <w:lang w:val="en-US" w:eastAsia="zh-CN" w:bidi="ar"/>
        </w:rPr>
        <w:t>（1</w:t>
      </w:r>
      <w:r>
        <w:rPr>
          <w:rFonts w:hint="eastAsia" w:cs="Times New Roman"/>
          <w:color w:val="auto"/>
          <w:kern w:val="0"/>
          <w:sz w:val="24"/>
          <w:szCs w:val="24"/>
          <w:lang w:val="en-US" w:eastAsia="zh-CN" w:bidi="ar"/>
        </w:rPr>
        <w:t>3</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新疆维吾尔自治区人民政府《关于印发新疆维吾尔自治区土壤污染防治工作方案的通知》，新政发〔2017〕25号，2017年3月2日；</w:t>
      </w:r>
    </w:p>
    <w:p w14:paraId="1B17C92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w:t>
      </w:r>
      <w:r>
        <w:rPr>
          <w:rFonts w:hint="eastAsia" w:cs="Times New Roman"/>
          <w:color w:val="auto"/>
          <w:kern w:val="0"/>
          <w:sz w:val="24"/>
          <w:szCs w:val="24"/>
          <w:lang w:val="en-US" w:eastAsia="zh-CN" w:bidi="ar"/>
        </w:rPr>
        <w:t>4</w:t>
      </w:r>
      <w:r>
        <w:rPr>
          <w:rFonts w:hint="default" w:ascii="Times New Roman" w:hAnsi="Times New Roman" w:eastAsia="宋体" w:cs="Times New Roman"/>
          <w:color w:val="auto"/>
          <w:kern w:val="0"/>
          <w:sz w:val="24"/>
          <w:szCs w:val="24"/>
          <w:lang w:val="en-US" w:eastAsia="zh-CN" w:bidi="ar"/>
        </w:rPr>
        <w:t>）新疆维吾尔自治区人民政府《关于发布新疆维吾尔自治区重点保护野生植物名录（第一批）的通知》，新政办发〔2007〕175号，2007年8月27日；</w:t>
      </w:r>
    </w:p>
    <w:p w14:paraId="17EF10AF">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（15）</w:t>
      </w:r>
      <w:r>
        <w:rPr>
          <w:rFonts w:hint="default" w:ascii="Times New Roman" w:hAnsi="Times New Roman" w:eastAsia="宋体" w:cs="Times New Roman"/>
          <w:color w:val="auto"/>
          <w:kern w:val="0"/>
          <w:sz w:val="24"/>
          <w:szCs w:val="24"/>
          <w:lang w:val="en-US" w:eastAsia="zh-CN" w:bidi="ar"/>
        </w:rPr>
        <w:t>新疆维吾尔自治区生态环境厅</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bCs/>
          <w:color w:val="auto"/>
          <w:kern w:val="0"/>
          <w:sz w:val="24"/>
          <w:szCs w:val="24"/>
          <w:lang w:bidi="ar"/>
        </w:rPr>
        <w:t>新疆维吾尔自治区</w:t>
      </w:r>
      <w:r>
        <w:rPr>
          <w:rFonts w:hint="default" w:ascii="Times New Roman" w:hAnsi="Times New Roman" w:eastAsia="宋体" w:cs="Times New Roman"/>
          <w:bCs/>
          <w:color w:val="auto"/>
          <w:kern w:val="0"/>
          <w:sz w:val="24"/>
          <w:szCs w:val="24"/>
          <w:lang w:val="en-US" w:eastAsia="zh-CN" w:bidi="ar"/>
        </w:rPr>
        <w:t>生态环境分区管控动态更新</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bCs/>
          <w:color w:val="auto"/>
          <w:kern w:val="0"/>
          <w:sz w:val="24"/>
          <w:szCs w:val="24"/>
          <w:lang w:val="en-US" w:eastAsia="zh-CN" w:bidi="ar"/>
        </w:rPr>
        <w:t>（新环环评发</w:t>
      </w:r>
      <w:r>
        <w:rPr>
          <w:rFonts w:hint="default" w:ascii="Times New Roman" w:hAnsi="Times New Roman" w:eastAsia="宋体" w:cs="Times New Roman"/>
          <w:bCs/>
          <w:color w:val="auto"/>
          <w:kern w:val="0"/>
          <w:sz w:val="24"/>
          <w:szCs w:val="24"/>
          <w:lang w:eastAsia="zh-CN" w:bidi="ar"/>
        </w:rPr>
        <w:t>〔202</w:t>
      </w:r>
      <w:r>
        <w:rPr>
          <w:rFonts w:hint="default" w:ascii="Times New Roman" w:hAnsi="Times New Roman" w:eastAsia="宋体" w:cs="Times New Roman"/>
          <w:bCs/>
          <w:color w:val="auto"/>
          <w:kern w:val="0"/>
          <w:sz w:val="24"/>
          <w:szCs w:val="24"/>
          <w:lang w:val="en-US" w:eastAsia="zh-CN" w:bidi="ar"/>
        </w:rPr>
        <w:t>4</w:t>
      </w:r>
      <w:r>
        <w:rPr>
          <w:rFonts w:hint="default" w:ascii="Times New Roman" w:hAnsi="Times New Roman" w:eastAsia="宋体" w:cs="Times New Roman"/>
          <w:bCs/>
          <w:color w:val="auto"/>
          <w:kern w:val="0"/>
          <w:sz w:val="24"/>
          <w:szCs w:val="24"/>
          <w:lang w:eastAsia="zh-CN" w:bidi="ar"/>
        </w:rPr>
        <w:t>〕1</w:t>
      </w:r>
      <w:r>
        <w:rPr>
          <w:rFonts w:hint="default" w:ascii="Times New Roman" w:hAnsi="Times New Roman" w:eastAsia="宋体" w:cs="Times New Roman"/>
          <w:bCs/>
          <w:color w:val="auto"/>
          <w:kern w:val="0"/>
          <w:sz w:val="24"/>
          <w:szCs w:val="24"/>
          <w:lang w:val="en-US" w:eastAsia="zh-CN" w:bidi="ar"/>
        </w:rPr>
        <w:t>57</w:t>
      </w:r>
      <w:r>
        <w:rPr>
          <w:rFonts w:hint="default" w:ascii="Times New Roman" w:hAnsi="Times New Roman" w:eastAsia="宋体" w:cs="Times New Roman"/>
          <w:bCs/>
          <w:color w:val="auto"/>
          <w:kern w:val="0"/>
          <w:sz w:val="24"/>
          <w:szCs w:val="24"/>
          <w:lang w:eastAsia="zh-CN" w:bidi="ar"/>
        </w:rPr>
        <w:t>号</w:t>
      </w:r>
      <w:r>
        <w:rPr>
          <w:rFonts w:hint="default" w:ascii="Times New Roman" w:hAnsi="Times New Roman" w:eastAsia="宋体" w:cs="Times New Roman"/>
          <w:bCs/>
          <w:color w:val="auto"/>
          <w:kern w:val="0"/>
          <w:sz w:val="24"/>
          <w:szCs w:val="24"/>
          <w:lang w:val="en-US" w:eastAsia="zh-CN" w:bidi="ar"/>
        </w:rPr>
        <w:t>），2024年11月15日；</w:t>
      </w:r>
    </w:p>
    <w:p w14:paraId="5A41B2D8">
      <w:pPr>
        <w:bidi w:val="0"/>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w:t>
      </w:r>
      <w:r>
        <w:rPr>
          <w:rFonts w:hint="eastAsia" w:cs="Times New Roman"/>
          <w:color w:val="auto"/>
          <w:kern w:val="0"/>
          <w:sz w:val="24"/>
          <w:szCs w:val="24"/>
          <w:lang w:val="en-US" w:eastAsia="zh-CN" w:bidi="ar"/>
        </w:rPr>
        <w:t>6</w:t>
      </w:r>
      <w:r>
        <w:rPr>
          <w:rFonts w:hint="default" w:ascii="Times New Roman" w:hAnsi="Times New Roman" w:eastAsia="宋体" w:cs="Times New Roman"/>
          <w:color w:val="auto"/>
          <w:kern w:val="0"/>
          <w:sz w:val="24"/>
          <w:szCs w:val="24"/>
          <w:lang w:val="en-US" w:eastAsia="zh-CN" w:bidi="ar"/>
        </w:rPr>
        <w:t>）《克孜勒苏柯尔克孜自治州“三线一单”生态环境分区管控方案动态更新成果》</w:t>
      </w:r>
    </w:p>
    <w:p w14:paraId="67C54F2C">
      <w:pPr>
        <w:bidi w:val="0"/>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w:t>
      </w:r>
      <w:r>
        <w:rPr>
          <w:rFonts w:hint="eastAsia" w:cs="Times New Roman"/>
          <w:color w:val="auto"/>
          <w:kern w:val="0"/>
          <w:sz w:val="24"/>
          <w:szCs w:val="24"/>
          <w:lang w:val="en-US" w:eastAsia="zh-CN" w:bidi="ar"/>
        </w:rPr>
        <w:t>7</w:t>
      </w:r>
      <w:r>
        <w:rPr>
          <w:rFonts w:hint="default" w:ascii="Times New Roman" w:hAnsi="Times New Roman" w:eastAsia="宋体" w:cs="Times New Roman"/>
          <w:color w:val="auto"/>
          <w:kern w:val="0"/>
          <w:sz w:val="24"/>
          <w:szCs w:val="24"/>
          <w:lang w:val="en-US" w:eastAsia="zh-CN" w:bidi="ar"/>
        </w:rPr>
        <w:t>）关于&lt;喀什地区“三线一单”生态环境分区管控方案（2023年版）修改单&gt;的通知</w:t>
      </w:r>
    </w:p>
    <w:p w14:paraId="3C136076">
      <w:pPr>
        <w:bidi w:val="0"/>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《新疆维吾尔自治区国民经济和社会发展第十四个五年规划和2035年远景目标纲要》，2021年2月5日；</w:t>
      </w:r>
    </w:p>
    <w:p w14:paraId="1636B47B">
      <w:pPr>
        <w:bidi w:val="0"/>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w:t>
      </w:r>
      <w:r>
        <w:rPr>
          <w:rFonts w:hint="eastAsia" w:cs="Times New Roman"/>
          <w:color w:val="auto"/>
          <w:kern w:val="0"/>
          <w:sz w:val="24"/>
          <w:szCs w:val="24"/>
          <w:lang w:val="en-US" w:eastAsia="zh-CN" w:bidi="ar"/>
        </w:rPr>
        <w:t>8</w:t>
      </w:r>
      <w:r>
        <w:rPr>
          <w:rFonts w:hint="default" w:ascii="Times New Roman" w:hAnsi="Times New Roman" w:eastAsia="宋体" w:cs="Times New Roman"/>
          <w:color w:val="auto"/>
          <w:kern w:val="0"/>
          <w:sz w:val="24"/>
          <w:szCs w:val="24"/>
          <w:lang w:val="en-US" w:eastAsia="zh-CN" w:bidi="ar"/>
        </w:rPr>
        <w:t>）《克孜勒苏柯尔克孜自治州国民经济和社会发展第十四个五年规划和2035年远景目标纲要》；</w:t>
      </w:r>
    </w:p>
    <w:p w14:paraId="34D90B0D">
      <w:pPr>
        <w:bidi w:val="0"/>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w:t>
      </w:r>
      <w:r>
        <w:rPr>
          <w:rFonts w:hint="eastAsia" w:cs="Times New Roman"/>
          <w:color w:val="auto"/>
          <w:kern w:val="0"/>
          <w:sz w:val="24"/>
          <w:szCs w:val="24"/>
          <w:lang w:val="en-US" w:eastAsia="zh-CN" w:bidi="ar"/>
        </w:rPr>
        <w:t>19</w:t>
      </w:r>
      <w:r>
        <w:rPr>
          <w:rFonts w:hint="default" w:ascii="Times New Roman" w:hAnsi="Times New Roman" w:eastAsia="宋体" w:cs="Times New Roman"/>
          <w:color w:val="auto"/>
          <w:kern w:val="0"/>
          <w:sz w:val="24"/>
          <w:szCs w:val="24"/>
          <w:lang w:val="en-US" w:eastAsia="zh-CN" w:bidi="ar"/>
        </w:rPr>
        <w:t>）《阿图什市国民经济和社会发展第十四个五年规划和2035年远景目标纲要》。</w:t>
      </w:r>
    </w:p>
    <w:p w14:paraId="061787AA">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2.2.</w:t>
      </w:r>
      <w:r>
        <w:rPr>
          <w:rFonts w:hint="eastAsia" w:cs="Times New Roman"/>
          <w:color w:val="auto"/>
          <w:lang w:val="en-US" w:eastAsia="zh-CN"/>
        </w:rPr>
        <w:t>5</w:t>
      </w:r>
      <w:r>
        <w:rPr>
          <w:rFonts w:hint="default" w:ascii="Times New Roman" w:hAnsi="Times New Roman" w:cs="Times New Roman"/>
          <w:color w:val="auto"/>
          <w:lang w:val="en-US" w:eastAsia="zh-CN"/>
        </w:rPr>
        <w:t xml:space="preserve"> 环评有关技术规定</w:t>
      </w:r>
    </w:p>
    <w:p w14:paraId="27F8351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（1）《建设项目环境影响评价技术导则 总纲》（HJ 2.1-2016）；</w:t>
      </w:r>
    </w:p>
    <w:p w14:paraId="7477082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（2）《环境影响评价技术导则 大气环境》（HJ 2.2-2018）；</w:t>
      </w:r>
    </w:p>
    <w:p w14:paraId="0B564AE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（3）《环境影响评价技术导则 地表水环境》（HJ 2.3-2018）；</w:t>
      </w:r>
    </w:p>
    <w:p w14:paraId="1D2A746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（4）《环境影响评价技术导则 声环境》（HJ 2.4-2021）；</w:t>
      </w:r>
    </w:p>
    <w:p w14:paraId="228B886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（5）《环境影响评价技术导则 地下水环境》（HJ 610-2016）；</w:t>
      </w:r>
    </w:p>
    <w:p w14:paraId="5B34E60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（6）《环境影响评价技术导则 生态影响》（HJ 19-2022）；</w:t>
      </w:r>
    </w:p>
    <w:p w14:paraId="4DC10FC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（7）《环境影响评价技术导则 土壤环境（试行）》（HJ 964-2018）；</w:t>
      </w:r>
    </w:p>
    <w:p w14:paraId="6F73EE3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（8）《建设项目环境风险评价技术导则》（HJ 169-2018）；</w:t>
      </w:r>
    </w:p>
    <w:p w14:paraId="18880F1D">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highlight w:val="none"/>
          <w:lang w:val="en-US" w:eastAsia="zh-CN" w:bidi="ar"/>
        </w:rPr>
        <w:t>（9）《</w:t>
      </w:r>
      <w:r>
        <w:rPr>
          <w:rFonts w:hint="default" w:ascii="Times New Roman" w:hAnsi="Times New Roman" w:eastAsia="宋体" w:cs="Times New Roman"/>
          <w:color w:val="auto"/>
          <w:kern w:val="0"/>
          <w:sz w:val="24"/>
          <w:szCs w:val="24"/>
          <w:lang w:val="en-US" w:eastAsia="zh-CN" w:bidi="ar"/>
        </w:rPr>
        <w:t xml:space="preserve">环境影响评价技术导则 </w:t>
      </w:r>
      <w:r>
        <w:rPr>
          <w:rFonts w:hint="default" w:ascii="Times New Roman" w:hAnsi="Times New Roman" w:cs="Times New Roman"/>
          <w:color w:val="auto"/>
          <w:kern w:val="0"/>
          <w:sz w:val="24"/>
          <w:szCs w:val="24"/>
          <w:lang w:val="en-US" w:eastAsia="zh-CN" w:bidi="ar"/>
        </w:rPr>
        <w:t>公路建设项目</w:t>
      </w:r>
      <w:r>
        <w:rPr>
          <w:rFonts w:hint="default" w:ascii="Times New Roman" w:hAnsi="Times New Roman" w:eastAsia="宋体" w:cs="Times New Roman"/>
          <w:color w:val="auto"/>
          <w:kern w:val="0"/>
          <w:sz w:val="24"/>
          <w:szCs w:val="24"/>
          <w:lang w:val="en-US" w:eastAsia="zh-CN" w:bidi="ar"/>
        </w:rPr>
        <w:t>》（HJ 1</w:t>
      </w:r>
      <w:r>
        <w:rPr>
          <w:rFonts w:hint="default" w:ascii="Times New Roman" w:hAnsi="Times New Roman" w:cs="Times New Roman"/>
          <w:color w:val="auto"/>
          <w:kern w:val="0"/>
          <w:sz w:val="24"/>
          <w:szCs w:val="24"/>
          <w:lang w:val="en-US" w:eastAsia="zh-CN" w:bidi="ar"/>
        </w:rPr>
        <w:t>358</w:t>
      </w:r>
      <w:r>
        <w:rPr>
          <w:rFonts w:hint="default" w:ascii="Times New Roman" w:hAnsi="Times New Roman" w:eastAsia="宋体" w:cs="Times New Roman"/>
          <w:color w:val="auto"/>
          <w:kern w:val="0"/>
          <w:sz w:val="24"/>
          <w:szCs w:val="24"/>
          <w:lang w:val="en-US" w:eastAsia="zh-CN" w:bidi="ar"/>
        </w:rPr>
        <w:t>-202</w:t>
      </w:r>
      <w:r>
        <w:rPr>
          <w:rFonts w:hint="default" w:ascii="Times New Roman" w:hAnsi="Times New Roman" w:cs="Times New Roman"/>
          <w:color w:val="auto"/>
          <w:kern w:val="0"/>
          <w:sz w:val="24"/>
          <w:szCs w:val="24"/>
          <w:lang w:val="en-US" w:eastAsia="zh-CN" w:bidi="ar"/>
        </w:rPr>
        <w:t>4</w:t>
      </w:r>
      <w:r>
        <w:rPr>
          <w:rFonts w:hint="default" w:ascii="Times New Roman" w:hAnsi="Times New Roman" w:eastAsia="宋体" w:cs="Times New Roman"/>
          <w:color w:val="auto"/>
          <w:kern w:val="0"/>
          <w:sz w:val="24"/>
          <w:szCs w:val="24"/>
          <w:lang w:val="en-US" w:eastAsia="zh-CN" w:bidi="ar"/>
        </w:rPr>
        <w:t>）；</w:t>
      </w:r>
    </w:p>
    <w:p w14:paraId="307447C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（10）《环境噪声与振动控制工程技术导则》（HJ 2034-2013）；</w:t>
      </w:r>
    </w:p>
    <w:p w14:paraId="69A0D77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（11）《声环境功能区划分技术规范》（GB/T 15190-2014）；</w:t>
      </w:r>
    </w:p>
    <w:p w14:paraId="1F1AFD9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（12）《民用建筑隔声设计规范》（GB 50118-2010）；</w:t>
      </w:r>
    </w:p>
    <w:p w14:paraId="70B61F6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（13）《公路建设项目环境影响评价规范》</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JTG B03-2006</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w:t>
      </w:r>
    </w:p>
    <w:p w14:paraId="2728875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kern w:val="0"/>
          <w:sz w:val="24"/>
          <w:szCs w:val="24"/>
          <w:lang w:val="en-US" w:eastAsia="zh-CN" w:bidi="ar"/>
        </w:rPr>
        <w:t>（14）</w:t>
      </w:r>
      <w:r>
        <w:rPr>
          <w:rFonts w:hint="default" w:ascii="Times New Roman" w:hAnsi="Times New Roman" w:eastAsia="宋体" w:cs="Times New Roman"/>
          <w:color w:val="auto"/>
          <w:kern w:val="0"/>
          <w:sz w:val="24"/>
          <w:szCs w:val="24"/>
          <w:lang w:val="en-US" w:eastAsia="zh-CN" w:bidi="ar"/>
        </w:rPr>
        <w:t>《公路环境保护设计规范》</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JTG B04-2010</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w:t>
      </w:r>
    </w:p>
    <w:p w14:paraId="3AADE0FC">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2.2.</w:t>
      </w:r>
      <w:r>
        <w:rPr>
          <w:rFonts w:hint="eastAsia" w:cs="Times New Roman"/>
          <w:color w:val="auto"/>
          <w:lang w:val="en-US" w:eastAsia="zh-CN"/>
        </w:rPr>
        <w:t>6</w:t>
      </w:r>
      <w:r>
        <w:rPr>
          <w:rFonts w:hint="default" w:ascii="Times New Roman" w:hAnsi="Times New Roman" w:cs="Times New Roman"/>
          <w:color w:val="auto"/>
          <w:lang w:val="en-US" w:eastAsia="zh-CN"/>
        </w:rPr>
        <w:t xml:space="preserve"> 相关规划</w:t>
      </w:r>
    </w:p>
    <w:p w14:paraId="735837C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（1）《国家公路网规划（2022年</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2035年）》；</w:t>
      </w:r>
    </w:p>
    <w:p w14:paraId="27504FB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）《新疆维吾尔自治区公路网规划（2021-2050年）》；</w:t>
      </w:r>
    </w:p>
    <w:p w14:paraId="2D7B1AF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）《新疆维吾尔自治区交通运输“十四五”发展规划》。</w:t>
      </w:r>
    </w:p>
    <w:p w14:paraId="324A7ABD">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2.2.</w:t>
      </w:r>
      <w:r>
        <w:rPr>
          <w:rFonts w:hint="eastAsia" w:cs="Times New Roman"/>
          <w:color w:val="auto"/>
          <w:lang w:val="en-US" w:eastAsia="zh-CN"/>
        </w:rPr>
        <w:t>7</w:t>
      </w:r>
      <w:r>
        <w:rPr>
          <w:rFonts w:hint="default" w:ascii="Times New Roman" w:hAnsi="Times New Roman" w:cs="Times New Roman"/>
          <w:color w:val="auto"/>
          <w:lang w:val="en-US" w:eastAsia="zh-CN"/>
        </w:rPr>
        <w:t xml:space="preserve"> 技术文件</w:t>
      </w:r>
    </w:p>
    <w:p w14:paraId="65F511F8">
      <w:pPr>
        <w:keepNext w:val="0"/>
        <w:keepLines w:val="0"/>
        <w:widowControl/>
        <w:suppressLineNumbers w:val="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（1）委托书，</w:t>
      </w:r>
      <w:r>
        <w:rPr>
          <w:rFonts w:hint="default" w:ascii="Times New Roman" w:hAnsi="Times New Roman" w:eastAsia="宋体" w:cs="Times New Roman"/>
          <w:color w:val="auto"/>
          <w:sz w:val="24"/>
          <w:szCs w:val="24"/>
          <w:highlight w:val="none"/>
          <w:lang w:val="en-US" w:eastAsia="zh-CN"/>
        </w:rPr>
        <w:t>克州襄泽项目管理有限公司</w:t>
      </w:r>
      <w:r>
        <w:rPr>
          <w:rFonts w:hint="default" w:ascii="Times New Roman" w:hAnsi="Times New Roman" w:eastAsia="宋体" w:cs="Times New Roman"/>
          <w:color w:val="auto"/>
          <w:kern w:val="0"/>
          <w:sz w:val="24"/>
          <w:szCs w:val="24"/>
          <w:highlight w:val="none"/>
          <w:lang w:val="en-US" w:eastAsia="zh-CN" w:bidi="ar"/>
        </w:rPr>
        <w:t>，202</w:t>
      </w:r>
      <w:r>
        <w:rPr>
          <w:rFonts w:hint="eastAsia" w:cs="Times New Roman"/>
          <w:color w:val="auto"/>
          <w:kern w:val="0"/>
          <w:sz w:val="24"/>
          <w:szCs w:val="24"/>
          <w:highlight w:val="none"/>
          <w:lang w:val="en-US" w:eastAsia="zh-CN" w:bidi="ar"/>
        </w:rPr>
        <w:t>5</w:t>
      </w:r>
      <w:r>
        <w:rPr>
          <w:rFonts w:hint="default" w:ascii="Times New Roman" w:hAnsi="Times New Roman" w:eastAsia="宋体" w:cs="Times New Roman"/>
          <w:color w:val="auto"/>
          <w:kern w:val="0"/>
          <w:sz w:val="24"/>
          <w:szCs w:val="24"/>
          <w:highlight w:val="none"/>
          <w:lang w:val="en-US" w:eastAsia="zh-CN" w:bidi="ar"/>
        </w:rPr>
        <w:t>年</w:t>
      </w:r>
      <w:r>
        <w:rPr>
          <w:rFonts w:hint="eastAsia" w:cs="Times New Roman"/>
          <w:color w:val="auto"/>
          <w:kern w:val="0"/>
          <w:sz w:val="24"/>
          <w:szCs w:val="24"/>
          <w:highlight w:val="none"/>
          <w:lang w:val="en-US" w:eastAsia="zh-CN" w:bidi="ar"/>
        </w:rPr>
        <w:t>11</w:t>
      </w:r>
      <w:r>
        <w:rPr>
          <w:rFonts w:hint="default" w:ascii="Times New Roman" w:hAnsi="Times New Roman" w:eastAsia="宋体" w:cs="Times New Roman"/>
          <w:color w:val="auto"/>
          <w:kern w:val="0"/>
          <w:sz w:val="24"/>
          <w:szCs w:val="24"/>
          <w:highlight w:val="none"/>
          <w:lang w:val="en-US" w:eastAsia="zh-CN" w:bidi="ar"/>
        </w:rPr>
        <w:t>月；</w:t>
      </w:r>
    </w:p>
    <w:p w14:paraId="29AD4895">
      <w:pPr>
        <w:keepNext w:val="0"/>
        <w:keepLines w:val="0"/>
        <w:widowControl/>
        <w:suppressLineNumbers w:val="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（2）《</w:t>
      </w:r>
      <w:r>
        <w:rPr>
          <w:rFonts w:hint="default" w:ascii="Times New Roman" w:hAnsi="Times New Roman" w:cs="Times New Roman"/>
          <w:color w:val="auto"/>
          <w:kern w:val="0"/>
          <w:sz w:val="24"/>
          <w:szCs w:val="24"/>
          <w:highlight w:val="none"/>
          <w:lang w:val="en-US" w:eastAsia="zh-CN" w:bidi="ar"/>
        </w:rPr>
        <w:t>S227阿图什至喀什公路新建工程（隧道）</w:t>
      </w:r>
      <w:r>
        <w:rPr>
          <w:rFonts w:hint="default" w:ascii="Times New Roman" w:hAnsi="Times New Roman" w:eastAsia="宋体" w:cs="Times New Roman"/>
          <w:color w:val="auto"/>
          <w:kern w:val="0"/>
          <w:sz w:val="24"/>
          <w:szCs w:val="24"/>
          <w:highlight w:val="none"/>
          <w:lang w:val="en-US" w:eastAsia="zh-CN" w:bidi="ar"/>
        </w:rPr>
        <w:t>两阶段可行性研究报告》，苏交科集团股份有限公司，202</w:t>
      </w:r>
      <w:r>
        <w:rPr>
          <w:rFonts w:hint="default" w:ascii="Times New Roman" w:hAnsi="Times New Roman" w:cs="Times New Roman"/>
          <w:color w:val="auto"/>
          <w:kern w:val="0"/>
          <w:sz w:val="24"/>
          <w:szCs w:val="24"/>
          <w:highlight w:val="none"/>
          <w:lang w:val="en-US" w:eastAsia="zh-CN" w:bidi="ar"/>
        </w:rPr>
        <w:t>5年5月</w:t>
      </w:r>
      <w:r>
        <w:rPr>
          <w:rFonts w:hint="default" w:ascii="Times New Roman" w:hAnsi="Times New Roman" w:eastAsia="宋体" w:cs="Times New Roman"/>
          <w:color w:val="auto"/>
          <w:kern w:val="0"/>
          <w:sz w:val="24"/>
          <w:szCs w:val="24"/>
          <w:highlight w:val="none"/>
          <w:lang w:val="en-US" w:eastAsia="zh-CN" w:bidi="ar"/>
        </w:rPr>
        <w:t>；</w:t>
      </w:r>
    </w:p>
    <w:p w14:paraId="595856BA">
      <w:pPr>
        <w:keepNext w:val="0"/>
        <w:keepLines w:val="0"/>
        <w:widowControl/>
        <w:suppressLineNumbers w:val="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（3）《</w:t>
      </w:r>
      <w:r>
        <w:rPr>
          <w:rFonts w:hint="default" w:ascii="Times New Roman" w:hAnsi="Times New Roman" w:cs="Times New Roman"/>
          <w:color w:val="auto"/>
          <w:kern w:val="0"/>
          <w:sz w:val="24"/>
          <w:szCs w:val="24"/>
          <w:highlight w:val="none"/>
          <w:lang w:val="en-US" w:eastAsia="zh-CN" w:bidi="ar"/>
        </w:rPr>
        <w:t>S227阿图什至喀什公路新建工程（隧道）</w:t>
      </w:r>
      <w:r>
        <w:rPr>
          <w:rFonts w:hint="default" w:ascii="Times New Roman" w:hAnsi="Times New Roman" w:eastAsia="宋体" w:cs="Times New Roman"/>
          <w:color w:val="auto"/>
          <w:kern w:val="0"/>
          <w:sz w:val="24"/>
          <w:szCs w:val="24"/>
          <w:highlight w:val="none"/>
          <w:lang w:val="en-US" w:eastAsia="zh-CN" w:bidi="ar"/>
        </w:rPr>
        <w:t>两阶段初步设计》，苏交科集团股份有限公司，202</w:t>
      </w:r>
      <w:r>
        <w:rPr>
          <w:rFonts w:hint="default" w:ascii="Times New Roman" w:hAnsi="Times New Roman" w:cs="Times New Roman"/>
          <w:color w:val="auto"/>
          <w:kern w:val="0"/>
          <w:sz w:val="24"/>
          <w:szCs w:val="24"/>
          <w:highlight w:val="none"/>
          <w:lang w:val="en-US" w:eastAsia="zh-CN" w:bidi="ar"/>
        </w:rPr>
        <w:t>5年11月</w:t>
      </w:r>
      <w:r>
        <w:rPr>
          <w:rFonts w:hint="default" w:ascii="Times New Roman" w:hAnsi="Times New Roman" w:eastAsia="宋体" w:cs="Times New Roman"/>
          <w:color w:val="auto"/>
          <w:kern w:val="0"/>
          <w:sz w:val="24"/>
          <w:szCs w:val="24"/>
          <w:highlight w:val="none"/>
          <w:lang w:val="en-US" w:eastAsia="zh-CN" w:bidi="ar"/>
        </w:rPr>
        <w:t>；</w:t>
      </w:r>
    </w:p>
    <w:p w14:paraId="46F621AB">
      <w:pPr>
        <w:keepNext w:val="0"/>
        <w:keepLines w:val="0"/>
        <w:widowControl/>
        <w:suppressLineNumbers w:val="0"/>
        <w:jc w:val="left"/>
        <w:rPr>
          <w:rFonts w:hint="default" w:ascii="Times New Roman" w:hAnsi="Times New Roman" w:cs="Times New Roman"/>
          <w:color w:val="auto"/>
          <w:highlight w:val="yellow"/>
        </w:rPr>
      </w:pPr>
      <w:r>
        <w:rPr>
          <w:rFonts w:hint="default" w:ascii="Times New Roman" w:hAnsi="Times New Roman" w:eastAsia="宋体" w:cs="Times New Roman"/>
          <w:color w:val="auto"/>
          <w:kern w:val="0"/>
          <w:sz w:val="24"/>
          <w:szCs w:val="24"/>
          <w:highlight w:val="none"/>
          <w:lang w:val="en-US" w:eastAsia="zh-CN" w:bidi="ar"/>
        </w:rPr>
        <w:t>（4）《</w:t>
      </w:r>
      <w:r>
        <w:rPr>
          <w:rFonts w:hint="default" w:ascii="Times New Roman" w:hAnsi="Times New Roman" w:cs="Times New Roman"/>
          <w:color w:val="auto"/>
          <w:kern w:val="0"/>
          <w:sz w:val="24"/>
          <w:szCs w:val="24"/>
          <w:highlight w:val="none"/>
          <w:lang w:val="en-US" w:eastAsia="zh-CN" w:bidi="ar"/>
        </w:rPr>
        <w:t>S227阿图什至喀什公路新建工程（隧道）</w:t>
      </w:r>
      <w:r>
        <w:rPr>
          <w:rFonts w:hint="default" w:ascii="Times New Roman" w:hAnsi="Times New Roman" w:eastAsia="宋体" w:cs="Times New Roman"/>
          <w:color w:val="auto"/>
          <w:kern w:val="0"/>
          <w:sz w:val="24"/>
          <w:szCs w:val="24"/>
          <w:highlight w:val="none"/>
          <w:lang w:val="en-US" w:eastAsia="zh-CN" w:bidi="ar"/>
        </w:rPr>
        <w:t>两阶段施工图设计》，苏交科集团股份有限公司，202</w:t>
      </w:r>
      <w:r>
        <w:rPr>
          <w:rFonts w:hint="default" w:ascii="Times New Roman" w:hAnsi="Times New Roman" w:cs="Times New Roman"/>
          <w:color w:val="auto"/>
          <w:kern w:val="0"/>
          <w:sz w:val="24"/>
          <w:szCs w:val="24"/>
          <w:highlight w:val="none"/>
          <w:lang w:val="en-US" w:eastAsia="zh-CN" w:bidi="ar"/>
        </w:rPr>
        <w:t>5年11月</w:t>
      </w:r>
      <w:r>
        <w:rPr>
          <w:rFonts w:hint="default" w:ascii="Times New Roman" w:hAnsi="Times New Roman" w:eastAsia="宋体" w:cs="Times New Roman"/>
          <w:color w:val="auto"/>
          <w:kern w:val="0"/>
          <w:sz w:val="24"/>
          <w:szCs w:val="24"/>
          <w:highlight w:val="none"/>
          <w:lang w:val="en-US" w:eastAsia="zh-CN" w:bidi="ar"/>
        </w:rPr>
        <w:t>。</w:t>
      </w:r>
    </w:p>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p w14:paraId="1043C46E">
      <w:pPr>
        <w:pStyle w:val="3"/>
        <w:keepNext/>
        <w:keepLines/>
        <w:pageBreakBefore w:val="0"/>
        <w:widowControl w:val="0"/>
        <w:numPr>
          <w:ilvl w:val="1"/>
          <w:numId w:val="0"/>
        </w:numPr>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rPr>
      </w:pPr>
      <w:bookmarkStart w:id="595" w:name="_Toc12373"/>
      <w:bookmarkStart w:id="596" w:name="_Toc30570"/>
      <w:bookmarkStart w:id="597" w:name="_Toc23633"/>
      <w:bookmarkStart w:id="598" w:name="_Toc27227"/>
      <w:bookmarkStart w:id="599" w:name="_Toc11962"/>
      <w:bookmarkStart w:id="600" w:name="_Toc26614"/>
      <w:bookmarkStart w:id="601" w:name="_Toc21678"/>
      <w:bookmarkStart w:id="602" w:name="_Toc29342"/>
      <w:bookmarkStart w:id="603" w:name="_Toc12787"/>
      <w:bookmarkStart w:id="604" w:name="_Toc31247"/>
      <w:bookmarkStart w:id="605" w:name="_Toc31405"/>
      <w:bookmarkStart w:id="606" w:name="_Toc20277"/>
      <w:bookmarkStart w:id="607" w:name="_Toc13155"/>
      <w:bookmarkStart w:id="608" w:name="_Toc29817"/>
      <w:bookmarkStart w:id="609" w:name="_Toc26485"/>
      <w:bookmarkStart w:id="610" w:name="_Toc1736"/>
      <w:bookmarkStart w:id="611" w:name="_Toc7332"/>
      <w:bookmarkStart w:id="612" w:name="_Toc322"/>
      <w:bookmarkStart w:id="613" w:name="_Toc8349"/>
      <w:bookmarkStart w:id="614" w:name="_Toc18532"/>
      <w:bookmarkStart w:id="615" w:name="_Toc2624"/>
      <w:bookmarkStart w:id="616" w:name="_Toc20949"/>
      <w:bookmarkStart w:id="617" w:name="_Toc7457"/>
      <w:bookmarkStart w:id="618" w:name="_Toc10202"/>
      <w:bookmarkStart w:id="619" w:name="_Toc8936"/>
      <w:bookmarkStart w:id="620" w:name="_Toc17681"/>
      <w:bookmarkStart w:id="621" w:name="_Toc14486"/>
      <w:bookmarkStart w:id="622" w:name="_Toc10593"/>
      <w:bookmarkStart w:id="623" w:name="_Toc8118"/>
      <w:bookmarkStart w:id="624" w:name="_Toc16166"/>
      <w:bookmarkStart w:id="625" w:name="_Toc30076"/>
      <w:bookmarkStart w:id="626" w:name="_Toc4609"/>
      <w:bookmarkStart w:id="627" w:name="_Toc6036"/>
      <w:bookmarkStart w:id="628" w:name="_Toc25401"/>
      <w:bookmarkStart w:id="629" w:name="_Toc17274"/>
      <w:bookmarkStart w:id="630" w:name="_Toc20289"/>
      <w:bookmarkStart w:id="631" w:name="_Toc32634"/>
      <w:bookmarkStart w:id="632" w:name="_Toc22200"/>
      <w:bookmarkStart w:id="633" w:name="_Toc9216"/>
      <w:bookmarkStart w:id="634" w:name="_Toc12809"/>
      <w:bookmarkStart w:id="635" w:name="_Toc5319"/>
      <w:bookmarkStart w:id="636" w:name="_Toc8395429"/>
      <w:bookmarkStart w:id="637" w:name="_Toc68274946"/>
      <w:bookmarkStart w:id="638" w:name="_Toc498021283"/>
      <w:bookmarkStart w:id="639" w:name="_Toc10030069"/>
      <w:bookmarkStart w:id="640" w:name="_Toc45290826"/>
      <w:bookmarkStart w:id="641" w:name="_Toc10027442"/>
      <w:bookmarkStart w:id="642" w:name="_Toc60199613"/>
      <w:bookmarkStart w:id="643" w:name="_Toc44992226"/>
      <w:bookmarkStart w:id="644" w:name="_Toc9152941"/>
      <w:bookmarkStart w:id="645" w:name="_Toc38679856"/>
      <w:bookmarkStart w:id="646" w:name="_Toc137476635"/>
      <w:bookmarkStart w:id="647" w:name="_Toc9756896"/>
      <w:bookmarkStart w:id="648" w:name="_Toc90772632"/>
      <w:bookmarkStart w:id="649" w:name="_Toc90770961"/>
      <w:r>
        <w:rPr>
          <w:rFonts w:hint="default" w:ascii="Times New Roman" w:hAnsi="Times New Roman" w:cs="Times New Roman"/>
          <w:color w:val="auto"/>
          <w:lang w:val="en-US" w:eastAsia="zh-CN"/>
        </w:rPr>
        <w:t xml:space="preserve">2.3 </w:t>
      </w:r>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r>
        <w:rPr>
          <w:rFonts w:hint="default" w:ascii="Times New Roman" w:hAnsi="Times New Roman" w:cs="Times New Roman"/>
          <w:color w:val="auto"/>
          <w:lang w:val="en-US" w:eastAsia="zh-CN"/>
        </w:rPr>
        <w:t>环境影响识别与评价因子筛选</w:t>
      </w:r>
      <w:bookmarkEnd w:id="623"/>
      <w:bookmarkEnd w:id="624"/>
      <w:bookmarkEnd w:id="625"/>
      <w:bookmarkEnd w:id="626"/>
      <w:bookmarkEnd w:id="627"/>
      <w:bookmarkEnd w:id="628"/>
      <w:bookmarkEnd w:id="629"/>
      <w:bookmarkEnd w:id="630"/>
      <w:bookmarkEnd w:id="631"/>
      <w:bookmarkEnd w:id="632"/>
      <w:bookmarkEnd w:id="633"/>
      <w:bookmarkEnd w:id="634"/>
      <w:bookmarkEnd w:id="635"/>
    </w:p>
    <w:p w14:paraId="5DBDA11C">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2.3.1 环境影响因素识别</w:t>
      </w:r>
    </w:p>
    <w:p w14:paraId="617AEDAB">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项目施工期间对环境的影响很大程度上取决于工程特点、施工季节以及工程所处的地形、地貌等环境因素。运营期产生废气、废水、噪声以及固废等污染因素，将相应对道路沿线区域的环境空气、地下水环境及声环境等产生不同程度的影响。综上所述，确定本项目主要环境影响因素见表2.3-1</w:t>
      </w:r>
      <w:r>
        <w:rPr>
          <w:rFonts w:hint="eastAsia" w:cs="Times New Roman"/>
          <w:color w:val="auto"/>
          <w:lang w:val="en-US" w:eastAsia="zh-CN"/>
        </w:rPr>
        <w:t>、表2.3-2</w:t>
      </w:r>
      <w:r>
        <w:rPr>
          <w:rFonts w:hint="default" w:ascii="Times New Roman" w:hAnsi="Times New Roman" w:cs="Times New Roman"/>
          <w:color w:val="auto"/>
          <w:lang w:val="en-US" w:eastAsia="zh-CN"/>
        </w:rPr>
        <w:t>。</w:t>
      </w:r>
    </w:p>
    <w:p w14:paraId="7B5B73F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kern w:val="2"/>
          <w:sz w:val="21"/>
          <w:szCs w:val="21"/>
          <w:lang w:val="en-US" w:eastAsia="zh-CN" w:bidi="ar-SA"/>
        </w:rPr>
      </w:pPr>
      <w:r>
        <w:rPr>
          <w:rFonts w:hint="eastAsia" w:ascii="Times New Roman" w:hAnsi="Times New Roman" w:eastAsia="宋体" w:cs="Times New Roman"/>
          <w:b/>
          <w:color w:val="auto"/>
          <w:kern w:val="2"/>
          <w:sz w:val="21"/>
          <w:szCs w:val="21"/>
          <w:lang w:val="en-US" w:eastAsia="zh-CN" w:bidi="ar-SA"/>
        </w:rPr>
        <w:t>表2.3-1</w:t>
      </w:r>
      <w:r>
        <w:rPr>
          <w:rFonts w:hint="default" w:ascii="Times New Roman" w:hAnsi="Times New Roman" w:eastAsia="宋体" w:cs="Times New Roman"/>
          <w:b/>
          <w:color w:val="auto"/>
          <w:kern w:val="2"/>
          <w:sz w:val="21"/>
          <w:szCs w:val="21"/>
          <w:lang w:val="en-US" w:eastAsia="zh-CN" w:bidi="ar-SA"/>
        </w:rPr>
        <w:t>本项目生态影响评价因子筛选表</w:t>
      </w:r>
    </w:p>
    <w:tbl>
      <w:tblPr>
        <w:tblStyle w:val="30"/>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14"/>
        <w:gridCol w:w="866"/>
        <w:gridCol w:w="1531"/>
        <w:gridCol w:w="4017"/>
        <w:gridCol w:w="605"/>
        <w:gridCol w:w="572"/>
      </w:tblGrid>
      <w:tr w14:paraId="10F760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430" w:type="pct"/>
            <w:tcBorders>
              <w:tl2br w:val="nil"/>
              <w:tr2bl w:val="nil"/>
            </w:tcBorders>
            <w:noWrap w:val="0"/>
            <w:vAlign w:val="center"/>
          </w:tcPr>
          <w:p w14:paraId="4DF1DBC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lang w:val="en-US" w:eastAsia="en-US" w:bidi="ar"/>
              </w:rPr>
            </w:pPr>
            <w:r>
              <w:rPr>
                <w:rFonts w:hint="default" w:ascii="Times New Roman" w:hAnsi="Times New Roman" w:eastAsia="宋体" w:cs="Times New Roman"/>
                <w:b/>
                <w:bCs/>
                <w:color w:val="auto"/>
                <w:kern w:val="0"/>
                <w:sz w:val="21"/>
                <w:szCs w:val="21"/>
                <w:lang w:val="en-US" w:eastAsia="en-US" w:bidi="ar"/>
              </w:rPr>
              <w:t>影响</w:t>
            </w:r>
          </w:p>
          <w:p w14:paraId="6D08BB5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lang w:val="en-US" w:eastAsia="en-US" w:bidi="ar"/>
              </w:rPr>
            </w:pPr>
            <w:r>
              <w:rPr>
                <w:rFonts w:hint="default" w:ascii="Times New Roman" w:hAnsi="Times New Roman" w:eastAsia="宋体" w:cs="Times New Roman"/>
                <w:b/>
                <w:bCs/>
                <w:color w:val="auto"/>
                <w:kern w:val="0"/>
                <w:sz w:val="21"/>
                <w:szCs w:val="21"/>
                <w:lang w:val="en-US" w:eastAsia="en-US" w:bidi="ar"/>
              </w:rPr>
              <w:t>时期</w:t>
            </w:r>
          </w:p>
        </w:tc>
        <w:tc>
          <w:tcPr>
            <w:tcW w:w="521" w:type="pct"/>
            <w:tcBorders>
              <w:tl2br w:val="nil"/>
              <w:tr2bl w:val="nil"/>
            </w:tcBorders>
            <w:noWrap w:val="0"/>
            <w:vAlign w:val="center"/>
          </w:tcPr>
          <w:p w14:paraId="118C491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lang w:val="en-US" w:eastAsia="en-US" w:bidi="ar"/>
              </w:rPr>
            </w:pPr>
            <w:r>
              <w:rPr>
                <w:rFonts w:hint="default" w:ascii="Times New Roman" w:hAnsi="Times New Roman" w:eastAsia="宋体" w:cs="Times New Roman"/>
                <w:b/>
                <w:bCs/>
                <w:color w:val="auto"/>
                <w:kern w:val="0"/>
                <w:sz w:val="21"/>
                <w:szCs w:val="21"/>
                <w:lang w:val="en-US" w:eastAsia="en-US" w:bidi="ar"/>
              </w:rPr>
              <w:t>受影响</w:t>
            </w:r>
          </w:p>
          <w:p w14:paraId="510D5CF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lang w:val="en-US" w:eastAsia="en-US" w:bidi="ar"/>
              </w:rPr>
            </w:pPr>
            <w:r>
              <w:rPr>
                <w:rFonts w:hint="default" w:ascii="Times New Roman" w:hAnsi="Times New Roman" w:eastAsia="宋体" w:cs="Times New Roman"/>
                <w:b/>
                <w:bCs/>
                <w:color w:val="auto"/>
                <w:kern w:val="0"/>
                <w:sz w:val="21"/>
                <w:szCs w:val="21"/>
                <w:lang w:val="en-US" w:eastAsia="en-US" w:bidi="ar"/>
              </w:rPr>
              <w:t>对象</w:t>
            </w:r>
          </w:p>
        </w:tc>
        <w:tc>
          <w:tcPr>
            <w:tcW w:w="921" w:type="pct"/>
            <w:tcBorders>
              <w:tl2br w:val="nil"/>
              <w:tr2bl w:val="nil"/>
            </w:tcBorders>
            <w:noWrap w:val="0"/>
            <w:vAlign w:val="center"/>
          </w:tcPr>
          <w:p w14:paraId="3111C5C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lang w:val="en-US" w:eastAsia="en-US" w:bidi="ar"/>
              </w:rPr>
            </w:pPr>
            <w:r>
              <w:rPr>
                <w:rFonts w:hint="default" w:ascii="Times New Roman" w:hAnsi="Times New Roman" w:eastAsia="宋体" w:cs="Times New Roman"/>
                <w:b/>
                <w:bCs/>
                <w:color w:val="auto"/>
                <w:kern w:val="0"/>
                <w:sz w:val="21"/>
                <w:szCs w:val="21"/>
                <w:lang w:val="en-US" w:eastAsia="en-US" w:bidi="ar"/>
              </w:rPr>
              <w:t>评价因子</w:t>
            </w:r>
          </w:p>
        </w:tc>
        <w:tc>
          <w:tcPr>
            <w:tcW w:w="2417" w:type="pct"/>
            <w:tcBorders>
              <w:tl2br w:val="nil"/>
              <w:tr2bl w:val="nil"/>
            </w:tcBorders>
            <w:noWrap w:val="0"/>
            <w:vAlign w:val="center"/>
          </w:tcPr>
          <w:p w14:paraId="4326328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lang w:val="en-US" w:eastAsia="en-US" w:bidi="ar"/>
              </w:rPr>
            </w:pPr>
            <w:r>
              <w:rPr>
                <w:rFonts w:hint="default" w:ascii="Times New Roman" w:hAnsi="Times New Roman" w:eastAsia="宋体" w:cs="Times New Roman"/>
                <w:b/>
                <w:bCs/>
                <w:color w:val="auto"/>
                <w:kern w:val="0"/>
                <w:sz w:val="21"/>
                <w:szCs w:val="21"/>
                <w:lang w:val="en-US" w:eastAsia="en-US" w:bidi="ar"/>
              </w:rPr>
              <w:t>工程内容及影响方式</w:t>
            </w:r>
          </w:p>
        </w:tc>
        <w:tc>
          <w:tcPr>
            <w:tcW w:w="364" w:type="pct"/>
            <w:tcBorders>
              <w:tl2br w:val="nil"/>
              <w:tr2bl w:val="nil"/>
            </w:tcBorders>
            <w:noWrap w:val="0"/>
            <w:vAlign w:val="center"/>
          </w:tcPr>
          <w:p w14:paraId="7026558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lang w:val="en-US" w:eastAsia="en-US" w:bidi="ar"/>
              </w:rPr>
            </w:pPr>
            <w:r>
              <w:rPr>
                <w:rFonts w:hint="default" w:ascii="Times New Roman" w:hAnsi="Times New Roman" w:eastAsia="宋体" w:cs="Times New Roman"/>
                <w:b/>
                <w:bCs/>
                <w:color w:val="auto"/>
                <w:kern w:val="0"/>
                <w:sz w:val="21"/>
                <w:szCs w:val="21"/>
                <w:lang w:val="en-US" w:eastAsia="en-US" w:bidi="ar"/>
              </w:rPr>
              <w:t>影响性质</w:t>
            </w:r>
          </w:p>
        </w:tc>
        <w:tc>
          <w:tcPr>
            <w:tcW w:w="344" w:type="pct"/>
            <w:tcBorders>
              <w:tl2br w:val="nil"/>
              <w:tr2bl w:val="nil"/>
            </w:tcBorders>
            <w:noWrap w:val="0"/>
            <w:vAlign w:val="center"/>
          </w:tcPr>
          <w:p w14:paraId="042CA1D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lang w:val="en-US" w:eastAsia="en-US" w:bidi="ar"/>
              </w:rPr>
            </w:pPr>
            <w:r>
              <w:rPr>
                <w:rFonts w:hint="default" w:ascii="Times New Roman" w:hAnsi="Times New Roman" w:eastAsia="宋体" w:cs="Times New Roman"/>
                <w:b/>
                <w:bCs/>
                <w:color w:val="auto"/>
                <w:kern w:val="0"/>
                <w:sz w:val="21"/>
                <w:szCs w:val="21"/>
                <w:lang w:val="en-US" w:eastAsia="en-US" w:bidi="ar"/>
              </w:rPr>
              <w:t>影响程度</w:t>
            </w:r>
          </w:p>
        </w:tc>
      </w:tr>
      <w:tr w14:paraId="3CCA41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30" w:type="pct"/>
            <w:vMerge w:val="restart"/>
            <w:tcBorders>
              <w:tl2br w:val="nil"/>
              <w:tr2bl w:val="nil"/>
            </w:tcBorders>
            <w:noWrap w:val="0"/>
            <w:vAlign w:val="center"/>
          </w:tcPr>
          <w:p w14:paraId="0AB42C3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施工期</w:t>
            </w:r>
          </w:p>
        </w:tc>
        <w:tc>
          <w:tcPr>
            <w:tcW w:w="521" w:type="pct"/>
            <w:tcBorders>
              <w:tl2br w:val="nil"/>
              <w:tr2bl w:val="nil"/>
            </w:tcBorders>
            <w:noWrap w:val="0"/>
            <w:vAlign w:val="center"/>
          </w:tcPr>
          <w:p w14:paraId="6E159E2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物种</w:t>
            </w:r>
          </w:p>
        </w:tc>
        <w:tc>
          <w:tcPr>
            <w:tcW w:w="921" w:type="pct"/>
            <w:tcBorders>
              <w:tl2br w:val="nil"/>
              <w:tr2bl w:val="nil"/>
            </w:tcBorders>
            <w:noWrap w:val="0"/>
            <w:vAlign w:val="center"/>
          </w:tcPr>
          <w:p w14:paraId="786D705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分布范围、种群数量、种群结构行为等</w:t>
            </w:r>
          </w:p>
        </w:tc>
        <w:tc>
          <w:tcPr>
            <w:tcW w:w="2417" w:type="pct"/>
            <w:tcBorders>
              <w:tl2br w:val="nil"/>
              <w:tr2bl w:val="nil"/>
            </w:tcBorders>
            <w:noWrap w:val="0"/>
            <w:vAlign w:val="center"/>
          </w:tcPr>
          <w:p w14:paraId="29669C7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路基、路面施工对植物物种的分布范围的占用，工程施工、运行导致个体直接死亡，生境面积和质量下降导致个体死亡、造成种群数量的减少，影响种群结构，施工活动对野生动物行为产生干扰</w:t>
            </w:r>
          </w:p>
        </w:tc>
        <w:tc>
          <w:tcPr>
            <w:tcW w:w="364" w:type="pct"/>
            <w:tcBorders>
              <w:tl2br w:val="nil"/>
              <w:tr2bl w:val="nil"/>
            </w:tcBorders>
            <w:noWrap w:val="0"/>
            <w:vAlign w:val="center"/>
          </w:tcPr>
          <w:p w14:paraId="332399A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短期、可逆</w:t>
            </w:r>
          </w:p>
        </w:tc>
        <w:tc>
          <w:tcPr>
            <w:tcW w:w="344" w:type="pct"/>
            <w:tcBorders>
              <w:tl2br w:val="nil"/>
              <w:tr2bl w:val="nil"/>
            </w:tcBorders>
            <w:noWrap w:val="0"/>
            <w:vAlign w:val="center"/>
          </w:tcPr>
          <w:p w14:paraId="1B5AB64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强</w:t>
            </w:r>
          </w:p>
        </w:tc>
      </w:tr>
      <w:tr w14:paraId="0A03C5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30" w:type="pct"/>
            <w:vMerge w:val="continue"/>
            <w:tcBorders>
              <w:tl2br w:val="nil"/>
              <w:tr2bl w:val="nil"/>
            </w:tcBorders>
            <w:noWrap w:val="0"/>
            <w:vAlign w:val="center"/>
          </w:tcPr>
          <w:p w14:paraId="1617DCB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zh-CN" w:bidi="ar"/>
              </w:rPr>
            </w:pPr>
          </w:p>
        </w:tc>
        <w:tc>
          <w:tcPr>
            <w:tcW w:w="521" w:type="pct"/>
            <w:tcBorders>
              <w:tl2br w:val="nil"/>
              <w:tr2bl w:val="nil"/>
            </w:tcBorders>
            <w:noWrap w:val="0"/>
            <w:vAlign w:val="center"/>
          </w:tcPr>
          <w:p w14:paraId="69104A5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生境</w:t>
            </w:r>
          </w:p>
        </w:tc>
        <w:tc>
          <w:tcPr>
            <w:tcW w:w="921" w:type="pct"/>
            <w:tcBorders>
              <w:tl2br w:val="nil"/>
              <w:tr2bl w:val="nil"/>
            </w:tcBorders>
            <w:noWrap w:val="0"/>
            <w:vAlign w:val="center"/>
          </w:tcPr>
          <w:p w14:paraId="1C31D57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生境面积、质量连通性等</w:t>
            </w:r>
          </w:p>
        </w:tc>
        <w:tc>
          <w:tcPr>
            <w:tcW w:w="2417" w:type="pct"/>
            <w:tcBorders>
              <w:tl2br w:val="nil"/>
              <w:tr2bl w:val="nil"/>
            </w:tcBorders>
            <w:noWrap w:val="0"/>
            <w:vAlign w:val="center"/>
          </w:tcPr>
          <w:p w14:paraId="447B28C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临时、永久占地导致生境直接破坏或丧失，种群数量下降或种群生存能力降低对质量的影响</w:t>
            </w:r>
          </w:p>
        </w:tc>
        <w:tc>
          <w:tcPr>
            <w:tcW w:w="364" w:type="pct"/>
            <w:tcBorders>
              <w:tl2br w:val="nil"/>
              <w:tr2bl w:val="nil"/>
            </w:tcBorders>
            <w:noWrap w:val="0"/>
            <w:vAlign w:val="center"/>
          </w:tcPr>
          <w:p w14:paraId="6A4CE17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短期、不可逆</w:t>
            </w:r>
          </w:p>
        </w:tc>
        <w:tc>
          <w:tcPr>
            <w:tcW w:w="344" w:type="pct"/>
            <w:tcBorders>
              <w:tl2br w:val="nil"/>
              <w:tr2bl w:val="nil"/>
            </w:tcBorders>
            <w:noWrap w:val="0"/>
            <w:vAlign w:val="center"/>
          </w:tcPr>
          <w:p w14:paraId="7446A1E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强</w:t>
            </w:r>
          </w:p>
        </w:tc>
      </w:tr>
      <w:tr w14:paraId="47B964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30" w:type="pct"/>
            <w:vMerge w:val="continue"/>
            <w:tcBorders>
              <w:tl2br w:val="nil"/>
              <w:tr2bl w:val="nil"/>
            </w:tcBorders>
            <w:noWrap w:val="0"/>
            <w:vAlign w:val="center"/>
          </w:tcPr>
          <w:p w14:paraId="2E357F6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zh-CN" w:bidi="ar"/>
              </w:rPr>
            </w:pPr>
          </w:p>
        </w:tc>
        <w:tc>
          <w:tcPr>
            <w:tcW w:w="521" w:type="pct"/>
            <w:tcBorders>
              <w:tl2br w:val="nil"/>
              <w:tr2bl w:val="nil"/>
            </w:tcBorders>
            <w:noWrap w:val="0"/>
            <w:vAlign w:val="center"/>
          </w:tcPr>
          <w:p w14:paraId="1E44058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生物群落</w:t>
            </w:r>
          </w:p>
        </w:tc>
        <w:tc>
          <w:tcPr>
            <w:tcW w:w="921" w:type="pct"/>
            <w:tcBorders>
              <w:tl2br w:val="nil"/>
              <w:tr2bl w:val="nil"/>
            </w:tcBorders>
            <w:noWrap w:val="0"/>
            <w:vAlign w:val="center"/>
          </w:tcPr>
          <w:p w14:paraId="4FF7BA1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组成、群落结构等</w:t>
            </w:r>
          </w:p>
        </w:tc>
        <w:tc>
          <w:tcPr>
            <w:tcW w:w="2417" w:type="pct"/>
            <w:tcBorders>
              <w:tl2br w:val="nil"/>
              <w:tr2bl w:val="nil"/>
            </w:tcBorders>
            <w:noWrap w:val="0"/>
            <w:vAlign w:val="center"/>
          </w:tcPr>
          <w:p w14:paraId="67E3A7B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路基、路面施工对土地占用造成的直接生态影响：包括临时、永久占地导致生境直接破坏或丧失；工程施工、运行导致个体直接死亡；施工活动对野生动物行为产生干扰</w:t>
            </w:r>
          </w:p>
        </w:tc>
        <w:tc>
          <w:tcPr>
            <w:tcW w:w="364" w:type="pct"/>
            <w:tcBorders>
              <w:tl2br w:val="nil"/>
              <w:tr2bl w:val="nil"/>
            </w:tcBorders>
            <w:noWrap w:val="0"/>
            <w:vAlign w:val="center"/>
          </w:tcPr>
          <w:p w14:paraId="148D4D6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短期、可逆</w:t>
            </w:r>
          </w:p>
        </w:tc>
        <w:tc>
          <w:tcPr>
            <w:tcW w:w="344" w:type="pct"/>
            <w:tcBorders>
              <w:tl2br w:val="nil"/>
              <w:tr2bl w:val="nil"/>
            </w:tcBorders>
            <w:noWrap w:val="0"/>
            <w:vAlign w:val="center"/>
          </w:tcPr>
          <w:p w14:paraId="7FF00E9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强</w:t>
            </w:r>
          </w:p>
        </w:tc>
      </w:tr>
      <w:tr w14:paraId="75F4AF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30" w:type="pct"/>
            <w:vMerge w:val="continue"/>
            <w:tcBorders>
              <w:tl2br w:val="nil"/>
              <w:tr2bl w:val="nil"/>
            </w:tcBorders>
            <w:noWrap w:val="0"/>
            <w:vAlign w:val="center"/>
          </w:tcPr>
          <w:p w14:paraId="0A3B8BD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zh-CN" w:bidi="ar"/>
              </w:rPr>
            </w:pPr>
          </w:p>
        </w:tc>
        <w:tc>
          <w:tcPr>
            <w:tcW w:w="521" w:type="pct"/>
            <w:tcBorders>
              <w:tl2br w:val="nil"/>
              <w:tr2bl w:val="nil"/>
            </w:tcBorders>
            <w:noWrap w:val="0"/>
            <w:vAlign w:val="center"/>
          </w:tcPr>
          <w:p w14:paraId="363747C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生态系统</w:t>
            </w:r>
          </w:p>
        </w:tc>
        <w:tc>
          <w:tcPr>
            <w:tcW w:w="921" w:type="pct"/>
            <w:tcBorders>
              <w:tl2br w:val="nil"/>
              <w:tr2bl w:val="nil"/>
            </w:tcBorders>
            <w:noWrap w:val="0"/>
            <w:vAlign w:val="center"/>
          </w:tcPr>
          <w:p w14:paraId="5987BDA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植被覆盖度、生产力、生物量、生态系统功能等</w:t>
            </w:r>
          </w:p>
        </w:tc>
        <w:tc>
          <w:tcPr>
            <w:tcW w:w="2417" w:type="pct"/>
            <w:tcBorders>
              <w:tl2br w:val="nil"/>
              <w:tr2bl w:val="nil"/>
            </w:tcBorders>
            <w:noWrap w:val="0"/>
            <w:vAlign w:val="center"/>
          </w:tcPr>
          <w:p w14:paraId="3C19879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土地占用土壤及地貌的影响，对植被覆盖度、生产力及生物量的影响</w:t>
            </w:r>
          </w:p>
        </w:tc>
        <w:tc>
          <w:tcPr>
            <w:tcW w:w="364" w:type="pct"/>
            <w:tcBorders>
              <w:tl2br w:val="nil"/>
              <w:tr2bl w:val="nil"/>
            </w:tcBorders>
            <w:noWrap w:val="0"/>
            <w:vAlign w:val="center"/>
          </w:tcPr>
          <w:p w14:paraId="0DC9F72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短期、可逆</w:t>
            </w:r>
          </w:p>
        </w:tc>
        <w:tc>
          <w:tcPr>
            <w:tcW w:w="344" w:type="pct"/>
            <w:tcBorders>
              <w:tl2br w:val="nil"/>
              <w:tr2bl w:val="nil"/>
            </w:tcBorders>
            <w:noWrap w:val="0"/>
            <w:vAlign w:val="center"/>
          </w:tcPr>
          <w:p w14:paraId="5F817EB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强</w:t>
            </w:r>
          </w:p>
        </w:tc>
      </w:tr>
      <w:tr w14:paraId="2F5C67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30" w:type="pct"/>
            <w:vMerge w:val="continue"/>
            <w:tcBorders>
              <w:tl2br w:val="nil"/>
              <w:tr2bl w:val="nil"/>
            </w:tcBorders>
            <w:noWrap w:val="0"/>
            <w:vAlign w:val="center"/>
          </w:tcPr>
          <w:p w14:paraId="4DDBAB7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zh-CN" w:bidi="ar"/>
              </w:rPr>
            </w:pPr>
          </w:p>
        </w:tc>
        <w:tc>
          <w:tcPr>
            <w:tcW w:w="521" w:type="pct"/>
            <w:tcBorders>
              <w:tl2br w:val="nil"/>
              <w:tr2bl w:val="nil"/>
            </w:tcBorders>
            <w:noWrap w:val="0"/>
            <w:vAlign w:val="center"/>
          </w:tcPr>
          <w:p w14:paraId="64E16B9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生物多样性</w:t>
            </w:r>
          </w:p>
        </w:tc>
        <w:tc>
          <w:tcPr>
            <w:tcW w:w="921" w:type="pct"/>
            <w:tcBorders>
              <w:tl2br w:val="nil"/>
              <w:tr2bl w:val="nil"/>
            </w:tcBorders>
            <w:noWrap w:val="0"/>
            <w:vAlign w:val="center"/>
          </w:tcPr>
          <w:p w14:paraId="36C6143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物种丰富度、均匀度、优势度等</w:t>
            </w:r>
          </w:p>
        </w:tc>
        <w:tc>
          <w:tcPr>
            <w:tcW w:w="2417" w:type="pct"/>
            <w:tcBorders>
              <w:tl2br w:val="nil"/>
              <w:tr2bl w:val="nil"/>
            </w:tcBorders>
            <w:noWrap w:val="0"/>
            <w:vAlign w:val="center"/>
          </w:tcPr>
          <w:p w14:paraId="0930C2B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工程占地区开挖、建设等会扰动地表，破坏地表植物及植被，</w:t>
            </w:r>
            <w:r>
              <w:rPr>
                <w:rFonts w:hint="eastAsia" w:ascii="Times New Roman" w:hAnsi="Times New Roman" w:eastAsia="宋体" w:cs="Times New Roman"/>
                <w:b w:val="0"/>
                <w:bCs w:val="0"/>
                <w:color w:val="auto"/>
                <w:kern w:val="0"/>
                <w:sz w:val="21"/>
                <w:szCs w:val="21"/>
                <w:lang w:val="en-US" w:eastAsia="zh-CN" w:bidi="ar"/>
              </w:rPr>
              <w:t>弃渣场</w:t>
            </w:r>
            <w:r>
              <w:rPr>
                <w:rFonts w:hint="default" w:ascii="Times New Roman" w:hAnsi="Times New Roman" w:eastAsia="宋体" w:cs="Times New Roman"/>
                <w:b w:val="0"/>
                <w:bCs w:val="0"/>
                <w:color w:val="auto"/>
                <w:kern w:val="0"/>
                <w:sz w:val="21"/>
                <w:szCs w:val="21"/>
                <w:lang w:val="en-US" w:eastAsia="en-US" w:bidi="ar"/>
              </w:rPr>
              <w:t>、临时施工场地平整、临时施工便道修筑等工程行为使土壤裸露、地表扰动对生物多样性的影响。跨河桥梁施工对水生生态环境的影响</w:t>
            </w:r>
          </w:p>
        </w:tc>
        <w:tc>
          <w:tcPr>
            <w:tcW w:w="364" w:type="pct"/>
            <w:tcBorders>
              <w:tl2br w:val="nil"/>
              <w:tr2bl w:val="nil"/>
            </w:tcBorders>
            <w:noWrap w:val="0"/>
            <w:vAlign w:val="center"/>
          </w:tcPr>
          <w:p w14:paraId="695E2E5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短期、可逆</w:t>
            </w:r>
          </w:p>
        </w:tc>
        <w:tc>
          <w:tcPr>
            <w:tcW w:w="344" w:type="pct"/>
            <w:tcBorders>
              <w:tl2br w:val="nil"/>
              <w:tr2bl w:val="nil"/>
            </w:tcBorders>
            <w:noWrap w:val="0"/>
            <w:vAlign w:val="center"/>
          </w:tcPr>
          <w:p w14:paraId="48761AD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强</w:t>
            </w:r>
          </w:p>
        </w:tc>
      </w:tr>
      <w:tr w14:paraId="69DE08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30" w:type="pct"/>
            <w:vMerge w:val="continue"/>
            <w:tcBorders>
              <w:tl2br w:val="nil"/>
              <w:tr2bl w:val="nil"/>
            </w:tcBorders>
            <w:noWrap w:val="0"/>
            <w:vAlign w:val="center"/>
          </w:tcPr>
          <w:p w14:paraId="2220CE6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zh-CN" w:bidi="ar"/>
              </w:rPr>
            </w:pPr>
          </w:p>
        </w:tc>
        <w:tc>
          <w:tcPr>
            <w:tcW w:w="521" w:type="pct"/>
            <w:tcBorders>
              <w:tl2br w:val="nil"/>
              <w:tr2bl w:val="nil"/>
            </w:tcBorders>
            <w:noWrap w:val="0"/>
            <w:vAlign w:val="center"/>
          </w:tcPr>
          <w:p w14:paraId="2901EE6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自然景观</w:t>
            </w:r>
          </w:p>
        </w:tc>
        <w:tc>
          <w:tcPr>
            <w:tcW w:w="921" w:type="pct"/>
            <w:tcBorders>
              <w:tl2br w:val="nil"/>
              <w:tr2bl w:val="nil"/>
            </w:tcBorders>
            <w:noWrap w:val="0"/>
            <w:vAlign w:val="center"/>
          </w:tcPr>
          <w:p w14:paraId="5C198FA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景观多样性、完</w:t>
            </w:r>
          </w:p>
          <w:p w14:paraId="0FC28F8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整性等</w:t>
            </w:r>
          </w:p>
        </w:tc>
        <w:tc>
          <w:tcPr>
            <w:tcW w:w="2417" w:type="pct"/>
            <w:tcBorders>
              <w:tl2br w:val="nil"/>
              <w:tr2bl w:val="nil"/>
            </w:tcBorders>
            <w:noWrap w:val="0"/>
            <w:vAlign w:val="center"/>
          </w:tcPr>
          <w:p w14:paraId="0CA6904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路基开挖施工等对自然景观的破坏</w:t>
            </w:r>
          </w:p>
        </w:tc>
        <w:tc>
          <w:tcPr>
            <w:tcW w:w="364" w:type="pct"/>
            <w:tcBorders>
              <w:tl2br w:val="nil"/>
              <w:tr2bl w:val="nil"/>
            </w:tcBorders>
            <w:noWrap w:val="0"/>
            <w:vAlign w:val="center"/>
          </w:tcPr>
          <w:p w14:paraId="0569FDB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短期、可逆</w:t>
            </w:r>
          </w:p>
        </w:tc>
        <w:tc>
          <w:tcPr>
            <w:tcW w:w="344" w:type="pct"/>
            <w:tcBorders>
              <w:tl2br w:val="nil"/>
              <w:tr2bl w:val="nil"/>
            </w:tcBorders>
            <w:noWrap w:val="0"/>
            <w:vAlign w:val="center"/>
          </w:tcPr>
          <w:p w14:paraId="5ADE08B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强</w:t>
            </w:r>
          </w:p>
        </w:tc>
      </w:tr>
      <w:tr w14:paraId="3CB734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30" w:type="pct"/>
            <w:vMerge w:val="restart"/>
            <w:tcBorders>
              <w:tl2br w:val="nil"/>
              <w:tr2bl w:val="nil"/>
            </w:tcBorders>
            <w:noWrap w:val="0"/>
            <w:vAlign w:val="center"/>
          </w:tcPr>
          <w:p w14:paraId="11BA541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运营期</w:t>
            </w:r>
          </w:p>
        </w:tc>
        <w:tc>
          <w:tcPr>
            <w:tcW w:w="521" w:type="pct"/>
            <w:tcBorders>
              <w:tl2br w:val="nil"/>
              <w:tr2bl w:val="nil"/>
            </w:tcBorders>
            <w:noWrap w:val="0"/>
            <w:vAlign w:val="center"/>
          </w:tcPr>
          <w:p w14:paraId="15CC988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生态系统</w:t>
            </w:r>
          </w:p>
        </w:tc>
        <w:tc>
          <w:tcPr>
            <w:tcW w:w="921" w:type="pct"/>
            <w:tcBorders>
              <w:tl2br w:val="nil"/>
              <w:tr2bl w:val="nil"/>
            </w:tcBorders>
            <w:noWrap w:val="0"/>
            <w:vAlign w:val="center"/>
          </w:tcPr>
          <w:p w14:paraId="6F38149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植被覆盖度、生产力、生物量、生态系统功能等</w:t>
            </w:r>
          </w:p>
        </w:tc>
        <w:tc>
          <w:tcPr>
            <w:tcW w:w="2417" w:type="pct"/>
            <w:tcBorders>
              <w:tl2br w:val="nil"/>
              <w:tr2bl w:val="nil"/>
            </w:tcBorders>
            <w:noWrap w:val="0"/>
            <w:vAlign w:val="center"/>
          </w:tcPr>
          <w:p w14:paraId="06218E7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公路建成后，永久占地内的植被将完全被破坏，取而代之的是路面及其辅助设施，对</w:t>
            </w:r>
            <w:r>
              <w:rPr>
                <w:rFonts w:hint="eastAsia" w:ascii="Times New Roman" w:hAnsi="Times New Roman" w:eastAsia="宋体" w:cs="Times New Roman"/>
                <w:b w:val="0"/>
                <w:bCs w:val="0"/>
                <w:color w:val="auto"/>
                <w:kern w:val="0"/>
                <w:sz w:val="21"/>
                <w:szCs w:val="21"/>
                <w:lang w:val="en-US" w:eastAsia="zh-CN" w:bidi="ar"/>
              </w:rPr>
              <w:t>植被</w:t>
            </w:r>
            <w:r>
              <w:rPr>
                <w:rFonts w:hint="default" w:ascii="Times New Roman" w:hAnsi="Times New Roman" w:eastAsia="宋体" w:cs="Times New Roman"/>
                <w:b w:val="0"/>
                <w:bCs w:val="0"/>
                <w:color w:val="auto"/>
                <w:kern w:val="0"/>
                <w:sz w:val="21"/>
                <w:szCs w:val="21"/>
                <w:lang w:val="en-US" w:eastAsia="en-US" w:bidi="ar"/>
              </w:rPr>
              <w:t>的群落结构的影响，对植被生产力、生物量的影响</w:t>
            </w:r>
          </w:p>
        </w:tc>
        <w:tc>
          <w:tcPr>
            <w:tcW w:w="364" w:type="pct"/>
            <w:tcBorders>
              <w:tl2br w:val="nil"/>
              <w:tr2bl w:val="nil"/>
            </w:tcBorders>
            <w:noWrap w:val="0"/>
            <w:vAlign w:val="center"/>
          </w:tcPr>
          <w:p w14:paraId="0CEAE2C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长期、不可逆</w:t>
            </w:r>
          </w:p>
        </w:tc>
        <w:tc>
          <w:tcPr>
            <w:tcW w:w="344" w:type="pct"/>
            <w:tcBorders>
              <w:tl2br w:val="nil"/>
              <w:tr2bl w:val="nil"/>
            </w:tcBorders>
            <w:noWrap w:val="0"/>
            <w:vAlign w:val="center"/>
          </w:tcPr>
          <w:p w14:paraId="474D7BC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弱</w:t>
            </w:r>
          </w:p>
        </w:tc>
      </w:tr>
      <w:tr w14:paraId="514F5E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30" w:type="pct"/>
            <w:vMerge w:val="continue"/>
            <w:tcBorders>
              <w:tl2br w:val="nil"/>
              <w:tr2bl w:val="nil"/>
            </w:tcBorders>
            <w:noWrap w:val="0"/>
            <w:vAlign w:val="center"/>
          </w:tcPr>
          <w:p w14:paraId="08C4652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zh-CN" w:bidi="ar"/>
              </w:rPr>
            </w:pPr>
          </w:p>
        </w:tc>
        <w:tc>
          <w:tcPr>
            <w:tcW w:w="521" w:type="pct"/>
            <w:tcBorders>
              <w:tl2br w:val="nil"/>
              <w:tr2bl w:val="nil"/>
            </w:tcBorders>
            <w:noWrap w:val="0"/>
            <w:vAlign w:val="center"/>
          </w:tcPr>
          <w:p w14:paraId="6BBEF79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自然景观</w:t>
            </w:r>
          </w:p>
        </w:tc>
        <w:tc>
          <w:tcPr>
            <w:tcW w:w="921" w:type="pct"/>
            <w:tcBorders>
              <w:tl2br w:val="nil"/>
              <w:tr2bl w:val="nil"/>
            </w:tcBorders>
            <w:noWrap w:val="0"/>
            <w:vAlign w:val="center"/>
          </w:tcPr>
          <w:p w14:paraId="0977423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路面等永久占地会使占地区原</w:t>
            </w:r>
          </w:p>
        </w:tc>
        <w:tc>
          <w:tcPr>
            <w:tcW w:w="2417" w:type="pct"/>
            <w:tcBorders>
              <w:tl2br w:val="nil"/>
              <w:tr2bl w:val="nil"/>
            </w:tcBorders>
            <w:noWrap w:val="0"/>
            <w:vAlign w:val="center"/>
          </w:tcPr>
          <w:p w14:paraId="2AD3497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路面等永久占地会使占地区原有景观改变，代之以人为景观，对自然景观产生影响</w:t>
            </w:r>
          </w:p>
        </w:tc>
        <w:tc>
          <w:tcPr>
            <w:tcW w:w="364" w:type="pct"/>
            <w:tcBorders>
              <w:tl2br w:val="nil"/>
              <w:tr2bl w:val="nil"/>
            </w:tcBorders>
            <w:noWrap w:val="0"/>
            <w:vAlign w:val="center"/>
          </w:tcPr>
          <w:p w14:paraId="121471F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长期、不可逆</w:t>
            </w:r>
          </w:p>
        </w:tc>
        <w:tc>
          <w:tcPr>
            <w:tcW w:w="344" w:type="pct"/>
            <w:tcBorders>
              <w:tl2br w:val="nil"/>
              <w:tr2bl w:val="nil"/>
            </w:tcBorders>
            <w:noWrap w:val="0"/>
            <w:vAlign w:val="center"/>
          </w:tcPr>
          <w:p w14:paraId="0899F30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弱</w:t>
            </w:r>
          </w:p>
        </w:tc>
      </w:tr>
      <w:tr w14:paraId="5FA87B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30" w:type="pct"/>
            <w:vMerge w:val="continue"/>
            <w:tcBorders>
              <w:tl2br w:val="nil"/>
              <w:tr2bl w:val="nil"/>
            </w:tcBorders>
            <w:noWrap w:val="0"/>
            <w:vAlign w:val="center"/>
          </w:tcPr>
          <w:p w14:paraId="0C23199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zh-CN" w:bidi="ar"/>
              </w:rPr>
            </w:pPr>
          </w:p>
        </w:tc>
        <w:tc>
          <w:tcPr>
            <w:tcW w:w="521" w:type="pct"/>
            <w:tcBorders>
              <w:tl2br w:val="nil"/>
              <w:tr2bl w:val="nil"/>
            </w:tcBorders>
            <w:noWrap w:val="0"/>
            <w:vAlign w:val="center"/>
          </w:tcPr>
          <w:p w14:paraId="49A3111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eastAsia" w:ascii="Times New Roman" w:hAnsi="Times New Roman" w:eastAsia="宋体" w:cs="Times New Roman"/>
                <w:b w:val="0"/>
                <w:bCs w:val="0"/>
                <w:color w:val="auto"/>
                <w:kern w:val="0"/>
                <w:sz w:val="21"/>
                <w:szCs w:val="21"/>
                <w:lang w:val="en-US" w:eastAsia="zh-CN" w:bidi="ar"/>
              </w:rPr>
              <w:t>野生动物</w:t>
            </w:r>
          </w:p>
        </w:tc>
        <w:tc>
          <w:tcPr>
            <w:tcW w:w="921" w:type="pct"/>
            <w:tcBorders>
              <w:tl2br w:val="nil"/>
              <w:tr2bl w:val="nil"/>
            </w:tcBorders>
            <w:noWrap w:val="0"/>
            <w:vAlign w:val="center"/>
          </w:tcPr>
          <w:p w14:paraId="0BC899F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eastAsia" w:ascii="Times New Roman" w:hAnsi="Times New Roman" w:eastAsia="宋体" w:cs="Times New Roman"/>
                <w:b w:val="0"/>
                <w:bCs w:val="0"/>
                <w:color w:val="auto"/>
                <w:kern w:val="0"/>
                <w:sz w:val="21"/>
                <w:szCs w:val="21"/>
                <w:lang w:val="en-US" w:eastAsia="en-US" w:bidi="ar"/>
              </w:rPr>
              <w:t>分布范围、种群数量、种群结构</w:t>
            </w:r>
            <w:r>
              <w:rPr>
                <w:rFonts w:hint="eastAsia" w:ascii="Times New Roman" w:hAnsi="Times New Roman" w:eastAsia="宋体" w:cs="Times New Roman"/>
                <w:b w:val="0"/>
                <w:bCs w:val="0"/>
                <w:color w:val="auto"/>
                <w:kern w:val="0"/>
                <w:sz w:val="21"/>
                <w:szCs w:val="21"/>
                <w:lang w:val="en-US" w:eastAsia="zh-CN" w:bidi="ar"/>
              </w:rPr>
              <w:t>、生境面积、质量、连通性、破碎化程度、关键资源（水源/食物/隐蔽地）</w:t>
            </w:r>
          </w:p>
        </w:tc>
        <w:tc>
          <w:tcPr>
            <w:tcW w:w="2417" w:type="pct"/>
            <w:tcBorders>
              <w:tl2br w:val="nil"/>
              <w:tr2bl w:val="nil"/>
            </w:tcBorders>
            <w:noWrap w:val="0"/>
            <w:vAlign w:val="center"/>
          </w:tcPr>
          <w:p w14:paraId="52DD884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eastAsia" w:ascii="Times New Roman" w:hAnsi="Times New Roman" w:eastAsia="宋体" w:cs="Times New Roman"/>
                <w:b w:val="0"/>
                <w:bCs w:val="0"/>
                <w:color w:val="auto"/>
                <w:kern w:val="0"/>
                <w:sz w:val="21"/>
                <w:szCs w:val="21"/>
                <w:lang w:val="en-US" w:eastAsia="en-US" w:bidi="ar"/>
              </w:rPr>
              <w:t>永久占地致生境破坏</w:t>
            </w:r>
            <w:r>
              <w:rPr>
                <w:rFonts w:hint="eastAsia" w:ascii="Times New Roman" w:hAnsi="Times New Roman" w:eastAsia="宋体" w:cs="Times New Roman"/>
                <w:b w:val="0"/>
                <w:bCs w:val="0"/>
                <w:color w:val="auto"/>
                <w:kern w:val="0"/>
                <w:sz w:val="21"/>
                <w:szCs w:val="21"/>
                <w:lang w:val="en-US" w:eastAsia="zh-CN" w:bidi="ar"/>
              </w:rPr>
              <w:t>，公路造成的阻隔影响，车辆行驶</w:t>
            </w:r>
            <w:r>
              <w:rPr>
                <w:rFonts w:hint="eastAsia" w:ascii="Times New Roman" w:hAnsi="Times New Roman" w:eastAsia="宋体" w:cs="Times New Roman"/>
                <w:b w:val="0"/>
                <w:bCs w:val="0"/>
                <w:color w:val="auto"/>
                <w:kern w:val="0"/>
                <w:sz w:val="21"/>
                <w:szCs w:val="21"/>
                <w:lang w:val="en-US" w:eastAsia="en-US" w:bidi="ar"/>
              </w:rPr>
              <w:t>运行致个体直接伤亡</w:t>
            </w:r>
            <w:r>
              <w:rPr>
                <w:rFonts w:hint="eastAsia" w:ascii="Times New Roman" w:hAnsi="Times New Roman" w:eastAsia="宋体" w:cs="Times New Roman"/>
                <w:b w:val="0"/>
                <w:bCs w:val="0"/>
                <w:color w:val="auto"/>
                <w:kern w:val="0"/>
                <w:sz w:val="21"/>
                <w:szCs w:val="21"/>
                <w:lang w:val="en-US" w:eastAsia="zh-CN" w:bidi="ar"/>
              </w:rPr>
              <w:t>，</w:t>
            </w:r>
            <w:r>
              <w:rPr>
                <w:rFonts w:hint="eastAsia" w:ascii="Times New Roman" w:hAnsi="Times New Roman" w:eastAsia="宋体" w:cs="Times New Roman"/>
                <w:b w:val="0"/>
                <w:bCs w:val="0"/>
                <w:color w:val="auto"/>
                <w:kern w:val="0"/>
                <w:sz w:val="21"/>
                <w:szCs w:val="21"/>
                <w:lang w:val="en-US" w:eastAsia="en-US" w:bidi="ar"/>
              </w:rPr>
              <w:t>噪声、振动、灯光干扰行为</w:t>
            </w:r>
            <w:r>
              <w:rPr>
                <w:rFonts w:hint="eastAsia" w:ascii="Times New Roman" w:hAnsi="Times New Roman" w:eastAsia="宋体" w:cs="Times New Roman"/>
                <w:b w:val="0"/>
                <w:bCs w:val="0"/>
                <w:color w:val="auto"/>
                <w:kern w:val="0"/>
                <w:sz w:val="21"/>
                <w:szCs w:val="21"/>
                <w:lang w:val="en-US" w:eastAsia="zh-CN" w:bidi="ar"/>
              </w:rPr>
              <w:t>，野生动物栖息繁衍产生影响</w:t>
            </w:r>
          </w:p>
        </w:tc>
        <w:tc>
          <w:tcPr>
            <w:tcW w:w="364" w:type="pct"/>
            <w:tcBorders>
              <w:tl2br w:val="nil"/>
              <w:tr2bl w:val="nil"/>
            </w:tcBorders>
            <w:noWrap w:val="0"/>
            <w:vAlign w:val="center"/>
          </w:tcPr>
          <w:p w14:paraId="120E0A3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长期、不可逆</w:t>
            </w:r>
          </w:p>
        </w:tc>
        <w:tc>
          <w:tcPr>
            <w:tcW w:w="344" w:type="pct"/>
            <w:tcBorders>
              <w:tl2br w:val="nil"/>
              <w:tr2bl w:val="nil"/>
            </w:tcBorders>
            <w:noWrap w:val="0"/>
            <w:vAlign w:val="center"/>
          </w:tcPr>
          <w:p w14:paraId="36B70D9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lang w:val="en-US" w:eastAsia="en-US" w:bidi="ar"/>
              </w:rPr>
            </w:pPr>
            <w:r>
              <w:rPr>
                <w:rFonts w:hint="default" w:ascii="Times New Roman" w:hAnsi="Times New Roman" w:eastAsia="宋体" w:cs="Times New Roman"/>
                <w:b w:val="0"/>
                <w:bCs w:val="0"/>
                <w:color w:val="auto"/>
                <w:kern w:val="0"/>
                <w:sz w:val="21"/>
                <w:szCs w:val="21"/>
                <w:lang w:val="en-US" w:eastAsia="en-US" w:bidi="ar"/>
              </w:rPr>
              <w:t>弱</w:t>
            </w:r>
          </w:p>
        </w:tc>
      </w:tr>
    </w:tbl>
    <w:p w14:paraId="05BCD48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kern w:val="2"/>
          <w:sz w:val="21"/>
          <w:szCs w:val="21"/>
          <w:lang w:val="en-US" w:eastAsia="zh-CN" w:bidi="ar-SA"/>
        </w:rPr>
      </w:pPr>
    </w:p>
    <w:p w14:paraId="13E48A9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eastAsia="宋体" w:cs="Times New Roman"/>
          <w:b/>
          <w:color w:val="auto"/>
          <w:kern w:val="2"/>
          <w:sz w:val="21"/>
          <w:szCs w:val="21"/>
          <w:lang w:val="en-US" w:eastAsia="zh-CN" w:bidi="ar-SA"/>
        </w:rPr>
        <w:t>表2.3-</w:t>
      </w:r>
      <w:r>
        <w:rPr>
          <w:rFonts w:hint="eastAsia" w:cs="Times New Roman"/>
          <w:b/>
          <w:color w:val="auto"/>
          <w:kern w:val="2"/>
          <w:sz w:val="21"/>
          <w:szCs w:val="21"/>
          <w:lang w:val="en-US" w:eastAsia="zh-CN" w:bidi="ar-SA"/>
        </w:rPr>
        <w:t>2</w:t>
      </w:r>
      <w:r>
        <w:rPr>
          <w:rFonts w:hint="default" w:ascii="Times New Roman" w:hAnsi="Times New Roman" w:eastAsia="宋体" w:cs="Times New Roman"/>
          <w:b/>
          <w:color w:val="auto"/>
          <w:kern w:val="2"/>
          <w:sz w:val="21"/>
          <w:szCs w:val="21"/>
          <w:lang w:val="en-US" w:eastAsia="zh-CN" w:bidi="ar-SA"/>
        </w:rPr>
        <w:t xml:space="preserve"> 主要环境影响因素</w:t>
      </w:r>
    </w:p>
    <w:tbl>
      <w:tblPr>
        <w:tblStyle w:val="3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0"/>
        <w:gridCol w:w="1197"/>
        <w:gridCol w:w="4139"/>
        <w:gridCol w:w="2017"/>
      </w:tblGrid>
      <w:tr w14:paraId="3D82E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1" w:type="pct"/>
            <w:vAlign w:val="center"/>
          </w:tcPr>
          <w:p w14:paraId="518A956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b/>
                <w:bCs/>
                <w:color w:val="auto"/>
                <w:kern w:val="0"/>
                <w:sz w:val="21"/>
                <w:szCs w:val="21"/>
                <w:lang w:val="en-US" w:eastAsia="zh-CN" w:bidi="ar"/>
              </w:rPr>
              <w:t>评价时段</w:t>
            </w:r>
          </w:p>
        </w:tc>
        <w:tc>
          <w:tcPr>
            <w:tcW w:w="703" w:type="pct"/>
            <w:vAlign w:val="center"/>
          </w:tcPr>
          <w:p w14:paraId="7F7F60A8">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b/>
                <w:bCs/>
                <w:color w:val="auto"/>
                <w:kern w:val="0"/>
                <w:sz w:val="21"/>
                <w:szCs w:val="21"/>
                <w:lang w:val="en-US" w:eastAsia="zh-CN" w:bidi="ar"/>
              </w:rPr>
              <w:t>环境要素</w:t>
            </w:r>
          </w:p>
        </w:tc>
        <w:tc>
          <w:tcPr>
            <w:tcW w:w="2430" w:type="pct"/>
            <w:vAlign w:val="center"/>
          </w:tcPr>
          <w:p w14:paraId="41A496B5">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b/>
                <w:bCs/>
                <w:color w:val="auto"/>
                <w:kern w:val="0"/>
                <w:sz w:val="21"/>
                <w:szCs w:val="21"/>
                <w:lang w:val="en-US" w:eastAsia="zh-CN" w:bidi="ar"/>
              </w:rPr>
              <w:t>产生影响的主要内容</w:t>
            </w:r>
          </w:p>
        </w:tc>
        <w:tc>
          <w:tcPr>
            <w:tcW w:w="1184" w:type="pct"/>
            <w:vAlign w:val="center"/>
          </w:tcPr>
          <w:p w14:paraId="65286C90">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b/>
                <w:bCs/>
                <w:color w:val="auto"/>
                <w:kern w:val="0"/>
                <w:sz w:val="21"/>
                <w:szCs w:val="21"/>
                <w:lang w:val="en-US" w:eastAsia="zh-CN" w:bidi="ar"/>
              </w:rPr>
              <w:t>主要影响因素</w:t>
            </w:r>
          </w:p>
        </w:tc>
      </w:tr>
      <w:tr w14:paraId="4F7DB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1" w:type="pct"/>
            <w:vMerge w:val="restart"/>
            <w:vAlign w:val="center"/>
          </w:tcPr>
          <w:p w14:paraId="1C70E3E1">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施工期</w:t>
            </w:r>
          </w:p>
        </w:tc>
        <w:tc>
          <w:tcPr>
            <w:tcW w:w="703" w:type="pct"/>
            <w:vAlign w:val="center"/>
          </w:tcPr>
          <w:p w14:paraId="7EAE555E">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环境空气</w:t>
            </w:r>
          </w:p>
        </w:tc>
        <w:tc>
          <w:tcPr>
            <w:tcW w:w="2430" w:type="pct"/>
            <w:vAlign w:val="center"/>
          </w:tcPr>
          <w:p w14:paraId="28939154">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土地平整、挖掘，土石方、建材储运、使用</w:t>
            </w:r>
          </w:p>
        </w:tc>
        <w:tc>
          <w:tcPr>
            <w:tcW w:w="1184" w:type="pct"/>
            <w:vAlign w:val="center"/>
          </w:tcPr>
          <w:p w14:paraId="6F39EBB5">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扬尘</w:t>
            </w:r>
          </w:p>
        </w:tc>
      </w:tr>
      <w:tr w14:paraId="4127B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1" w:type="pct"/>
            <w:vMerge w:val="continue"/>
            <w:vAlign w:val="center"/>
          </w:tcPr>
          <w:p w14:paraId="55BA1C5A">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703" w:type="pct"/>
            <w:vAlign w:val="center"/>
          </w:tcPr>
          <w:p w14:paraId="5056D44B">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水环境</w:t>
            </w:r>
          </w:p>
        </w:tc>
        <w:tc>
          <w:tcPr>
            <w:tcW w:w="2430" w:type="pct"/>
            <w:vAlign w:val="center"/>
          </w:tcPr>
          <w:p w14:paraId="1FC4FDBC">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施工人员生活废水，施工废水</w:t>
            </w:r>
          </w:p>
        </w:tc>
        <w:tc>
          <w:tcPr>
            <w:tcW w:w="1184" w:type="pct"/>
            <w:vAlign w:val="center"/>
          </w:tcPr>
          <w:p w14:paraId="23C08741">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石油类、COD、BOD</w:t>
            </w:r>
            <w:r>
              <w:rPr>
                <w:rFonts w:hint="default" w:ascii="Times New Roman" w:hAnsi="Times New Roman" w:eastAsia="宋体" w:cs="Times New Roman"/>
                <w:color w:val="auto"/>
                <w:kern w:val="0"/>
                <w:sz w:val="21"/>
                <w:szCs w:val="21"/>
                <w:vertAlign w:val="subscript"/>
                <w:lang w:val="en-US" w:eastAsia="zh-CN" w:bidi="ar"/>
              </w:rPr>
              <w:t>5</w:t>
            </w:r>
            <w:r>
              <w:rPr>
                <w:rFonts w:hint="default" w:ascii="Times New Roman" w:hAnsi="Times New Roman" w:eastAsia="宋体" w:cs="Times New Roman"/>
                <w:color w:val="auto"/>
                <w:kern w:val="0"/>
                <w:sz w:val="21"/>
                <w:szCs w:val="21"/>
                <w:lang w:val="en-US" w:eastAsia="zh-CN" w:bidi="ar"/>
              </w:rPr>
              <w:t>、SS、氨氮</w:t>
            </w:r>
          </w:p>
        </w:tc>
      </w:tr>
      <w:tr w14:paraId="30D77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1" w:type="pct"/>
            <w:vMerge w:val="continue"/>
            <w:vAlign w:val="center"/>
          </w:tcPr>
          <w:p w14:paraId="528B1E12">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703" w:type="pct"/>
            <w:vAlign w:val="center"/>
          </w:tcPr>
          <w:p w14:paraId="26C8D0FE">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声环境</w:t>
            </w:r>
          </w:p>
        </w:tc>
        <w:tc>
          <w:tcPr>
            <w:tcW w:w="2430" w:type="pct"/>
            <w:vAlign w:val="center"/>
          </w:tcPr>
          <w:p w14:paraId="40D175D3">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施工机械、车辆作业噪声</w:t>
            </w:r>
          </w:p>
        </w:tc>
        <w:tc>
          <w:tcPr>
            <w:tcW w:w="1184" w:type="pct"/>
            <w:vAlign w:val="center"/>
          </w:tcPr>
          <w:p w14:paraId="3ABF8E2C">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LAeq</w:t>
            </w:r>
          </w:p>
        </w:tc>
      </w:tr>
      <w:tr w14:paraId="4E945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1" w:type="pct"/>
            <w:vMerge w:val="continue"/>
            <w:vAlign w:val="center"/>
          </w:tcPr>
          <w:p w14:paraId="1B8DBCD2">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703" w:type="pct"/>
            <w:vAlign w:val="center"/>
          </w:tcPr>
          <w:p w14:paraId="2B2DD38E">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固体废物</w:t>
            </w:r>
          </w:p>
        </w:tc>
        <w:tc>
          <w:tcPr>
            <w:tcW w:w="2430" w:type="pct"/>
            <w:vAlign w:val="center"/>
          </w:tcPr>
          <w:p w14:paraId="3C2F4005">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施工垃圾、生活垃圾</w:t>
            </w:r>
          </w:p>
        </w:tc>
        <w:tc>
          <w:tcPr>
            <w:tcW w:w="1184" w:type="pct"/>
            <w:vAlign w:val="center"/>
          </w:tcPr>
          <w:p w14:paraId="60B451A6">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二次扬尘、占地</w:t>
            </w:r>
          </w:p>
        </w:tc>
      </w:tr>
      <w:tr w14:paraId="28CAC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1" w:type="pct"/>
            <w:vMerge w:val="restart"/>
            <w:vAlign w:val="center"/>
          </w:tcPr>
          <w:p w14:paraId="2EA79122">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运营期</w:t>
            </w:r>
          </w:p>
        </w:tc>
        <w:tc>
          <w:tcPr>
            <w:tcW w:w="703" w:type="pct"/>
            <w:vAlign w:val="center"/>
          </w:tcPr>
          <w:p w14:paraId="56EB6900">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环境空气</w:t>
            </w:r>
          </w:p>
        </w:tc>
        <w:tc>
          <w:tcPr>
            <w:tcW w:w="2430" w:type="pct"/>
            <w:vAlign w:val="center"/>
          </w:tcPr>
          <w:p w14:paraId="276996B6">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车辆尾气</w:t>
            </w:r>
          </w:p>
        </w:tc>
        <w:tc>
          <w:tcPr>
            <w:tcW w:w="1184" w:type="pct"/>
            <w:vAlign w:val="center"/>
          </w:tcPr>
          <w:p w14:paraId="6E05C2F5">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NO</w:t>
            </w:r>
            <w:r>
              <w:rPr>
                <w:rFonts w:hint="default" w:ascii="Times New Roman" w:hAnsi="Times New Roman" w:eastAsia="宋体" w:cs="Times New Roman"/>
                <w:color w:val="auto"/>
                <w:kern w:val="0"/>
                <w:sz w:val="21"/>
                <w:szCs w:val="21"/>
                <w:vertAlign w:val="subscript"/>
                <w:lang w:val="en-US" w:eastAsia="zh-CN" w:bidi="ar"/>
              </w:rPr>
              <w:t>2</w:t>
            </w:r>
            <w:r>
              <w:rPr>
                <w:rFonts w:hint="default" w:ascii="Times New Roman" w:hAnsi="Times New Roman" w:eastAsia="宋体" w:cs="Times New Roman"/>
                <w:color w:val="auto"/>
                <w:kern w:val="0"/>
                <w:sz w:val="21"/>
                <w:szCs w:val="21"/>
                <w:lang w:val="en-US" w:eastAsia="zh-CN" w:bidi="ar"/>
              </w:rPr>
              <w:t>、CO</w:t>
            </w:r>
            <w:r>
              <w:rPr>
                <w:rFonts w:hint="default" w:ascii="Times New Roman" w:hAnsi="Times New Roman" w:cs="Times New Roman"/>
                <w:color w:val="auto"/>
                <w:kern w:val="0"/>
                <w:sz w:val="21"/>
                <w:szCs w:val="21"/>
                <w:lang w:val="en-US" w:eastAsia="zh-CN" w:bidi="ar"/>
              </w:rPr>
              <w:t>及THC</w:t>
            </w:r>
          </w:p>
        </w:tc>
      </w:tr>
      <w:tr w14:paraId="6C083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1" w:type="pct"/>
            <w:vMerge w:val="continue"/>
            <w:vAlign w:val="center"/>
          </w:tcPr>
          <w:p w14:paraId="7EE00BB9">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703" w:type="pct"/>
            <w:vAlign w:val="center"/>
          </w:tcPr>
          <w:p w14:paraId="65B454A4">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声环境</w:t>
            </w:r>
          </w:p>
        </w:tc>
        <w:tc>
          <w:tcPr>
            <w:tcW w:w="2430" w:type="pct"/>
            <w:vAlign w:val="center"/>
          </w:tcPr>
          <w:p w14:paraId="2FEB1BA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交通噪声</w:t>
            </w:r>
          </w:p>
        </w:tc>
        <w:tc>
          <w:tcPr>
            <w:tcW w:w="1184" w:type="pct"/>
            <w:vAlign w:val="center"/>
          </w:tcPr>
          <w:p w14:paraId="764DFB88">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LAeq</w:t>
            </w:r>
          </w:p>
        </w:tc>
      </w:tr>
      <w:tr w14:paraId="28CD2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1" w:type="pct"/>
            <w:vMerge w:val="continue"/>
            <w:vAlign w:val="center"/>
          </w:tcPr>
          <w:p w14:paraId="7BE2FA09">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703" w:type="pct"/>
            <w:vAlign w:val="center"/>
          </w:tcPr>
          <w:p w14:paraId="1555E376">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水环境</w:t>
            </w:r>
          </w:p>
        </w:tc>
        <w:tc>
          <w:tcPr>
            <w:tcW w:w="2430" w:type="pct"/>
            <w:vAlign w:val="center"/>
          </w:tcPr>
          <w:p w14:paraId="124971EA">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kern w:val="0"/>
                <w:sz w:val="21"/>
                <w:szCs w:val="21"/>
                <w:lang w:val="en-US" w:eastAsia="zh-CN" w:bidi="ar"/>
              </w:rPr>
              <w:t>收费管理站</w:t>
            </w:r>
            <w:r>
              <w:rPr>
                <w:rFonts w:hint="default" w:ascii="Times New Roman" w:hAnsi="Times New Roman" w:eastAsia="宋体" w:cs="Times New Roman"/>
                <w:color w:val="auto"/>
                <w:kern w:val="0"/>
                <w:sz w:val="21"/>
                <w:szCs w:val="21"/>
                <w:lang w:val="en-US" w:eastAsia="zh-CN" w:bidi="ar"/>
              </w:rPr>
              <w:t>生活污水</w:t>
            </w:r>
          </w:p>
        </w:tc>
        <w:tc>
          <w:tcPr>
            <w:tcW w:w="1184" w:type="pct"/>
            <w:vAlign w:val="center"/>
          </w:tcPr>
          <w:p w14:paraId="394FE3C6">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COD、BOD</w:t>
            </w:r>
            <w:r>
              <w:rPr>
                <w:rFonts w:hint="default" w:ascii="Times New Roman" w:hAnsi="Times New Roman" w:eastAsia="宋体" w:cs="Times New Roman"/>
                <w:color w:val="auto"/>
                <w:kern w:val="0"/>
                <w:sz w:val="21"/>
                <w:szCs w:val="21"/>
                <w:vertAlign w:val="subscript"/>
                <w:lang w:val="en-US" w:eastAsia="zh-CN" w:bidi="ar"/>
              </w:rPr>
              <w:t>5</w:t>
            </w:r>
            <w:r>
              <w:rPr>
                <w:rFonts w:hint="default" w:ascii="Times New Roman" w:hAnsi="Times New Roman" w:eastAsia="宋体" w:cs="Times New Roman"/>
                <w:color w:val="auto"/>
                <w:kern w:val="0"/>
                <w:sz w:val="21"/>
                <w:szCs w:val="21"/>
                <w:lang w:val="en-US" w:eastAsia="zh-CN" w:bidi="ar"/>
              </w:rPr>
              <w:t>、SS、氨氮</w:t>
            </w:r>
          </w:p>
        </w:tc>
      </w:tr>
      <w:tr w14:paraId="0F61A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1" w:type="pct"/>
            <w:vMerge w:val="continue"/>
            <w:vAlign w:val="center"/>
          </w:tcPr>
          <w:p w14:paraId="0AA54C4E">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703" w:type="pct"/>
            <w:vAlign w:val="center"/>
          </w:tcPr>
          <w:p w14:paraId="27FEA2E3">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固体废物</w:t>
            </w:r>
          </w:p>
        </w:tc>
        <w:tc>
          <w:tcPr>
            <w:tcW w:w="2430" w:type="pct"/>
            <w:vAlign w:val="center"/>
          </w:tcPr>
          <w:p w14:paraId="45A2AF1A">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w:t>
            </w:r>
          </w:p>
        </w:tc>
        <w:tc>
          <w:tcPr>
            <w:tcW w:w="1184" w:type="pct"/>
            <w:vAlign w:val="center"/>
          </w:tcPr>
          <w:p w14:paraId="665D3DC2">
            <w:pPr>
              <w:keepNext w:val="0"/>
              <w:keepLines w:val="0"/>
              <w:pageBreakBefore w:val="0"/>
              <w:tabs>
                <w:tab w:val="left" w:pos="741"/>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生活垃圾</w:t>
            </w:r>
          </w:p>
        </w:tc>
      </w:tr>
    </w:tbl>
    <w:p w14:paraId="493E9C98">
      <w:pPr>
        <w:pStyle w:val="4"/>
        <w:keepNext/>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rPr>
      </w:pPr>
      <w:bookmarkStart w:id="650" w:name="_Toc10718"/>
      <w:bookmarkStart w:id="651" w:name="_Toc22704"/>
      <w:bookmarkStart w:id="652" w:name="_Toc11794"/>
      <w:bookmarkStart w:id="653" w:name="_Toc23156"/>
      <w:bookmarkStart w:id="654" w:name="_Toc11823"/>
      <w:bookmarkStart w:id="655" w:name="_Toc21676"/>
      <w:bookmarkStart w:id="656" w:name="_Toc14139"/>
      <w:bookmarkStart w:id="657" w:name="_Toc30763"/>
      <w:bookmarkStart w:id="658" w:name="_Toc14521"/>
      <w:bookmarkStart w:id="659" w:name="_Toc15269"/>
      <w:bookmarkStart w:id="660" w:name="_Toc30138"/>
      <w:bookmarkStart w:id="661" w:name="_Toc17010"/>
      <w:bookmarkStart w:id="662" w:name="_Toc12216"/>
      <w:bookmarkStart w:id="663" w:name="_Toc13831"/>
      <w:bookmarkStart w:id="664" w:name="_Toc16419"/>
      <w:bookmarkStart w:id="665" w:name="_Toc3580"/>
      <w:bookmarkStart w:id="666" w:name="_Toc29730"/>
      <w:bookmarkStart w:id="667" w:name="_Toc31788"/>
      <w:bookmarkStart w:id="668" w:name="_Toc8419"/>
      <w:bookmarkStart w:id="669" w:name="_Toc25797"/>
      <w:bookmarkStart w:id="670" w:name="_Toc17092"/>
      <w:bookmarkStart w:id="671" w:name="_Toc23311"/>
      <w:bookmarkStart w:id="672" w:name="_Toc31215"/>
      <w:bookmarkStart w:id="673" w:name="_Toc24707"/>
      <w:bookmarkStart w:id="674" w:name="_Toc11577"/>
      <w:bookmarkStart w:id="675" w:name="_Toc20896"/>
      <w:bookmarkStart w:id="676" w:name="_Toc23063"/>
      <w:bookmarkStart w:id="677" w:name="_Toc15667"/>
      <w:bookmarkStart w:id="678" w:name="_Toc26457"/>
      <w:r>
        <w:rPr>
          <w:rFonts w:hint="default" w:ascii="Times New Roman" w:hAnsi="Times New Roman" w:cs="Times New Roman"/>
          <w:color w:val="auto"/>
          <w:lang w:val="en-US" w:eastAsia="zh-CN"/>
        </w:rPr>
        <w:t>2.3.2 环境影响因子识别</w:t>
      </w:r>
    </w:p>
    <w:p w14:paraId="04A978A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根据现场调查，综合类比调查结果，环境影响矩阵筛选见表2.3-</w:t>
      </w:r>
      <w:r>
        <w:rPr>
          <w:rFonts w:hint="eastAsia"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w:t>
      </w:r>
    </w:p>
    <w:p w14:paraId="0B28302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eastAsia="宋体" w:cs="Times New Roman"/>
          <w:b/>
          <w:color w:val="auto"/>
          <w:kern w:val="2"/>
          <w:sz w:val="21"/>
          <w:szCs w:val="21"/>
          <w:lang w:val="en-US" w:eastAsia="zh-CN" w:bidi="ar-SA"/>
        </w:rPr>
        <w:t>表2.3-</w:t>
      </w:r>
      <w:r>
        <w:rPr>
          <w:rFonts w:hint="eastAsia" w:cs="Times New Roman"/>
          <w:b/>
          <w:color w:val="auto"/>
          <w:kern w:val="2"/>
          <w:sz w:val="21"/>
          <w:szCs w:val="21"/>
          <w:lang w:val="en-US" w:eastAsia="zh-CN" w:bidi="ar-SA"/>
        </w:rPr>
        <w:t>3</w:t>
      </w:r>
      <w:r>
        <w:rPr>
          <w:rFonts w:hint="default" w:ascii="Times New Roman" w:hAnsi="Times New Roman" w:eastAsia="宋体" w:cs="Times New Roman"/>
          <w:b/>
          <w:color w:val="auto"/>
          <w:kern w:val="2"/>
          <w:sz w:val="21"/>
          <w:szCs w:val="21"/>
          <w:lang w:val="en-US" w:eastAsia="zh-CN" w:bidi="ar-SA"/>
        </w:rPr>
        <w:t xml:space="preserve"> 本次工程环境影响矩阵筛选</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1"/>
        <w:gridCol w:w="1176"/>
        <w:gridCol w:w="564"/>
        <w:gridCol w:w="729"/>
        <w:gridCol w:w="729"/>
        <w:gridCol w:w="550"/>
        <w:gridCol w:w="495"/>
        <w:gridCol w:w="495"/>
        <w:gridCol w:w="646"/>
        <w:gridCol w:w="578"/>
        <w:gridCol w:w="646"/>
        <w:gridCol w:w="591"/>
        <w:gridCol w:w="523"/>
        <w:gridCol w:w="383"/>
      </w:tblGrid>
      <w:tr w14:paraId="647AA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7" w:type="dxa"/>
            <w:gridSpan w:val="2"/>
            <w:vMerge w:val="restart"/>
            <w:vAlign w:val="center"/>
          </w:tcPr>
          <w:p w14:paraId="6742FBD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施工行为环境资源</w:t>
            </w:r>
          </w:p>
        </w:tc>
        <w:tc>
          <w:tcPr>
            <w:tcW w:w="1293" w:type="dxa"/>
            <w:gridSpan w:val="2"/>
            <w:vAlign w:val="center"/>
          </w:tcPr>
          <w:p w14:paraId="64D47CB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前期</w:t>
            </w:r>
          </w:p>
        </w:tc>
        <w:tc>
          <w:tcPr>
            <w:tcW w:w="3493" w:type="dxa"/>
            <w:gridSpan w:val="6"/>
            <w:vAlign w:val="center"/>
          </w:tcPr>
          <w:p w14:paraId="678EEF7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施工期</w:t>
            </w:r>
          </w:p>
        </w:tc>
        <w:tc>
          <w:tcPr>
            <w:tcW w:w="2143" w:type="dxa"/>
            <w:gridSpan w:val="4"/>
            <w:vAlign w:val="center"/>
          </w:tcPr>
          <w:p w14:paraId="4885E68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营运期</w:t>
            </w:r>
          </w:p>
        </w:tc>
      </w:tr>
      <w:tr w14:paraId="4A75B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7" w:type="dxa"/>
            <w:gridSpan w:val="2"/>
            <w:vMerge w:val="continue"/>
            <w:vAlign w:val="center"/>
          </w:tcPr>
          <w:p w14:paraId="5B2DD62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564" w:type="dxa"/>
            <w:vAlign w:val="center"/>
          </w:tcPr>
          <w:p w14:paraId="435C847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占地</w:t>
            </w:r>
          </w:p>
        </w:tc>
        <w:tc>
          <w:tcPr>
            <w:tcW w:w="729" w:type="dxa"/>
            <w:vAlign w:val="center"/>
          </w:tcPr>
          <w:p w14:paraId="4A85270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rPr>
            </w:pPr>
            <w:r>
              <w:rPr>
                <w:rFonts w:hint="default" w:ascii="Times New Roman" w:hAnsi="Times New Roman" w:eastAsia="宋体" w:cs="Times New Roman"/>
                <w:color w:val="auto"/>
                <w:kern w:val="0"/>
                <w:sz w:val="18"/>
                <w:szCs w:val="18"/>
                <w:lang w:val="en-US" w:eastAsia="zh-CN" w:bidi="ar"/>
              </w:rPr>
              <w:t>拆迁</w:t>
            </w:r>
          </w:p>
          <w:p w14:paraId="2D6651A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安置</w:t>
            </w:r>
          </w:p>
        </w:tc>
        <w:tc>
          <w:tcPr>
            <w:tcW w:w="729" w:type="dxa"/>
            <w:vAlign w:val="center"/>
          </w:tcPr>
          <w:p w14:paraId="2A66EFB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取、弃土石</w:t>
            </w:r>
          </w:p>
        </w:tc>
        <w:tc>
          <w:tcPr>
            <w:tcW w:w="550" w:type="dxa"/>
            <w:vAlign w:val="center"/>
          </w:tcPr>
          <w:p w14:paraId="6F11E7D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路基</w:t>
            </w:r>
          </w:p>
        </w:tc>
        <w:tc>
          <w:tcPr>
            <w:tcW w:w="495" w:type="dxa"/>
            <w:vAlign w:val="center"/>
          </w:tcPr>
          <w:p w14:paraId="076C027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路面</w:t>
            </w:r>
          </w:p>
        </w:tc>
        <w:tc>
          <w:tcPr>
            <w:tcW w:w="495" w:type="dxa"/>
            <w:vAlign w:val="center"/>
          </w:tcPr>
          <w:p w14:paraId="001C2D5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桥涵</w:t>
            </w:r>
          </w:p>
        </w:tc>
        <w:tc>
          <w:tcPr>
            <w:tcW w:w="646" w:type="dxa"/>
            <w:vAlign w:val="center"/>
          </w:tcPr>
          <w:p w14:paraId="42C527F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材料运输</w:t>
            </w:r>
          </w:p>
        </w:tc>
        <w:tc>
          <w:tcPr>
            <w:tcW w:w="578" w:type="dxa"/>
            <w:vAlign w:val="center"/>
          </w:tcPr>
          <w:p w14:paraId="03AE172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机械作业</w:t>
            </w:r>
          </w:p>
        </w:tc>
        <w:tc>
          <w:tcPr>
            <w:tcW w:w="646" w:type="dxa"/>
            <w:vAlign w:val="center"/>
          </w:tcPr>
          <w:p w14:paraId="52873CB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运输行驶</w:t>
            </w:r>
          </w:p>
        </w:tc>
        <w:tc>
          <w:tcPr>
            <w:tcW w:w="591" w:type="dxa"/>
            <w:vAlign w:val="center"/>
          </w:tcPr>
          <w:p w14:paraId="5EBA0DB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绿化复垦</w:t>
            </w:r>
          </w:p>
        </w:tc>
        <w:tc>
          <w:tcPr>
            <w:tcW w:w="523" w:type="dxa"/>
            <w:vAlign w:val="center"/>
          </w:tcPr>
          <w:p w14:paraId="0148B00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桥涵</w:t>
            </w:r>
          </w:p>
        </w:tc>
        <w:tc>
          <w:tcPr>
            <w:tcW w:w="383" w:type="dxa"/>
            <w:vAlign w:val="center"/>
          </w:tcPr>
          <w:p w14:paraId="08B6802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边沟</w:t>
            </w:r>
          </w:p>
        </w:tc>
      </w:tr>
      <w:tr w14:paraId="7AFA0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1" w:type="dxa"/>
            <w:vMerge w:val="restart"/>
            <w:vAlign w:val="center"/>
          </w:tcPr>
          <w:p w14:paraId="48D0E6A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生态环境</w:t>
            </w:r>
          </w:p>
        </w:tc>
        <w:tc>
          <w:tcPr>
            <w:tcW w:w="1176" w:type="dxa"/>
            <w:vAlign w:val="center"/>
          </w:tcPr>
          <w:p w14:paraId="2A7A444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陆地植被</w:t>
            </w:r>
          </w:p>
        </w:tc>
        <w:tc>
          <w:tcPr>
            <w:tcW w:w="564" w:type="dxa"/>
            <w:vAlign w:val="center"/>
          </w:tcPr>
          <w:p w14:paraId="7877C19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729" w:type="dxa"/>
            <w:vAlign w:val="center"/>
          </w:tcPr>
          <w:p w14:paraId="47CE704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729" w:type="dxa"/>
            <w:vAlign w:val="center"/>
          </w:tcPr>
          <w:p w14:paraId="7EBE0C4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550" w:type="dxa"/>
            <w:vAlign w:val="center"/>
          </w:tcPr>
          <w:p w14:paraId="3254DC7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495" w:type="dxa"/>
            <w:vAlign w:val="center"/>
          </w:tcPr>
          <w:p w14:paraId="7374DE0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495" w:type="dxa"/>
            <w:vAlign w:val="center"/>
          </w:tcPr>
          <w:p w14:paraId="708F3D8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646" w:type="dxa"/>
            <w:vAlign w:val="center"/>
          </w:tcPr>
          <w:p w14:paraId="186BA60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578" w:type="dxa"/>
            <w:vAlign w:val="center"/>
          </w:tcPr>
          <w:p w14:paraId="3AFA5F2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646" w:type="dxa"/>
            <w:vAlign w:val="center"/>
          </w:tcPr>
          <w:p w14:paraId="04085E2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591" w:type="dxa"/>
            <w:vAlign w:val="center"/>
          </w:tcPr>
          <w:p w14:paraId="04D9497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口</w:t>
            </w:r>
          </w:p>
        </w:tc>
        <w:tc>
          <w:tcPr>
            <w:tcW w:w="523" w:type="dxa"/>
            <w:vAlign w:val="center"/>
          </w:tcPr>
          <w:p w14:paraId="7EFC494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383" w:type="dxa"/>
            <w:vAlign w:val="center"/>
          </w:tcPr>
          <w:p w14:paraId="2AD17BC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r>
      <w:tr w14:paraId="0EF8A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1" w:type="dxa"/>
            <w:vMerge w:val="continue"/>
            <w:vAlign w:val="center"/>
          </w:tcPr>
          <w:p w14:paraId="3589CB2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1176" w:type="dxa"/>
            <w:vAlign w:val="center"/>
          </w:tcPr>
          <w:p w14:paraId="22FFC85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野生动物</w:t>
            </w:r>
          </w:p>
        </w:tc>
        <w:tc>
          <w:tcPr>
            <w:tcW w:w="564" w:type="dxa"/>
            <w:vAlign w:val="center"/>
          </w:tcPr>
          <w:p w14:paraId="7A0D4CF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729" w:type="dxa"/>
            <w:vAlign w:val="center"/>
          </w:tcPr>
          <w:p w14:paraId="2C520E2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729" w:type="dxa"/>
            <w:vAlign w:val="center"/>
          </w:tcPr>
          <w:p w14:paraId="7702868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550" w:type="dxa"/>
            <w:vAlign w:val="center"/>
          </w:tcPr>
          <w:p w14:paraId="4C19858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495" w:type="dxa"/>
            <w:vAlign w:val="center"/>
          </w:tcPr>
          <w:p w14:paraId="7D2023A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495" w:type="dxa"/>
            <w:vAlign w:val="center"/>
          </w:tcPr>
          <w:p w14:paraId="21D8ACB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646" w:type="dxa"/>
            <w:vAlign w:val="center"/>
          </w:tcPr>
          <w:p w14:paraId="3207F4B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578" w:type="dxa"/>
            <w:vAlign w:val="center"/>
          </w:tcPr>
          <w:p w14:paraId="2AB1250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646" w:type="dxa"/>
            <w:vAlign w:val="center"/>
          </w:tcPr>
          <w:p w14:paraId="5C0B828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591" w:type="dxa"/>
            <w:vAlign w:val="center"/>
          </w:tcPr>
          <w:p w14:paraId="206733A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523" w:type="dxa"/>
            <w:vAlign w:val="center"/>
          </w:tcPr>
          <w:p w14:paraId="1C78240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383" w:type="dxa"/>
            <w:vAlign w:val="center"/>
          </w:tcPr>
          <w:p w14:paraId="146C926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r>
      <w:tr w14:paraId="79792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1" w:type="dxa"/>
            <w:vMerge w:val="continue"/>
            <w:vAlign w:val="center"/>
          </w:tcPr>
          <w:p w14:paraId="70BD307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1176" w:type="dxa"/>
            <w:vAlign w:val="center"/>
          </w:tcPr>
          <w:p w14:paraId="7FDCF96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农业生态</w:t>
            </w:r>
          </w:p>
        </w:tc>
        <w:tc>
          <w:tcPr>
            <w:tcW w:w="564" w:type="dxa"/>
            <w:vAlign w:val="center"/>
          </w:tcPr>
          <w:p w14:paraId="133D8AC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729" w:type="dxa"/>
            <w:vAlign w:val="center"/>
          </w:tcPr>
          <w:p w14:paraId="43E1A2B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729" w:type="dxa"/>
            <w:vAlign w:val="center"/>
          </w:tcPr>
          <w:p w14:paraId="64A353A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550" w:type="dxa"/>
            <w:vAlign w:val="center"/>
          </w:tcPr>
          <w:p w14:paraId="3DFDC80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495" w:type="dxa"/>
            <w:vAlign w:val="center"/>
          </w:tcPr>
          <w:p w14:paraId="5528ED4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495" w:type="dxa"/>
            <w:vAlign w:val="center"/>
          </w:tcPr>
          <w:p w14:paraId="373396C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646" w:type="dxa"/>
            <w:vAlign w:val="center"/>
          </w:tcPr>
          <w:p w14:paraId="38959D2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578" w:type="dxa"/>
            <w:vAlign w:val="center"/>
          </w:tcPr>
          <w:p w14:paraId="4739875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646" w:type="dxa"/>
            <w:vAlign w:val="center"/>
          </w:tcPr>
          <w:p w14:paraId="6C61575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591" w:type="dxa"/>
            <w:vAlign w:val="center"/>
          </w:tcPr>
          <w:p w14:paraId="51516FB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523" w:type="dxa"/>
            <w:vAlign w:val="center"/>
          </w:tcPr>
          <w:p w14:paraId="1AF4B98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383" w:type="dxa"/>
            <w:vAlign w:val="center"/>
          </w:tcPr>
          <w:p w14:paraId="52C78B1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r>
      <w:tr w14:paraId="671E1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1" w:type="dxa"/>
            <w:vMerge w:val="continue"/>
            <w:vAlign w:val="center"/>
          </w:tcPr>
          <w:p w14:paraId="3034D41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1176" w:type="dxa"/>
            <w:vAlign w:val="center"/>
          </w:tcPr>
          <w:p w14:paraId="1F33C63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水土保持</w:t>
            </w:r>
          </w:p>
        </w:tc>
        <w:tc>
          <w:tcPr>
            <w:tcW w:w="564" w:type="dxa"/>
            <w:vAlign w:val="center"/>
          </w:tcPr>
          <w:p w14:paraId="0681856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729" w:type="dxa"/>
            <w:vAlign w:val="center"/>
          </w:tcPr>
          <w:p w14:paraId="1FBB913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729" w:type="dxa"/>
            <w:vAlign w:val="center"/>
          </w:tcPr>
          <w:p w14:paraId="73C902D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550" w:type="dxa"/>
            <w:vAlign w:val="center"/>
          </w:tcPr>
          <w:p w14:paraId="4B36494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495" w:type="dxa"/>
            <w:vAlign w:val="center"/>
          </w:tcPr>
          <w:p w14:paraId="4F7C96D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495" w:type="dxa"/>
            <w:vAlign w:val="center"/>
          </w:tcPr>
          <w:p w14:paraId="429F4F3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646" w:type="dxa"/>
            <w:vAlign w:val="center"/>
          </w:tcPr>
          <w:p w14:paraId="05BCFC9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578" w:type="dxa"/>
            <w:vAlign w:val="center"/>
          </w:tcPr>
          <w:p w14:paraId="52B67C4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646" w:type="dxa"/>
            <w:vAlign w:val="center"/>
          </w:tcPr>
          <w:p w14:paraId="7F48FF2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591" w:type="dxa"/>
            <w:vAlign w:val="center"/>
          </w:tcPr>
          <w:p w14:paraId="22775EE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18"/>
                <w:szCs w:val="18"/>
                <w:vertAlign w:val="baseline"/>
                <w:lang w:val="en-US" w:eastAsia="zh-CN" w:bidi="ar-SA"/>
              </w:rPr>
            </w:pPr>
            <w:r>
              <w:rPr>
                <w:rFonts w:hint="default" w:ascii="Times New Roman" w:hAnsi="Times New Roman" w:eastAsia="宋体" w:cs="Times New Roman"/>
                <w:color w:val="auto"/>
                <w:kern w:val="0"/>
                <w:sz w:val="18"/>
                <w:szCs w:val="18"/>
                <w:lang w:val="en-US" w:eastAsia="zh-CN" w:bidi="ar"/>
              </w:rPr>
              <w:t>口</w:t>
            </w:r>
          </w:p>
        </w:tc>
        <w:tc>
          <w:tcPr>
            <w:tcW w:w="523" w:type="dxa"/>
            <w:vAlign w:val="center"/>
          </w:tcPr>
          <w:p w14:paraId="6183CF5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18"/>
                <w:szCs w:val="18"/>
                <w:vertAlign w:val="baseline"/>
                <w:lang w:val="en-US" w:eastAsia="zh-CN" w:bidi="ar-SA"/>
              </w:rPr>
            </w:pPr>
            <w:r>
              <w:rPr>
                <w:rFonts w:hint="default" w:ascii="Times New Roman" w:hAnsi="Times New Roman" w:eastAsia="宋体" w:cs="Times New Roman"/>
                <w:color w:val="auto"/>
                <w:kern w:val="0"/>
                <w:sz w:val="18"/>
                <w:szCs w:val="18"/>
                <w:lang w:val="en-US" w:eastAsia="zh-CN" w:bidi="ar"/>
              </w:rPr>
              <w:t>口</w:t>
            </w:r>
          </w:p>
        </w:tc>
        <w:tc>
          <w:tcPr>
            <w:tcW w:w="383" w:type="dxa"/>
            <w:vAlign w:val="center"/>
          </w:tcPr>
          <w:p w14:paraId="057A886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18"/>
                <w:szCs w:val="18"/>
                <w:vertAlign w:val="baseline"/>
                <w:lang w:val="en-US" w:eastAsia="zh-CN" w:bidi="ar-SA"/>
              </w:rPr>
            </w:pPr>
            <w:r>
              <w:rPr>
                <w:rFonts w:hint="default" w:ascii="Times New Roman" w:hAnsi="Times New Roman" w:eastAsia="宋体" w:cs="Times New Roman"/>
                <w:color w:val="auto"/>
                <w:kern w:val="0"/>
                <w:sz w:val="18"/>
                <w:szCs w:val="18"/>
                <w:lang w:val="en-US" w:eastAsia="zh-CN" w:bidi="ar"/>
              </w:rPr>
              <w:t>口</w:t>
            </w:r>
          </w:p>
        </w:tc>
      </w:tr>
      <w:tr w14:paraId="72940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1" w:type="dxa"/>
            <w:vMerge w:val="continue"/>
            <w:vAlign w:val="center"/>
          </w:tcPr>
          <w:p w14:paraId="2786B21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1176" w:type="dxa"/>
            <w:vAlign w:val="center"/>
          </w:tcPr>
          <w:p w14:paraId="5363F17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水质</w:t>
            </w:r>
          </w:p>
        </w:tc>
        <w:tc>
          <w:tcPr>
            <w:tcW w:w="564" w:type="dxa"/>
            <w:vAlign w:val="center"/>
          </w:tcPr>
          <w:p w14:paraId="399D4F3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729" w:type="dxa"/>
            <w:vAlign w:val="center"/>
          </w:tcPr>
          <w:p w14:paraId="01FC4FF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729" w:type="dxa"/>
            <w:vAlign w:val="center"/>
          </w:tcPr>
          <w:p w14:paraId="1345B1D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550" w:type="dxa"/>
            <w:vAlign w:val="center"/>
          </w:tcPr>
          <w:p w14:paraId="13DCDBA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495" w:type="dxa"/>
            <w:vAlign w:val="center"/>
          </w:tcPr>
          <w:p w14:paraId="42877F3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495" w:type="dxa"/>
            <w:vAlign w:val="center"/>
          </w:tcPr>
          <w:p w14:paraId="3964575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646" w:type="dxa"/>
            <w:vAlign w:val="center"/>
          </w:tcPr>
          <w:p w14:paraId="6D9DADE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578" w:type="dxa"/>
            <w:vAlign w:val="center"/>
          </w:tcPr>
          <w:p w14:paraId="37F6AA3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646" w:type="dxa"/>
            <w:vAlign w:val="center"/>
          </w:tcPr>
          <w:p w14:paraId="0244844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591" w:type="dxa"/>
            <w:vAlign w:val="center"/>
          </w:tcPr>
          <w:p w14:paraId="3D88341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18"/>
                <w:szCs w:val="18"/>
                <w:vertAlign w:val="baseline"/>
                <w:lang w:val="en-US" w:eastAsia="zh-CN" w:bidi="ar-SA"/>
              </w:rPr>
            </w:pPr>
            <w:r>
              <w:rPr>
                <w:rFonts w:hint="default" w:ascii="Times New Roman" w:hAnsi="Times New Roman" w:eastAsia="宋体" w:cs="Times New Roman"/>
                <w:color w:val="auto"/>
                <w:kern w:val="0"/>
                <w:sz w:val="18"/>
                <w:szCs w:val="18"/>
                <w:lang w:val="en-US" w:eastAsia="zh-CN" w:bidi="ar"/>
              </w:rPr>
              <w:t>口</w:t>
            </w:r>
          </w:p>
        </w:tc>
        <w:tc>
          <w:tcPr>
            <w:tcW w:w="523" w:type="dxa"/>
            <w:vAlign w:val="center"/>
          </w:tcPr>
          <w:p w14:paraId="740DE01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18"/>
                <w:szCs w:val="18"/>
                <w:vertAlign w:val="baseline"/>
                <w:lang w:val="en-US" w:eastAsia="zh-CN" w:bidi="ar-SA"/>
              </w:rPr>
            </w:pPr>
            <w:r>
              <w:rPr>
                <w:rFonts w:hint="default" w:ascii="Times New Roman" w:hAnsi="Times New Roman" w:eastAsia="宋体" w:cs="Times New Roman"/>
                <w:color w:val="auto"/>
                <w:kern w:val="0"/>
                <w:sz w:val="18"/>
                <w:szCs w:val="18"/>
                <w:lang w:val="en-US" w:eastAsia="zh-CN" w:bidi="ar"/>
              </w:rPr>
              <w:t>口</w:t>
            </w:r>
          </w:p>
        </w:tc>
        <w:tc>
          <w:tcPr>
            <w:tcW w:w="383" w:type="dxa"/>
            <w:vAlign w:val="center"/>
          </w:tcPr>
          <w:p w14:paraId="0AF8BDD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r>
      <w:tr w14:paraId="3E387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1" w:type="dxa"/>
            <w:vMerge w:val="continue"/>
            <w:vAlign w:val="center"/>
          </w:tcPr>
          <w:p w14:paraId="0FEE28D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1176" w:type="dxa"/>
            <w:vAlign w:val="center"/>
          </w:tcPr>
          <w:p w14:paraId="3B3D663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地表水文</w:t>
            </w:r>
          </w:p>
        </w:tc>
        <w:tc>
          <w:tcPr>
            <w:tcW w:w="564" w:type="dxa"/>
            <w:vAlign w:val="center"/>
          </w:tcPr>
          <w:p w14:paraId="1C8539E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729" w:type="dxa"/>
            <w:vAlign w:val="center"/>
          </w:tcPr>
          <w:p w14:paraId="3EA4C02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729" w:type="dxa"/>
            <w:vAlign w:val="center"/>
          </w:tcPr>
          <w:p w14:paraId="796BFF6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550" w:type="dxa"/>
            <w:vAlign w:val="center"/>
          </w:tcPr>
          <w:p w14:paraId="39577AB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495" w:type="dxa"/>
            <w:vAlign w:val="center"/>
          </w:tcPr>
          <w:p w14:paraId="7D4406A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495" w:type="dxa"/>
            <w:vAlign w:val="center"/>
          </w:tcPr>
          <w:p w14:paraId="52718C9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646" w:type="dxa"/>
            <w:vAlign w:val="center"/>
          </w:tcPr>
          <w:p w14:paraId="6A82BEF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578" w:type="dxa"/>
            <w:vAlign w:val="center"/>
          </w:tcPr>
          <w:p w14:paraId="325FF33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646" w:type="dxa"/>
            <w:vAlign w:val="center"/>
          </w:tcPr>
          <w:p w14:paraId="1A35094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591" w:type="dxa"/>
            <w:vAlign w:val="center"/>
          </w:tcPr>
          <w:p w14:paraId="59BFB1D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口</w:t>
            </w:r>
          </w:p>
        </w:tc>
        <w:tc>
          <w:tcPr>
            <w:tcW w:w="523" w:type="dxa"/>
            <w:vAlign w:val="center"/>
          </w:tcPr>
          <w:p w14:paraId="0F12803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口</w:t>
            </w:r>
          </w:p>
        </w:tc>
        <w:tc>
          <w:tcPr>
            <w:tcW w:w="383" w:type="dxa"/>
            <w:vAlign w:val="center"/>
          </w:tcPr>
          <w:p w14:paraId="7D1BC23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r>
      <w:tr w14:paraId="21E18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1" w:type="dxa"/>
            <w:vMerge w:val="continue"/>
            <w:vAlign w:val="center"/>
          </w:tcPr>
          <w:p w14:paraId="418A1D9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1176" w:type="dxa"/>
            <w:vAlign w:val="center"/>
          </w:tcPr>
          <w:p w14:paraId="44833BC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地下水</w:t>
            </w:r>
          </w:p>
        </w:tc>
        <w:tc>
          <w:tcPr>
            <w:tcW w:w="564" w:type="dxa"/>
            <w:vAlign w:val="center"/>
          </w:tcPr>
          <w:p w14:paraId="0832B64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729" w:type="dxa"/>
            <w:vAlign w:val="center"/>
          </w:tcPr>
          <w:p w14:paraId="241A699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729" w:type="dxa"/>
            <w:vAlign w:val="center"/>
          </w:tcPr>
          <w:p w14:paraId="6ADC033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550" w:type="dxa"/>
            <w:vAlign w:val="center"/>
          </w:tcPr>
          <w:p w14:paraId="45DBE1D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495" w:type="dxa"/>
            <w:vAlign w:val="center"/>
          </w:tcPr>
          <w:p w14:paraId="6D849D6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495" w:type="dxa"/>
            <w:vAlign w:val="center"/>
          </w:tcPr>
          <w:p w14:paraId="77B20FC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646" w:type="dxa"/>
            <w:vAlign w:val="center"/>
          </w:tcPr>
          <w:p w14:paraId="4586596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578" w:type="dxa"/>
            <w:vAlign w:val="center"/>
          </w:tcPr>
          <w:p w14:paraId="4BE092D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646" w:type="dxa"/>
            <w:vAlign w:val="center"/>
          </w:tcPr>
          <w:p w14:paraId="5D76F6E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591" w:type="dxa"/>
            <w:vAlign w:val="center"/>
          </w:tcPr>
          <w:p w14:paraId="191AFE5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523" w:type="dxa"/>
            <w:vAlign w:val="center"/>
          </w:tcPr>
          <w:p w14:paraId="1951991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383" w:type="dxa"/>
            <w:vAlign w:val="center"/>
          </w:tcPr>
          <w:p w14:paraId="49FBBB1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r>
      <w:tr w14:paraId="462ED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1" w:type="dxa"/>
            <w:vMerge w:val="restart"/>
            <w:vAlign w:val="center"/>
          </w:tcPr>
          <w:p w14:paraId="45A4E1D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生活质量</w:t>
            </w:r>
          </w:p>
        </w:tc>
        <w:tc>
          <w:tcPr>
            <w:tcW w:w="1176" w:type="dxa"/>
            <w:vAlign w:val="center"/>
          </w:tcPr>
          <w:p w14:paraId="1604D61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声学环境</w:t>
            </w:r>
          </w:p>
        </w:tc>
        <w:tc>
          <w:tcPr>
            <w:tcW w:w="564" w:type="dxa"/>
            <w:vAlign w:val="center"/>
          </w:tcPr>
          <w:p w14:paraId="127326B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729" w:type="dxa"/>
            <w:vAlign w:val="center"/>
          </w:tcPr>
          <w:p w14:paraId="642A177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729" w:type="dxa"/>
            <w:vAlign w:val="center"/>
          </w:tcPr>
          <w:p w14:paraId="3A61E29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550" w:type="dxa"/>
            <w:vAlign w:val="center"/>
          </w:tcPr>
          <w:p w14:paraId="2E86A16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495" w:type="dxa"/>
            <w:vAlign w:val="center"/>
          </w:tcPr>
          <w:p w14:paraId="107E930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495" w:type="dxa"/>
            <w:vAlign w:val="center"/>
          </w:tcPr>
          <w:p w14:paraId="0C28897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646" w:type="dxa"/>
            <w:vAlign w:val="center"/>
          </w:tcPr>
          <w:p w14:paraId="743E974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578" w:type="dxa"/>
            <w:vAlign w:val="center"/>
          </w:tcPr>
          <w:p w14:paraId="54D9A7C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646" w:type="dxa"/>
            <w:vAlign w:val="center"/>
          </w:tcPr>
          <w:p w14:paraId="0B7D336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591" w:type="dxa"/>
            <w:vAlign w:val="center"/>
          </w:tcPr>
          <w:p w14:paraId="09D946E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口</w:t>
            </w:r>
          </w:p>
        </w:tc>
        <w:tc>
          <w:tcPr>
            <w:tcW w:w="523" w:type="dxa"/>
            <w:vAlign w:val="center"/>
          </w:tcPr>
          <w:p w14:paraId="41B1559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口</w:t>
            </w:r>
          </w:p>
        </w:tc>
        <w:tc>
          <w:tcPr>
            <w:tcW w:w="383" w:type="dxa"/>
            <w:vAlign w:val="center"/>
          </w:tcPr>
          <w:p w14:paraId="276C57E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r>
      <w:tr w14:paraId="5E4C3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1" w:type="dxa"/>
            <w:vMerge w:val="continue"/>
            <w:vAlign w:val="center"/>
          </w:tcPr>
          <w:p w14:paraId="3050405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1176" w:type="dxa"/>
            <w:vAlign w:val="center"/>
          </w:tcPr>
          <w:p w14:paraId="6B59993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空气质量</w:t>
            </w:r>
          </w:p>
        </w:tc>
        <w:tc>
          <w:tcPr>
            <w:tcW w:w="564" w:type="dxa"/>
            <w:vAlign w:val="center"/>
          </w:tcPr>
          <w:p w14:paraId="6ED5BDA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729" w:type="dxa"/>
            <w:vAlign w:val="center"/>
          </w:tcPr>
          <w:p w14:paraId="4482E7A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18"/>
                <w:szCs w:val="18"/>
                <w:vertAlign w:val="baseline"/>
                <w:lang w:val="en-US" w:eastAsia="zh-CN" w:bidi="ar-SA"/>
              </w:rPr>
            </w:pPr>
            <w:r>
              <w:rPr>
                <w:rFonts w:hint="default" w:ascii="Times New Roman" w:hAnsi="Times New Roman" w:eastAsia="宋体" w:cs="Times New Roman"/>
                <w:color w:val="auto"/>
                <w:kern w:val="0"/>
                <w:sz w:val="18"/>
                <w:szCs w:val="18"/>
                <w:lang w:val="en-US" w:eastAsia="zh-CN" w:bidi="ar"/>
              </w:rPr>
              <w:t>●</w:t>
            </w:r>
          </w:p>
        </w:tc>
        <w:tc>
          <w:tcPr>
            <w:tcW w:w="729" w:type="dxa"/>
            <w:vAlign w:val="center"/>
          </w:tcPr>
          <w:p w14:paraId="701D6B5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18"/>
                <w:szCs w:val="18"/>
                <w:vertAlign w:val="baseline"/>
                <w:lang w:val="en-US" w:eastAsia="zh-CN" w:bidi="ar-SA"/>
              </w:rPr>
            </w:pPr>
            <w:r>
              <w:rPr>
                <w:rFonts w:hint="default" w:ascii="Times New Roman" w:hAnsi="Times New Roman" w:eastAsia="宋体" w:cs="Times New Roman"/>
                <w:color w:val="auto"/>
                <w:kern w:val="0"/>
                <w:sz w:val="18"/>
                <w:szCs w:val="18"/>
                <w:lang w:val="en-US" w:eastAsia="zh-CN" w:bidi="ar"/>
              </w:rPr>
              <w:t>●</w:t>
            </w:r>
          </w:p>
        </w:tc>
        <w:tc>
          <w:tcPr>
            <w:tcW w:w="550" w:type="dxa"/>
            <w:vAlign w:val="center"/>
          </w:tcPr>
          <w:p w14:paraId="3AF734B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18"/>
                <w:szCs w:val="18"/>
                <w:vertAlign w:val="baseline"/>
                <w:lang w:val="en-US" w:eastAsia="zh-CN" w:bidi="ar-SA"/>
              </w:rPr>
            </w:pPr>
            <w:r>
              <w:rPr>
                <w:rFonts w:hint="default" w:ascii="Times New Roman" w:hAnsi="Times New Roman" w:eastAsia="宋体" w:cs="Times New Roman"/>
                <w:color w:val="auto"/>
                <w:kern w:val="0"/>
                <w:sz w:val="18"/>
                <w:szCs w:val="18"/>
                <w:lang w:val="en-US" w:eastAsia="zh-CN" w:bidi="ar"/>
              </w:rPr>
              <w:t>●</w:t>
            </w:r>
          </w:p>
        </w:tc>
        <w:tc>
          <w:tcPr>
            <w:tcW w:w="495" w:type="dxa"/>
            <w:vAlign w:val="center"/>
          </w:tcPr>
          <w:p w14:paraId="4570464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18"/>
                <w:szCs w:val="18"/>
                <w:vertAlign w:val="baseline"/>
                <w:lang w:val="en-US" w:eastAsia="zh-CN" w:bidi="ar-SA"/>
              </w:rPr>
            </w:pPr>
            <w:r>
              <w:rPr>
                <w:rFonts w:hint="default" w:ascii="Times New Roman" w:hAnsi="Times New Roman" w:eastAsia="宋体" w:cs="Times New Roman"/>
                <w:color w:val="auto"/>
                <w:kern w:val="0"/>
                <w:sz w:val="18"/>
                <w:szCs w:val="18"/>
                <w:lang w:val="en-US" w:eastAsia="zh-CN" w:bidi="ar"/>
              </w:rPr>
              <w:t>●</w:t>
            </w:r>
          </w:p>
        </w:tc>
        <w:tc>
          <w:tcPr>
            <w:tcW w:w="495" w:type="dxa"/>
            <w:vAlign w:val="center"/>
          </w:tcPr>
          <w:p w14:paraId="0129F0A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18"/>
                <w:szCs w:val="18"/>
                <w:vertAlign w:val="baseline"/>
                <w:lang w:val="en-US" w:eastAsia="zh-CN" w:bidi="ar-SA"/>
              </w:rPr>
            </w:pPr>
            <w:r>
              <w:rPr>
                <w:rFonts w:hint="default" w:ascii="Times New Roman" w:hAnsi="Times New Roman" w:eastAsia="宋体" w:cs="Times New Roman"/>
                <w:color w:val="auto"/>
                <w:kern w:val="0"/>
                <w:sz w:val="18"/>
                <w:szCs w:val="18"/>
                <w:lang w:val="en-US" w:eastAsia="zh-CN" w:bidi="ar"/>
              </w:rPr>
              <w:t>●</w:t>
            </w:r>
          </w:p>
        </w:tc>
        <w:tc>
          <w:tcPr>
            <w:tcW w:w="646" w:type="dxa"/>
            <w:vAlign w:val="center"/>
          </w:tcPr>
          <w:p w14:paraId="56AA00F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18"/>
                <w:szCs w:val="18"/>
                <w:vertAlign w:val="baseline"/>
                <w:lang w:val="en-US" w:eastAsia="zh-CN" w:bidi="ar-SA"/>
              </w:rPr>
            </w:pPr>
            <w:r>
              <w:rPr>
                <w:rFonts w:hint="default" w:ascii="Times New Roman" w:hAnsi="Times New Roman" w:eastAsia="宋体" w:cs="Times New Roman"/>
                <w:color w:val="auto"/>
                <w:kern w:val="0"/>
                <w:sz w:val="18"/>
                <w:szCs w:val="18"/>
                <w:lang w:val="en-US" w:eastAsia="zh-CN" w:bidi="ar"/>
              </w:rPr>
              <w:t>●</w:t>
            </w:r>
          </w:p>
        </w:tc>
        <w:tc>
          <w:tcPr>
            <w:tcW w:w="578" w:type="dxa"/>
            <w:vAlign w:val="center"/>
          </w:tcPr>
          <w:p w14:paraId="0CF0927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18"/>
                <w:szCs w:val="18"/>
                <w:vertAlign w:val="baseline"/>
                <w:lang w:val="en-US" w:eastAsia="zh-CN" w:bidi="ar-SA"/>
              </w:rPr>
            </w:pPr>
            <w:r>
              <w:rPr>
                <w:rFonts w:hint="default" w:ascii="Times New Roman" w:hAnsi="Times New Roman" w:eastAsia="宋体" w:cs="Times New Roman"/>
                <w:color w:val="auto"/>
                <w:kern w:val="0"/>
                <w:sz w:val="18"/>
                <w:szCs w:val="18"/>
                <w:lang w:val="en-US" w:eastAsia="zh-CN" w:bidi="ar"/>
              </w:rPr>
              <w:t>●</w:t>
            </w:r>
          </w:p>
        </w:tc>
        <w:tc>
          <w:tcPr>
            <w:tcW w:w="646" w:type="dxa"/>
            <w:vAlign w:val="center"/>
          </w:tcPr>
          <w:p w14:paraId="2F66381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18"/>
                <w:szCs w:val="18"/>
                <w:vertAlign w:val="baseline"/>
                <w:lang w:val="en-US" w:eastAsia="zh-CN" w:bidi="ar-SA"/>
              </w:rPr>
            </w:pPr>
            <w:r>
              <w:rPr>
                <w:rFonts w:hint="default" w:ascii="Times New Roman" w:hAnsi="Times New Roman" w:eastAsia="宋体" w:cs="Times New Roman"/>
                <w:color w:val="auto"/>
                <w:kern w:val="0"/>
                <w:sz w:val="18"/>
                <w:szCs w:val="18"/>
                <w:lang w:val="en-US" w:eastAsia="zh-CN" w:bidi="ar"/>
              </w:rPr>
              <w:t>■</w:t>
            </w:r>
          </w:p>
        </w:tc>
        <w:tc>
          <w:tcPr>
            <w:tcW w:w="591" w:type="dxa"/>
            <w:vAlign w:val="center"/>
          </w:tcPr>
          <w:p w14:paraId="3259FDB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18"/>
                <w:szCs w:val="18"/>
                <w:vertAlign w:val="baseline"/>
                <w:lang w:val="en-US" w:eastAsia="zh-CN" w:bidi="ar-SA"/>
              </w:rPr>
            </w:pPr>
            <w:r>
              <w:rPr>
                <w:rFonts w:hint="default" w:ascii="Times New Roman" w:hAnsi="Times New Roman" w:eastAsia="宋体" w:cs="Times New Roman"/>
                <w:color w:val="auto"/>
                <w:kern w:val="0"/>
                <w:sz w:val="18"/>
                <w:szCs w:val="18"/>
                <w:lang w:val="en-US" w:eastAsia="zh-CN" w:bidi="ar"/>
              </w:rPr>
              <w:t>口</w:t>
            </w:r>
          </w:p>
        </w:tc>
        <w:tc>
          <w:tcPr>
            <w:tcW w:w="523" w:type="dxa"/>
            <w:vAlign w:val="center"/>
          </w:tcPr>
          <w:p w14:paraId="586F5DC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18"/>
                <w:szCs w:val="18"/>
                <w:vertAlign w:val="baseline"/>
                <w:lang w:val="en-US" w:eastAsia="zh-CN" w:bidi="ar-SA"/>
              </w:rPr>
            </w:pPr>
            <w:r>
              <w:rPr>
                <w:rFonts w:hint="default" w:ascii="Times New Roman" w:hAnsi="Times New Roman" w:eastAsia="宋体" w:cs="Times New Roman"/>
                <w:color w:val="auto"/>
                <w:kern w:val="0"/>
                <w:sz w:val="18"/>
                <w:szCs w:val="18"/>
                <w:lang w:val="en-US" w:eastAsia="zh-CN" w:bidi="ar"/>
              </w:rPr>
              <w:t>口</w:t>
            </w:r>
          </w:p>
        </w:tc>
        <w:tc>
          <w:tcPr>
            <w:tcW w:w="383" w:type="dxa"/>
            <w:vAlign w:val="center"/>
          </w:tcPr>
          <w:p w14:paraId="0647599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r>
      <w:tr w14:paraId="6EB4D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1" w:type="dxa"/>
            <w:vMerge w:val="continue"/>
            <w:vAlign w:val="center"/>
          </w:tcPr>
          <w:p w14:paraId="3BE1619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1176" w:type="dxa"/>
            <w:vAlign w:val="center"/>
          </w:tcPr>
          <w:p w14:paraId="1E3FBE5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居住</w:t>
            </w:r>
          </w:p>
        </w:tc>
        <w:tc>
          <w:tcPr>
            <w:tcW w:w="564" w:type="dxa"/>
            <w:vAlign w:val="center"/>
          </w:tcPr>
          <w:p w14:paraId="73141AA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729" w:type="dxa"/>
            <w:vAlign w:val="center"/>
          </w:tcPr>
          <w:p w14:paraId="051A16E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口</w:t>
            </w:r>
          </w:p>
        </w:tc>
        <w:tc>
          <w:tcPr>
            <w:tcW w:w="729" w:type="dxa"/>
            <w:vAlign w:val="center"/>
          </w:tcPr>
          <w:p w14:paraId="5E9FFFF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550" w:type="dxa"/>
            <w:vAlign w:val="center"/>
          </w:tcPr>
          <w:p w14:paraId="41C29B0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495" w:type="dxa"/>
            <w:vAlign w:val="center"/>
          </w:tcPr>
          <w:p w14:paraId="7C3E6A2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495" w:type="dxa"/>
            <w:vAlign w:val="center"/>
          </w:tcPr>
          <w:p w14:paraId="3894E73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646" w:type="dxa"/>
            <w:vAlign w:val="center"/>
          </w:tcPr>
          <w:p w14:paraId="1DB5262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578" w:type="dxa"/>
            <w:vAlign w:val="center"/>
          </w:tcPr>
          <w:p w14:paraId="48107EB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646" w:type="dxa"/>
            <w:vAlign w:val="center"/>
          </w:tcPr>
          <w:p w14:paraId="7FCA25F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591" w:type="dxa"/>
            <w:vAlign w:val="center"/>
          </w:tcPr>
          <w:p w14:paraId="2D37329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523" w:type="dxa"/>
            <w:vAlign w:val="center"/>
          </w:tcPr>
          <w:p w14:paraId="11B2358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口</w:t>
            </w:r>
          </w:p>
        </w:tc>
        <w:tc>
          <w:tcPr>
            <w:tcW w:w="383" w:type="dxa"/>
            <w:vAlign w:val="center"/>
          </w:tcPr>
          <w:p w14:paraId="5F3510A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r>
      <w:tr w14:paraId="079E3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1" w:type="dxa"/>
            <w:vMerge w:val="continue"/>
            <w:vAlign w:val="center"/>
          </w:tcPr>
          <w:p w14:paraId="5D34CBE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1176" w:type="dxa"/>
            <w:vAlign w:val="center"/>
          </w:tcPr>
          <w:p w14:paraId="63B4C63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景 观</w:t>
            </w:r>
          </w:p>
        </w:tc>
        <w:tc>
          <w:tcPr>
            <w:tcW w:w="564" w:type="dxa"/>
            <w:vAlign w:val="center"/>
          </w:tcPr>
          <w:p w14:paraId="57DCB80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729" w:type="dxa"/>
            <w:vAlign w:val="center"/>
          </w:tcPr>
          <w:p w14:paraId="5920659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729" w:type="dxa"/>
            <w:vAlign w:val="center"/>
          </w:tcPr>
          <w:p w14:paraId="536938A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550" w:type="dxa"/>
            <w:vAlign w:val="center"/>
          </w:tcPr>
          <w:p w14:paraId="2E03129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495" w:type="dxa"/>
            <w:vAlign w:val="center"/>
          </w:tcPr>
          <w:p w14:paraId="1D4F58E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eastAsia="宋体" w:cs="Times New Roman"/>
                <w:color w:val="auto"/>
                <w:kern w:val="0"/>
                <w:sz w:val="18"/>
                <w:szCs w:val="18"/>
                <w:lang w:val="en-US" w:eastAsia="zh-CN" w:bidi="ar"/>
              </w:rPr>
              <w:t>■</w:t>
            </w:r>
          </w:p>
        </w:tc>
        <w:tc>
          <w:tcPr>
            <w:tcW w:w="495" w:type="dxa"/>
            <w:vAlign w:val="center"/>
          </w:tcPr>
          <w:p w14:paraId="6222770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646" w:type="dxa"/>
            <w:vAlign w:val="center"/>
          </w:tcPr>
          <w:p w14:paraId="1754964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578" w:type="dxa"/>
            <w:vAlign w:val="center"/>
          </w:tcPr>
          <w:p w14:paraId="19B6902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646" w:type="dxa"/>
            <w:vAlign w:val="center"/>
          </w:tcPr>
          <w:p w14:paraId="7308DDB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18"/>
                <w:szCs w:val="18"/>
                <w:vertAlign w:val="baseline"/>
                <w:lang w:val="en-US" w:eastAsia="zh-CN"/>
              </w:rPr>
            </w:pPr>
          </w:p>
        </w:tc>
        <w:tc>
          <w:tcPr>
            <w:tcW w:w="591" w:type="dxa"/>
            <w:vAlign w:val="center"/>
          </w:tcPr>
          <w:p w14:paraId="1D6F459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18"/>
                <w:szCs w:val="18"/>
                <w:vertAlign w:val="baseline"/>
                <w:lang w:val="en-US" w:eastAsia="zh-CN" w:bidi="ar-SA"/>
              </w:rPr>
            </w:pPr>
            <w:r>
              <w:rPr>
                <w:rFonts w:hint="default" w:ascii="Times New Roman" w:hAnsi="Times New Roman" w:eastAsia="宋体" w:cs="Times New Roman"/>
                <w:color w:val="auto"/>
                <w:kern w:val="0"/>
                <w:sz w:val="18"/>
                <w:szCs w:val="18"/>
                <w:lang w:val="en-US" w:eastAsia="zh-CN" w:bidi="ar"/>
              </w:rPr>
              <w:t>口</w:t>
            </w:r>
          </w:p>
        </w:tc>
        <w:tc>
          <w:tcPr>
            <w:tcW w:w="523" w:type="dxa"/>
            <w:vAlign w:val="center"/>
          </w:tcPr>
          <w:p w14:paraId="0B8BD2C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18"/>
                <w:szCs w:val="18"/>
                <w:vertAlign w:val="baseline"/>
                <w:lang w:val="en-US" w:eastAsia="zh-CN" w:bidi="ar-SA"/>
              </w:rPr>
            </w:pPr>
            <w:r>
              <w:rPr>
                <w:rFonts w:hint="default" w:ascii="Times New Roman" w:hAnsi="Times New Roman" w:eastAsia="宋体" w:cs="Times New Roman"/>
                <w:color w:val="auto"/>
                <w:kern w:val="0"/>
                <w:sz w:val="18"/>
                <w:szCs w:val="18"/>
                <w:lang w:val="en-US" w:eastAsia="zh-CN" w:bidi="ar"/>
              </w:rPr>
              <w:t>口</w:t>
            </w:r>
          </w:p>
        </w:tc>
        <w:tc>
          <w:tcPr>
            <w:tcW w:w="383" w:type="dxa"/>
            <w:vAlign w:val="center"/>
          </w:tcPr>
          <w:p w14:paraId="02E8497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18"/>
                <w:szCs w:val="18"/>
                <w:vertAlign w:val="baseline"/>
                <w:lang w:val="en-US" w:eastAsia="zh-CN" w:bidi="ar-SA"/>
              </w:rPr>
            </w:pPr>
            <w:r>
              <w:rPr>
                <w:rFonts w:hint="default" w:ascii="Times New Roman" w:hAnsi="Times New Roman" w:eastAsia="宋体" w:cs="Times New Roman"/>
                <w:color w:val="auto"/>
                <w:kern w:val="0"/>
                <w:sz w:val="18"/>
                <w:szCs w:val="18"/>
                <w:lang w:val="en-US" w:eastAsia="zh-CN" w:bidi="ar"/>
              </w:rPr>
              <w:t>口</w:t>
            </w:r>
          </w:p>
        </w:tc>
      </w:tr>
    </w:tbl>
    <w:p w14:paraId="4FA918B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18"/>
          <w:szCs w:val="18"/>
          <w:lang w:val="en-US" w:eastAsia="zh-CN" w:bidi="ar"/>
        </w:rPr>
        <w:t>注：□／■：长期有利影响／长期不利影响；○／●：短期有利影响／短期不利影响； 空白：无相互作用。</w:t>
      </w:r>
    </w:p>
    <w:p w14:paraId="11A4EB5E">
      <w:pPr>
        <w:pStyle w:val="4"/>
        <w:keepNext/>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2.3.3 评价因子筛选</w:t>
      </w:r>
    </w:p>
    <w:p w14:paraId="666ED109">
      <w:pPr>
        <w:bidi w:val="0"/>
        <w:rPr>
          <w:rFonts w:hint="default" w:ascii="Times New Roman" w:hAnsi="Times New Roman" w:cs="Times New Roman"/>
          <w:color w:val="auto"/>
        </w:rPr>
      </w:pPr>
      <w:r>
        <w:rPr>
          <w:rFonts w:hint="default" w:ascii="Times New Roman" w:hAnsi="Times New Roman" w:cs="Times New Roman"/>
          <w:color w:val="auto"/>
          <w:lang w:val="en-US" w:eastAsia="zh-CN"/>
        </w:rPr>
        <w:t>在项目工程概况和环境概况分析的基础上，通过对各环境要素影响的进一步分析，</w:t>
      </w:r>
      <w:r>
        <w:rPr>
          <w:rFonts w:hint="eastAsia" w:cs="Times New Roman"/>
          <w:color w:val="auto"/>
          <w:lang w:val="en-US" w:eastAsia="zh-CN"/>
        </w:rPr>
        <w:t>根据</w:t>
      </w:r>
      <w:r>
        <w:rPr>
          <w:rFonts w:hint="default" w:ascii="Times New Roman" w:hAnsi="Times New Roman" w:cs="Times New Roman"/>
          <w:color w:val="auto"/>
          <w:lang w:val="en-US" w:eastAsia="zh-CN"/>
        </w:rPr>
        <w:t>项目的工程分析、项目所在地区各环境要素的特征以及存在的环境问题，确定的评价内容及评价因子，详见表2.3-</w:t>
      </w:r>
      <w:r>
        <w:rPr>
          <w:rFonts w:hint="eastAsia" w:cs="Times New Roman"/>
          <w:color w:val="auto"/>
          <w:lang w:val="en-US" w:eastAsia="zh-CN"/>
        </w:rPr>
        <w:t>4</w:t>
      </w:r>
      <w:r>
        <w:rPr>
          <w:rFonts w:hint="default" w:ascii="Times New Roman" w:hAnsi="Times New Roman" w:cs="Times New Roman"/>
          <w:color w:val="auto"/>
          <w:lang w:val="en-US" w:eastAsia="zh-CN"/>
        </w:rPr>
        <w:t>。</w:t>
      </w:r>
    </w:p>
    <w:p w14:paraId="0D3FEEC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color w:val="auto"/>
          <w:kern w:val="2"/>
          <w:sz w:val="21"/>
          <w:szCs w:val="21"/>
          <w:lang w:val="en-US" w:eastAsia="zh-CN" w:bidi="ar-SA"/>
        </w:rPr>
        <w:t>表2.3-</w:t>
      </w:r>
      <w:r>
        <w:rPr>
          <w:rFonts w:hint="eastAsia" w:cs="Times New Roman"/>
          <w:b/>
          <w:color w:val="auto"/>
          <w:kern w:val="2"/>
          <w:sz w:val="21"/>
          <w:szCs w:val="21"/>
          <w:lang w:val="en-US" w:eastAsia="zh-CN" w:bidi="ar-SA"/>
        </w:rPr>
        <w:t>4</w:t>
      </w:r>
      <w:r>
        <w:rPr>
          <w:rFonts w:hint="default" w:ascii="Times New Roman" w:hAnsi="Times New Roman" w:eastAsia="宋体" w:cs="Times New Roman"/>
          <w:b/>
          <w:color w:val="auto"/>
          <w:kern w:val="2"/>
          <w:sz w:val="21"/>
          <w:szCs w:val="21"/>
          <w:lang w:val="en-US" w:eastAsia="zh-CN" w:bidi="ar-SA"/>
        </w:rPr>
        <w:t xml:space="preserve"> 建设项目环境影响评价因子表</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1"/>
        <w:gridCol w:w="2130"/>
        <w:gridCol w:w="4755"/>
      </w:tblGrid>
      <w:tr w14:paraId="383B2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31" w:type="dxa"/>
            <w:vAlign w:val="center"/>
          </w:tcPr>
          <w:p w14:paraId="202214E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b/>
                <w:bCs/>
                <w:color w:val="auto"/>
                <w:kern w:val="0"/>
                <w:sz w:val="21"/>
                <w:szCs w:val="21"/>
                <w:lang w:val="en-US" w:eastAsia="zh-CN" w:bidi="ar"/>
              </w:rPr>
              <w:t>类型</w:t>
            </w:r>
          </w:p>
        </w:tc>
        <w:tc>
          <w:tcPr>
            <w:tcW w:w="2130" w:type="dxa"/>
            <w:vAlign w:val="center"/>
          </w:tcPr>
          <w:p w14:paraId="1088B20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b/>
                <w:bCs/>
                <w:color w:val="auto"/>
                <w:kern w:val="0"/>
                <w:sz w:val="21"/>
                <w:szCs w:val="21"/>
                <w:lang w:val="en-US" w:eastAsia="zh-CN" w:bidi="ar"/>
              </w:rPr>
              <w:t>评价</w:t>
            </w:r>
            <w:r>
              <w:rPr>
                <w:rFonts w:hint="eastAsia" w:cs="Times New Roman"/>
                <w:b/>
                <w:bCs/>
                <w:color w:val="auto"/>
                <w:kern w:val="0"/>
                <w:sz w:val="21"/>
                <w:szCs w:val="21"/>
                <w:lang w:val="en-US" w:eastAsia="zh-CN" w:bidi="ar"/>
              </w:rPr>
              <w:t>对象/内容</w:t>
            </w:r>
          </w:p>
        </w:tc>
        <w:tc>
          <w:tcPr>
            <w:tcW w:w="4755" w:type="dxa"/>
            <w:vAlign w:val="center"/>
          </w:tcPr>
          <w:p w14:paraId="3DF1793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b/>
                <w:bCs/>
                <w:color w:val="auto"/>
                <w:kern w:val="0"/>
                <w:sz w:val="21"/>
                <w:szCs w:val="21"/>
                <w:lang w:val="en-US" w:eastAsia="zh-CN" w:bidi="ar"/>
              </w:rPr>
              <w:t>评价因子</w:t>
            </w:r>
          </w:p>
        </w:tc>
      </w:tr>
      <w:tr w14:paraId="7EAC2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31" w:type="dxa"/>
            <w:vMerge w:val="restart"/>
            <w:vAlign w:val="center"/>
          </w:tcPr>
          <w:p w14:paraId="4C10E6C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生态环境</w:t>
            </w:r>
          </w:p>
        </w:tc>
        <w:tc>
          <w:tcPr>
            <w:tcW w:w="2130" w:type="dxa"/>
            <w:vAlign w:val="center"/>
          </w:tcPr>
          <w:p w14:paraId="5225D6A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kern w:val="0"/>
                <w:sz w:val="21"/>
                <w:szCs w:val="21"/>
                <w:lang w:val="en-US" w:eastAsia="zh-CN" w:bidi="ar"/>
              </w:rPr>
              <w:t>生态系统</w:t>
            </w:r>
          </w:p>
        </w:tc>
        <w:tc>
          <w:tcPr>
            <w:tcW w:w="4755" w:type="dxa"/>
            <w:vAlign w:val="center"/>
          </w:tcPr>
          <w:p w14:paraId="1343345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植被覆盖度、生产力、生物量、生态系统功能等</w:t>
            </w:r>
          </w:p>
        </w:tc>
      </w:tr>
      <w:tr w14:paraId="068EE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31" w:type="dxa"/>
            <w:vMerge w:val="continue"/>
            <w:vAlign w:val="center"/>
          </w:tcPr>
          <w:p w14:paraId="6A17B41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130" w:type="dxa"/>
            <w:vAlign w:val="center"/>
          </w:tcPr>
          <w:p w14:paraId="1BB6D49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植被生物量及生产力</w:t>
            </w:r>
          </w:p>
        </w:tc>
        <w:tc>
          <w:tcPr>
            <w:tcW w:w="4755" w:type="dxa"/>
            <w:vAlign w:val="center"/>
          </w:tcPr>
          <w:p w14:paraId="2486BD4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生物损失量</w:t>
            </w:r>
          </w:p>
        </w:tc>
      </w:tr>
      <w:tr w14:paraId="56A04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31" w:type="dxa"/>
            <w:vMerge w:val="continue"/>
            <w:vAlign w:val="center"/>
          </w:tcPr>
          <w:p w14:paraId="4CC022A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130" w:type="dxa"/>
            <w:vAlign w:val="center"/>
          </w:tcPr>
          <w:p w14:paraId="7859CB9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kern w:val="0"/>
                <w:sz w:val="21"/>
                <w:szCs w:val="21"/>
                <w:lang w:val="en-US" w:eastAsia="zh-CN" w:bidi="ar"/>
              </w:rPr>
              <w:t>物种</w:t>
            </w:r>
          </w:p>
        </w:tc>
        <w:tc>
          <w:tcPr>
            <w:tcW w:w="4755" w:type="dxa"/>
            <w:vAlign w:val="center"/>
          </w:tcPr>
          <w:p w14:paraId="44C8F20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分布范围、种群数量、种群结构、行为等</w:t>
            </w:r>
          </w:p>
        </w:tc>
      </w:tr>
      <w:tr w14:paraId="48450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31" w:type="dxa"/>
            <w:vMerge w:val="continue"/>
            <w:vAlign w:val="center"/>
          </w:tcPr>
          <w:p w14:paraId="56229C1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130" w:type="dxa"/>
            <w:vAlign w:val="center"/>
          </w:tcPr>
          <w:p w14:paraId="399DB8A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土地利用结构</w:t>
            </w:r>
          </w:p>
        </w:tc>
        <w:tc>
          <w:tcPr>
            <w:tcW w:w="4755" w:type="dxa"/>
            <w:vAlign w:val="center"/>
          </w:tcPr>
          <w:p w14:paraId="5324096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土地利用情况、占地类型、面积</w:t>
            </w:r>
          </w:p>
        </w:tc>
      </w:tr>
      <w:tr w14:paraId="3E74D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31" w:type="dxa"/>
            <w:vMerge w:val="continue"/>
            <w:vAlign w:val="center"/>
          </w:tcPr>
          <w:p w14:paraId="41520C1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130" w:type="dxa"/>
            <w:vAlign w:val="center"/>
          </w:tcPr>
          <w:p w14:paraId="7232CE4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生境</w:t>
            </w:r>
          </w:p>
        </w:tc>
        <w:tc>
          <w:tcPr>
            <w:tcW w:w="4755" w:type="dxa"/>
            <w:vAlign w:val="center"/>
          </w:tcPr>
          <w:p w14:paraId="412DD7F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生境面积、质量、连通性等</w:t>
            </w:r>
          </w:p>
        </w:tc>
      </w:tr>
      <w:tr w14:paraId="49423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31" w:type="dxa"/>
            <w:vMerge w:val="continue"/>
            <w:vAlign w:val="center"/>
          </w:tcPr>
          <w:p w14:paraId="654604E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130" w:type="dxa"/>
            <w:vAlign w:val="center"/>
          </w:tcPr>
          <w:p w14:paraId="763F1BF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土壤</w:t>
            </w:r>
          </w:p>
        </w:tc>
        <w:tc>
          <w:tcPr>
            <w:tcW w:w="4755" w:type="dxa"/>
            <w:vAlign w:val="center"/>
          </w:tcPr>
          <w:p w14:paraId="3469EDE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土壤类型、分布</w:t>
            </w:r>
            <w:r>
              <w:rPr>
                <w:rFonts w:hint="eastAsia"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土壤侵蚀量、水土流失</w:t>
            </w:r>
          </w:p>
        </w:tc>
      </w:tr>
      <w:tr w14:paraId="1F851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31" w:type="dxa"/>
            <w:vMerge w:val="restart"/>
            <w:vAlign w:val="center"/>
          </w:tcPr>
          <w:p w14:paraId="292711B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空气环境</w:t>
            </w:r>
          </w:p>
        </w:tc>
        <w:tc>
          <w:tcPr>
            <w:tcW w:w="2130" w:type="dxa"/>
            <w:vAlign w:val="center"/>
          </w:tcPr>
          <w:p w14:paraId="5D159A9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现状评价</w:t>
            </w:r>
          </w:p>
        </w:tc>
        <w:tc>
          <w:tcPr>
            <w:tcW w:w="4755" w:type="dxa"/>
            <w:vAlign w:val="center"/>
          </w:tcPr>
          <w:p w14:paraId="15629DE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SO</w:t>
            </w:r>
            <w:r>
              <w:rPr>
                <w:rFonts w:hint="default" w:ascii="Times New Roman" w:hAnsi="Times New Roman" w:eastAsia="宋体" w:cs="Times New Roman"/>
                <w:color w:val="auto"/>
                <w:kern w:val="0"/>
                <w:sz w:val="21"/>
                <w:szCs w:val="21"/>
                <w:vertAlign w:val="subscript"/>
                <w:lang w:val="en-US" w:eastAsia="zh-CN" w:bidi="ar"/>
              </w:rPr>
              <w:t>2</w:t>
            </w:r>
            <w:r>
              <w:rPr>
                <w:rFonts w:hint="default" w:ascii="Times New Roman" w:hAnsi="Times New Roman" w:eastAsia="宋体" w:cs="Times New Roman"/>
                <w:color w:val="auto"/>
                <w:kern w:val="0"/>
                <w:sz w:val="21"/>
                <w:szCs w:val="21"/>
                <w:lang w:val="en-US" w:eastAsia="zh-CN" w:bidi="ar"/>
              </w:rPr>
              <w:t>、NO</w:t>
            </w:r>
            <w:r>
              <w:rPr>
                <w:rFonts w:hint="default" w:ascii="Times New Roman" w:hAnsi="Times New Roman" w:eastAsia="宋体" w:cs="Times New Roman"/>
                <w:color w:val="auto"/>
                <w:kern w:val="0"/>
                <w:sz w:val="21"/>
                <w:szCs w:val="21"/>
                <w:vertAlign w:val="subscript"/>
                <w:lang w:val="en-US" w:eastAsia="zh-CN" w:bidi="ar"/>
              </w:rPr>
              <w:t>2</w:t>
            </w:r>
            <w:r>
              <w:rPr>
                <w:rFonts w:hint="default" w:ascii="Times New Roman" w:hAnsi="Times New Roman" w:eastAsia="宋体" w:cs="Times New Roman"/>
                <w:color w:val="auto"/>
                <w:kern w:val="0"/>
                <w:sz w:val="21"/>
                <w:szCs w:val="21"/>
                <w:lang w:val="en-US" w:eastAsia="zh-CN" w:bidi="ar"/>
              </w:rPr>
              <w:t>、PM</w:t>
            </w:r>
            <w:r>
              <w:rPr>
                <w:rFonts w:hint="default" w:ascii="Times New Roman" w:hAnsi="Times New Roman" w:eastAsia="宋体" w:cs="Times New Roman"/>
                <w:color w:val="auto"/>
                <w:kern w:val="0"/>
                <w:sz w:val="21"/>
                <w:szCs w:val="21"/>
                <w:vertAlign w:val="subscript"/>
                <w:lang w:val="en-US" w:eastAsia="zh-CN" w:bidi="ar"/>
              </w:rPr>
              <w:t>10</w:t>
            </w:r>
            <w:r>
              <w:rPr>
                <w:rFonts w:hint="default" w:ascii="Times New Roman" w:hAnsi="Times New Roman" w:eastAsia="宋体" w:cs="Times New Roman"/>
                <w:color w:val="auto"/>
                <w:kern w:val="0"/>
                <w:sz w:val="21"/>
                <w:szCs w:val="21"/>
                <w:lang w:val="en-US" w:eastAsia="zh-CN" w:bidi="ar"/>
              </w:rPr>
              <w:t>、PM</w:t>
            </w:r>
            <w:r>
              <w:rPr>
                <w:rFonts w:hint="default" w:ascii="Times New Roman" w:hAnsi="Times New Roman" w:eastAsia="宋体" w:cs="Times New Roman"/>
                <w:color w:val="auto"/>
                <w:kern w:val="0"/>
                <w:sz w:val="21"/>
                <w:szCs w:val="21"/>
                <w:vertAlign w:val="subscript"/>
                <w:lang w:val="en-US" w:eastAsia="zh-CN" w:bidi="ar"/>
              </w:rPr>
              <w:t>2.5</w:t>
            </w:r>
            <w:r>
              <w:rPr>
                <w:rFonts w:hint="default" w:ascii="Times New Roman" w:hAnsi="Times New Roman" w:eastAsia="宋体" w:cs="Times New Roman"/>
                <w:color w:val="auto"/>
                <w:kern w:val="0"/>
                <w:sz w:val="21"/>
                <w:szCs w:val="21"/>
                <w:lang w:val="en-US" w:eastAsia="zh-CN" w:bidi="ar"/>
              </w:rPr>
              <w:t>、CO、O</w:t>
            </w:r>
            <w:r>
              <w:rPr>
                <w:rFonts w:hint="default" w:ascii="Times New Roman" w:hAnsi="Times New Roman" w:eastAsia="宋体" w:cs="Times New Roman"/>
                <w:color w:val="auto"/>
                <w:kern w:val="0"/>
                <w:sz w:val="21"/>
                <w:szCs w:val="21"/>
                <w:vertAlign w:val="subscript"/>
                <w:lang w:val="en-US" w:eastAsia="zh-CN" w:bidi="ar"/>
              </w:rPr>
              <w:t>3</w:t>
            </w:r>
          </w:p>
        </w:tc>
      </w:tr>
      <w:tr w14:paraId="7EFB3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31" w:type="dxa"/>
            <w:vMerge w:val="continue"/>
            <w:vAlign w:val="center"/>
          </w:tcPr>
          <w:p w14:paraId="1063DF3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130" w:type="dxa"/>
            <w:vAlign w:val="center"/>
          </w:tcPr>
          <w:p w14:paraId="17C577E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施工期评价</w:t>
            </w:r>
          </w:p>
        </w:tc>
        <w:tc>
          <w:tcPr>
            <w:tcW w:w="4755" w:type="dxa"/>
            <w:vAlign w:val="center"/>
          </w:tcPr>
          <w:p w14:paraId="016700F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TSP、沥青烟</w:t>
            </w:r>
          </w:p>
        </w:tc>
      </w:tr>
      <w:tr w14:paraId="05604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31" w:type="dxa"/>
            <w:vMerge w:val="continue"/>
            <w:vAlign w:val="center"/>
          </w:tcPr>
          <w:p w14:paraId="07E0C18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130" w:type="dxa"/>
            <w:vAlign w:val="center"/>
          </w:tcPr>
          <w:p w14:paraId="713D3F3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营运期预测</w:t>
            </w:r>
          </w:p>
        </w:tc>
        <w:tc>
          <w:tcPr>
            <w:tcW w:w="4755" w:type="dxa"/>
            <w:vAlign w:val="center"/>
          </w:tcPr>
          <w:p w14:paraId="7A5B745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THC、NO</w:t>
            </w:r>
            <w:r>
              <w:rPr>
                <w:rFonts w:hint="default" w:ascii="Times New Roman" w:hAnsi="Times New Roman" w:eastAsia="宋体" w:cs="Times New Roman"/>
                <w:color w:val="auto"/>
                <w:kern w:val="0"/>
                <w:sz w:val="21"/>
                <w:szCs w:val="21"/>
                <w:vertAlign w:val="subscript"/>
                <w:lang w:val="en-US" w:eastAsia="zh-CN" w:bidi="ar"/>
              </w:rPr>
              <w:t>2</w:t>
            </w:r>
            <w:r>
              <w:rPr>
                <w:rFonts w:hint="default" w:ascii="Times New Roman" w:hAnsi="Times New Roman" w:eastAsia="宋体" w:cs="Times New Roman"/>
                <w:color w:val="auto"/>
                <w:kern w:val="0"/>
                <w:sz w:val="21"/>
                <w:szCs w:val="21"/>
                <w:lang w:val="en-US" w:eastAsia="zh-CN" w:bidi="ar"/>
              </w:rPr>
              <w:t>、CO</w:t>
            </w:r>
          </w:p>
        </w:tc>
      </w:tr>
      <w:tr w14:paraId="74EF1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31" w:type="dxa"/>
            <w:vMerge w:val="restart"/>
            <w:vAlign w:val="center"/>
          </w:tcPr>
          <w:p w14:paraId="10EEA5A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声环境</w:t>
            </w:r>
          </w:p>
        </w:tc>
        <w:tc>
          <w:tcPr>
            <w:tcW w:w="2130" w:type="dxa"/>
            <w:vAlign w:val="center"/>
          </w:tcPr>
          <w:p w14:paraId="403447E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现状评价</w:t>
            </w:r>
          </w:p>
        </w:tc>
        <w:tc>
          <w:tcPr>
            <w:tcW w:w="4755" w:type="dxa"/>
            <w:vAlign w:val="center"/>
          </w:tcPr>
          <w:p w14:paraId="69CF1A8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等效连续A声级，Leq（A）</w:t>
            </w:r>
          </w:p>
        </w:tc>
      </w:tr>
      <w:tr w14:paraId="6EEA9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31" w:type="dxa"/>
            <w:vMerge w:val="continue"/>
            <w:vAlign w:val="center"/>
          </w:tcPr>
          <w:p w14:paraId="25B5E50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130" w:type="dxa"/>
            <w:vAlign w:val="center"/>
          </w:tcPr>
          <w:p w14:paraId="12C4E76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施工期评价</w:t>
            </w:r>
          </w:p>
        </w:tc>
        <w:tc>
          <w:tcPr>
            <w:tcW w:w="4755" w:type="dxa"/>
            <w:vAlign w:val="center"/>
          </w:tcPr>
          <w:p w14:paraId="5273B97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施工期等效连续A声级</w:t>
            </w:r>
          </w:p>
        </w:tc>
      </w:tr>
      <w:tr w14:paraId="3F195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31" w:type="dxa"/>
            <w:vMerge w:val="continue"/>
            <w:vAlign w:val="center"/>
          </w:tcPr>
          <w:p w14:paraId="66AA80D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130" w:type="dxa"/>
            <w:vAlign w:val="center"/>
          </w:tcPr>
          <w:p w14:paraId="3BF72A0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营运期预测</w:t>
            </w:r>
          </w:p>
        </w:tc>
        <w:tc>
          <w:tcPr>
            <w:tcW w:w="4755" w:type="dxa"/>
            <w:vAlign w:val="center"/>
          </w:tcPr>
          <w:p w14:paraId="2C4FC21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运营期等效连续A声级</w:t>
            </w:r>
          </w:p>
        </w:tc>
      </w:tr>
      <w:tr w14:paraId="777F7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31" w:type="dxa"/>
            <w:vMerge w:val="restart"/>
            <w:vAlign w:val="center"/>
          </w:tcPr>
          <w:p w14:paraId="6286BBB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地表水环境</w:t>
            </w:r>
          </w:p>
        </w:tc>
        <w:tc>
          <w:tcPr>
            <w:tcW w:w="2130" w:type="dxa"/>
            <w:vAlign w:val="center"/>
          </w:tcPr>
          <w:p w14:paraId="11D3321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施工期评价</w:t>
            </w:r>
          </w:p>
        </w:tc>
        <w:tc>
          <w:tcPr>
            <w:tcW w:w="4755" w:type="dxa"/>
            <w:vMerge w:val="restart"/>
            <w:vAlign w:val="center"/>
          </w:tcPr>
          <w:p w14:paraId="7015AC3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pH、COD、BOD</w:t>
            </w:r>
            <w:r>
              <w:rPr>
                <w:rFonts w:hint="default" w:ascii="Times New Roman" w:hAnsi="Times New Roman" w:eastAsia="宋体" w:cs="Times New Roman"/>
                <w:color w:val="auto"/>
                <w:kern w:val="0"/>
                <w:sz w:val="21"/>
                <w:szCs w:val="21"/>
                <w:vertAlign w:val="subscript"/>
                <w:lang w:val="en-US" w:eastAsia="zh-CN" w:bidi="ar"/>
              </w:rPr>
              <w:t>5</w:t>
            </w:r>
            <w:r>
              <w:rPr>
                <w:rFonts w:hint="default" w:ascii="Times New Roman" w:hAnsi="Times New Roman" w:eastAsia="宋体" w:cs="Times New Roman"/>
                <w:color w:val="auto"/>
                <w:kern w:val="0"/>
                <w:sz w:val="21"/>
                <w:szCs w:val="21"/>
                <w:lang w:val="en-US" w:eastAsia="zh-CN" w:bidi="ar"/>
              </w:rPr>
              <w:t>、石油类、氨氮、高锰酸钾指数、SS</w:t>
            </w:r>
          </w:p>
        </w:tc>
      </w:tr>
      <w:tr w14:paraId="0E6DE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31" w:type="dxa"/>
            <w:vMerge w:val="continue"/>
            <w:vAlign w:val="center"/>
          </w:tcPr>
          <w:p w14:paraId="7EB4D0F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130" w:type="dxa"/>
            <w:vAlign w:val="center"/>
          </w:tcPr>
          <w:p w14:paraId="0FC3505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运营期评价</w:t>
            </w:r>
          </w:p>
        </w:tc>
        <w:tc>
          <w:tcPr>
            <w:tcW w:w="4755" w:type="dxa"/>
            <w:vMerge w:val="continue"/>
            <w:vAlign w:val="center"/>
          </w:tcPr>
          <w:p w14:paraId="4AB9F2D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r>
      <w:tr w14:paraId="18C31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31" w:type="dxa"/>
            <w:vMerge w:val="restart"/>
            <w:vAlign w:val="center"/>
          </w:tcPr>
          <w:p w14:paraId="2CD27B4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固体废物</w:t>
            </w:r>
          </w:p>
        </w:tc>
        <w:tc>
          <w:tcPr>
            <w:tcW w:w="2130" w:type="dxa"/>
            <w:vAlign w:val="center"/>
          </w:tcPr>
          <w:p w14:paraId="645E98F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施工期评价</w:t>
            </w:r>
          </w:p>
        </w:tc>
        <w:tc>
          <w:tcPr>
            <w:tcW w:w="4755" w:type="dxa"/>
            <w:vAlign w:val="center"/>
          </w:tcPr>
          <w:p w14:paraId="62283B4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生活垃圾、施工弃渣</w:t>
            </w:r>
          </w:p>
        </w:tc>
      </w:tr>
      <w:tr w14:paraId="29536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31" w:type="dxa"/>
            <w:vMerge w:val="continue"/>
            <w:vAlign w:val="center"/>
          </w:tcPr>
          <w:p w14:paraId="7DE7CA5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130" w:type="dxa"/>
            <w:vAlign w:val="center"/>
          </w:tcPr>
          <w:p w14:paraId="7CD4916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营运期预测</w:t>
            </w:r>
          </w:p>
        </w:tc>
        <w:tc>
          <w:tcPr>
            <w:tcW w:w="4755" w:type="dxa"/>
            <w:vAlign w:val="center"/>
          </w:tcPr>
          <w:p w14:paraId="1D759C4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生活垃圾</w:t>
            </w:r>
          </w:p>
        </w:tc>
      </w:tr>
      <w:tr w14:paraId="52DFE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31" w:type="dxa"/>
            <w:vAlign w:val="center"/>
          </w:tcPr>
          <w:p w14:paraId="05ED903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污染事故风险</w:t>
            </w:r>
          </w:p>
        </w:tc>
        <w:tc>
          <w:tcPr>
            <w:tcW w:w="2130" w:type="dxa"/>
            <w:vAlign w:val="center"/>
          </w:tcPr>
          <w:p w14:paraId="0AFBD1F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营运期预测</w:t>
            </w:r>
          </w:p>
        </w:tc>
        <w:tc>
          <w:tcPr>
            <w:tcW w:w="4755" w:type="dxa"/>
            <w:vAlign w:val="center"/>
          </w:tcPr>
          <w:p w14:paraId="58A8EA2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危险化学品</w:t>
            </w:r>
          </w:p>
        </w:tc>
      </w:tr>
    </w:tbl>
    <w:p w14:paraId="1E772DC6">
      <w:pPr>
        <w:pStyle w:val="3"/>
        <w:keepNext/>
        <w:keepLines/>
        <w:pageBreakBefore w:val="0"/>
        <w:widowControl w:val="0"/>
        <w:numPr>
          <w:ilvl w:val="1"/>
          <w:numId w:val="0"/>
        </w:numPr>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rPr>
      </w:pPr>
      <w:bookmarkStart w:id="679" w:name="_Toc4130"/>
      <w:bookmarkStart w:id="680" w:name="_Toc13177"/>
      <w:bookmarkStart w:id="681" w:name="_Toc6070"/>
      <w:bookmarkStart w:id="682" w:name="_Toc15652"/>
      <w:bookmarkStart w:id="683" w:name="_Toc31376"/>
      <w:bookmarkStart w:id="684" w:name="_Toc29086"/>
      <w:bookmarkStart w:id="685" w:name="_Toc23424"/>
      <w:bookmarkStart w:id="686" w:name="_Toc17009"/>
      <w:bookmarkStart w:id="687" w:name="_Toc587"/>
      <w:bookmarkStart w:id="688" w:name="_Toc22611"/>
      <w:bookmarkStart w:id="689" w:name="_Toc6976"/>
      <w:bookmarkStart w:id="690" w:name="_Toc2875"/>
      <w:r>
        <w:rPr>
          <w:rFonts w:hint="default" w:ascii="Times New Roman" w:hAnsi="Times New Roman" w:cs="Times New Roman"/>
          <w:color w:val="auto"/>
          <w:lang w:val="en-US" w:eastAsia="zh-CN"/>
        </w:rPr>
        <w:t>2.4</w:t>
      </w:r>
      <w:bookmarkEnd w:id="650"/>
      <w:bookmarkEnd w:id="651"/>
      <w:bookmarkEnd w:id="652"/>
      <w:bookmarkEnd w:id="653"/>
      <w:bookmarkEnd w:id="654"/>
      <w:bookmarkEnd w:id="655"/>
      <w:bookmarkEnd w:id="656"/>
      <w:bookmarkEnd w:id="657"/>
      <w:r>
        <w:rPr>
          <w:rFonts w:hint="default" w:ascii="Times New Roman" w:hAnsi="Times New Roman" w:cs="Times New Roman"/>
          <w:color w:val="auto"/>
          <w:lang w:val="en-US" w:eastAsia="zh-CN"/>
        </w:rPr>
        <w:t xml:space="preserve"> </w:t>
      </w:r>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r>
        <w:rPr>
          <w:rFonts w:hint="default" w:ascii="Times New Roman" w:hAnsi="Times New Roman" w:cs="Times New Roman"/>
          <w:color w:val="auto"/>
          <w:lang w:val="en-US" w:eastAsia="zh-CN"/>
        </w:rPr>
        <w:t>环境功能区划和评价标准</w:t>
      </w:r>
      <w:bookmarkEnd w:id="679"/>
      <w:bookmarkEnd w:id="680"/>
      <w:bookmarkEnd w:id="681"/>
      <w:bookmarkEnd w:id="682"/>
      <w:bookmarkEnd w:id="683"/>
      <w:bookmarkEnd w:id="684"/>
      <w:bookmarkEnd w:id="685"/>
      <w:bookmarkEnd w:id="686"/>
      <w:bookmarkEnd w:id="687"/>
      <w:bookmarkEnd w:id="688"/>
      <w:bookmarkEnd w:id="689"/>
      <w:bookmarkEnd w:id="690"/>
    </w:p>
    <w:p w14:paraId="5596D5A3">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2.4.1 环境功能区划</w:t>
      </w:r>
    </w:p>
    <w:p w14:paraId="640DBE54">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本项目位于</w:t>
      </w:r>
      <w:r>
        <w:rPr>
          <w:rFonts w:hint="default" w:ascii="Times New Roman" w:hAnsi="Times New Roman" w:cs="Times New Roman"/>
          <w:color w:val="auto"/>
          <w:sz w:val="24"/>
          <w:szCs w:val="24"/>
          <w:highlight w:val="none"/>
          <w:lang w:val="en-US" w:eastAsia="zh-CN"/>
        </w:rPr>
        <w:t>新疆维吾尔自治区克州阿图什市、喀什地区喀什市</w:t>
      </w:r>
      <w:r>
        <w:rPr>
          <w:rFonts w:hint="default" w:ascii="Times New Roman" w:hAnsi="Times New Roman" w:cs="Times New Roman"/>
          <w:color w:val="auto"/>
          <w:lang w:val="en-US" w:eastAsia="zh-CN"/>
        </w:rPr>
        <w:t>，</w:t>
      </w:r>
      <w:r>
        <w:rPr>
          <w:rFonts w:hint="default" w:ascii="Times New Roman" w:hAnsi="Times New Roman" w:cs="Times New Roman"/>
          <w:color w:val="auto"/>
          <w:kern w:val="0"/>
          <w:sz w:val="24"/>
          <w:szCs w:val="24"/>
          <w:lang w:val="en-US" w:eastAsia="zh-CN" w:bidi="ar"/>
        </w:rPr>
        <w:t>本项目在</w:t>
      </w:r>
      <w:r>
        <w:rPr>
          <w:rFonts w:hint="default" w:ascii="Times New Roman" w:hAnsi="Times New Roman" w:cs="Times New Roman"/>
          <w:color w:val="auto"/>
        </w:rPr>
        <w:t>新疆维吾尔自治区主体功能区规划</w:t>
      </w:r>
      <w:r>
        <w:rPr>
          <w:rFonts w:hint="default" w:ascii="Times New Roman" w:hAnsi="Times New Roman" w:cs="Times New Roman"/>
          <w:color w:val="auto"/>
          <w:lang w:eastAsia="zh-CN"/>
        </w:rPr>
        <w:t>图</w:t>
      </w:r>
      <w:r>
        <w:rPr>
          <w:rFonts w:hint="default" w:ascii="Times New Roman" w:hAnsi="Times New Roman" w:cs="Times New Roman"/>
          <w:color w:val="auto"/>
          <w:kern w:val="0"/>
          <w:sz w:val="24"/>
          <w:szCs w:val="24"/>
          <w:lang w:val="en-US" w:eastAsia="zh-CN" w:bidi="ar"/>
        </w:rPr>
        <w:t>中的位置</w:t>
      </w:r>
      <w:r>
        <w:rPr>
          <w:rFonts w:hint="default" w:ascii="Times New Roman" w:hAnsi="Times New Roman" w:eastAsia="宋体" w:cs="Times New Roman"/>
          <w:color w:val="auto"/>
          <w:kern w:val="0"/>
          <w:sz w:val="24"/>
          <w:szCs w:val="24"/>
          <w:lang w:val="en-US" w:eastAsia="zh-CN" w:bidi="ar"/>
        </w:rPr>
        <w:t>见图2.</w:t>
      </w:r>
      <w:r>
        <w:rPr>
          <w:rFonts w:hint="default" w:ascii="Times New Roman" w:hAnsi="Times New Roman" w:cs="Times New Roman"/>
          <w:color w:val="auto"/>
          <w:kern w:val="0"/>
          <w:sz w:val="24"/>
          <w:szCs w:val="24"/>
          <w:lang w:val="en-US" w:eastAsia="zh-CN" w:bidi="ar"/>
        </w:rPr>
        <w:t>4</w:t>
      </w:r>
      <w:r>
        <w:rPr>
          <w:rFonts w:hint="default" w:ascii="Times New Roman" w:hAnsi="Times New Roman" w:eastAsia="宋体" w:cs="Times New Roman"/>
          <w:color w:val="auto"/>
          <w:kern w:val="0"/>
          <w:sz w:val="24"/>
          <w:szCs w:val="24"/>
          <w:lang w:val="en-US" w:eastAsia="zh-CN" w:bidi="ar"/>
        </w:rPr>
        <w:t>-1。</w:t>
      </w:r>
    </w:p>
    <w:p w14:paraId="33DF7D1D">
      <w:pPr>
        <w:bidi w:val="0"/>
        <w:rPr>
          <w:rFonts w:hint="default" w:ascii="Times New Roman" w:hAnsi="Times New Roman" w:cs="Times New Roman"/>
          <w:color w:val="auto"/>
        </w:rPr>
      </w:pPr>
      <w:r>
        <w:rPr>
          <w:rFonts w:hint="default" w:ascii="Times New Roman" w:hAnsi="Times New Roman" w:cs="Times New Roman"/>
          <w:color w:val="auto"/>
          <w:lang w:val="en-US" w:eastAsia="zh-CN"/>
        </w:rPr>
        <w:t>（1）声环境</w:t>
      </w:r>
    </w:p>
    <w:p w14:paraId="6990DF05">
      <w:pPr>
        <w:bidi w:val="0"/>
        <w:rPr>
          <w:rFonts w:hint="default" w:ascii="Times New Roman" w:hAnsi="Times New Roman" w:cs="Times New Roman"/>
          <w:color w:val="auto"/>
          <w:lang w:val="en-US"/>
        </w:rPr>
      </w:pPr>
      <w:r>
        <w:rPr>
          <w:rFonts w:hint="default" w:ascii="Times New Roman" w:hAnsi="Times New Roman" w:cs="Times New Roman"/>
          <w:color w:val="auto"/>
          <w:lang w:val="en-US" w:eastAsia="zh-CN"/>
        </w:rPr>
        <w:t>根据《声环境质量标准》（GB 3096-2008）声功能区分类和《声环境功能区划分技术规范》</w:t>
      </w:r>
      <w:r>
        <w:rPr>
          <w:rFonts w:hint="default" w:ascii="Times New Roman" w:hAnsi="Times New Roman" w:cs="Times New Roman"/>
          <w:color w:val="auto"/>
          <w:highlight w:val="none"/>
          <w:lang w:val="en-US" w:eastAsia="zh-CN"/>
        </w:rPr>
        <w:t>（GB/T 15190-2014）</w:t>
      </w:r>
      <w:r>
        <w:rPr>
          <w:rFonts w:hint="default" w:ascii="Times New Roman" w:hAnsi="Times New Roman" w:cs="Times New Roman"/>
          <w:color w:val="auto"/>
          <w:lang w:val="en-US" w:eastAsia="zh-CN"/>
        </w:rPr>
        <w:t>，本工程起点</w:t>
      </w:r>
      <w:r>
        <w:rPr>
          <w:rFonts w:hint="eastAsia" w:cs="Times New Roman"/>
          <w:color w:val="auto"/>
          <w:lang w:val="en-US" w:eastAsia="zh-CN"/>
        </w:rPr>
        <w:t>至喀什中亚南亚经济技术开发区</w:t>
      </w:r>
      <w:r>
        <w:rPr>
          <w:rFonts w:hint="default" w:ascii="Times New Roman" w:hAnsi="Times New Roman" w:cs="Times New Roman"/>
          <w:color w:val="auto"/>
          <w:lang w:val="en-US" w:eastAsia="zh-CN"/>
        </w:rPr>
        <w:t>路段（</w:t>
      </w:r>
      <w:r>
        <w:rPr>
          <w:rFonts w:hint="eastAsia" w:cs="Times New Roman"/>
          <w:color w:val="auto"/>
          <w:lang w:val="en-US" w:eastAsia="zh-CN"/>
        </w:rPr>
        <w:t>K5+546至K10+853</w:t>
      </w:r>
      <w:r>
        <w:rPr>
          <w:rFonts w:hint="default" w:ascii="Times New Roman" w:hAnsi="Times New Roman" w:cs="Times New Roman"/>
          <w:color w:val="auto"/>
          <w:lang w:val="en-US" w:eastAsia="zh-CN"/>
        </w:rPr>
        <w:t>），公路红线外35m以内执行4a类标准，35m外执行2类标准；项目</w:t>
      </w:r>
      <w:r>
        <w:rPr>
          <w:rFonts w:hint="eastAsia" w:cs="Times New Roman"/>
          <w:color w:val="auto"/>
          <w:lang w:val="en-US" w:eastAsia="zh-CN"/>
        </w:rPr>
        <w:t>K10+853至K10+931属于</w:t>
      </w:r>
      <w:r>
        <w:rPr>
          <w:rFonts w:hint="default" w:ascii="Times New Roman" w:hAnsi="Times New Roman" w:cs="Times New Roman"/>
          <w:color w:val="auto"/>
          <w:lang w:val="en-US" w:eastAsia="zh-CN"/>
        </w:rPr>
        <w:t>喀什市经济开发区路段，公路红线外20m内执行4a类标准，20m外执行3类区标准。</w:t>
      </w:r>
    </w:p>
    <w:p w14:paraId="68EEF871">
      <w:pPr>
        <w:bidi w:val="0"/>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2</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空气环境</w:t>
      </w:r>
    </w:p>
    <w:p w14:paraId="3D738F50">
      <w:pPr>
        <w:bidi w:val="0"/>
        <w:rPr>
          <w:rFonts w:hint="default" w:ascii="Times New Roman" w:hAnsi="Times New Roman" w:cs="Times New Roman"/>
          <w:color w:val="auto"/>
        </w:rPr>
      </w:pPr>
      <w:r>
        <w:rPr>
          <w:rFonts w:hint="default" w:ascii="Times New Roman" w:hAnsi="Times New Roman" w:cs="Times New Roman"/>
          <w:color w:val="auto"/>
          <w:lang w:val="en-US" w:eastAsia="zh-CN"/>
        </w:rPr>
        <w:t>本工程沿线不涉及其他自然保护区、风景名胜区和其他需要特殊保护的地区。根据《环境空气质量标准》（GB 3095-20</w:t>
      </w:r>
      <w:r>
        <w:rPr>
          <w:rFonts w:hint="eastAsia" w:cs="Times New Roman"/>
          <w:color w:val="auto"/>
          <w:lang w:val="en-US" w:eastAsia="zh-CN"/>
        </w:rPr>
        <w:t>26</w:t>
      </w:r>
      <w:r>
        <w:rPr>
          <w:rFonts w:hint="default" w:ascii="Times New Roman" w:hAnsi="Times New Roman" w:cs="Times New Roman"/>
          <w:color w:val="auto"/>
          <w:lang w:val="en-US" w:eastAsia="zh-CN"/>
        </w:rPr>
        <w:t>）中环境空气功能区分类，本工程沿线区域环境空气功能区为二类区。</w:t>
      </w:r>
    </w:p>
    <w:p w14:paraId="6AAADE4A">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（3）水环境</w:t>
      </w:r>
    </w:p>
    <w:p w14:paraId="5939AB26">
      <w:pPr>
        <w:keepNext w:val="0"/>
        <w:keepLines w:val="0"/>
        <w:pageBreakBefore w:val="0"/>
        <w:widowControl w:val="0"/>
        <w:tabs>
          <w:tab w:val="left" w:pos="2848"/>
        </w:tabs>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本工程评价范围内不涉及地表水体，距离最近的地表水为</w:t>
      </w:r>
      <w:r>
        <w:rPr>
          <w:rFonts w:hint="default" w:ascii="Times New Roman" w:hAnsi="Times New Roman" w:cs="Times New Roman"/>
          <w:color w:val="auto"/>
          <w:kern w:val="0"/>
          <w:sz w:val="24"/>
          <w:szCs w:val="20"/>
          <w:lang w:val="en-US" w:eastAsia="zh-CN"/>
        </w:rPr>
        <w:t>恰克马克河</w:t>
      </w:r>
      <w:r>
        <w:rPr>
          <w:rFonts w:hint="default" w:ascii="Times New Roman" w:hAnsi="Times New Roman" w:cs="Times New Roman"/>
          <w:color w:val="auto"/>
          <w:lang w:val="en-US" w:eastAsia="zh-CN"/>
        </w:rPr>
        <w:t>，位于路线起点北侧约2.7km，其水环境功能区划为Ⅱ类水体。</w:t>
      </w:r>
    </w:p>
    <w:p w14:paraId="76A10623">
      <w:pPr>
        <w:keepNext w:val="0"/>
        <w:keepLines w:val="0"/>
        <w:pageBreakBefore w:val="0"/>
        <w:widowControl w:val="0"/>
        <w:tabs>
          <w:tab w:val="left" w:pos="2848"/>
        </w:tabs>
        <w:kinsoku/>
        <w:wordWrap/>
        <w:overflowPunct/>
        <w:topLinePunct w:val="0"/>
        <w:autoSpaceDE/>
        <w:autoSpaceDN/>
        <w:bidi w:val="0"/>
        <w:adjustRightInd w:val="0"/>
        <w:snapToGrid w:val="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（4）生态环境</w:t>
      </w:r>
    </w:p>
    <w:p w14:paraId="209D97C3">
      <w:pPr>
        <w:bidi w:val="0"/>
        <w:rPr>
          <w:rFonts w:hint="default" w:ascii="Times New Roman" w:hAnsi="Times New Roman" w:cs="Times New Roman"/>
          <w:color w:val="auto"/>
        </w:rPr>
      </w:pPr>
      <w:r>
        <w:rPr>
          <w:rFonts w:hint="default" w:ascii="Times New Roman" w:hAnsi="Times New Roman" w:cs="Times New Roman"/>
          <w:color w:val="auto"/>
          <w:lang w:val="en-US" w:eastAsia="zh-CN"/>
        </w:rPr>
        <w:t>根据《新疆生态功能区划》，工程所在区域属于Ⅳ塔里木盆地暖温荒漠及绿洲农业生态区，Ⅳ1 塔里木盆地西部、北部荒漠及绿洲农业生态亚区，57.喀什三角洲绿洲农业盐渍化敏感生态功能区，见</w:t>
      </w:r>
      <w:r>
        <w:rPr>
          <w:rFonts w:hint="default" w:ascii="Times New Roman" w:hAnsi="Times New Roman" w:cs="Times New Roman"/>
          <w:color w:val="auto"/>
          <w:highlight w:val="none"/>
          <w:lang w:val="en-US" w:eastAsia="zh-CN"/>
        </w:rPr>
        <w:t>图2.4-2。</w:t>
      </w:r>
    </w:p>
    <w:p w14:paraId="5E2A8957">
      <w:pPr>
        <w:bidi w:val="0"/>
        <w:rPr>
          <w:rFonts w:hint="default" w:ascii="Times New Roman" w:hAnsi="Times New Roman" w:cs="Times New Roman"/>
          <w:color w:val="auto"/>
        </w:rPr>
      </w:pPr>
      <w:r>
        <w:rPr>
          <w:rFonts w:hint="default" w:ascii="Times New Roman" w:hAnsi="Times New Roman" w:cs="Times New Roman"/>
          <w:color w:val="auto"/>
          <w:lang w:val="en-US" w:eastAsia="zh-CN"/>
        </w:rPr>
        <w:t>该区域主要生态服务功能为农畜产品生产、荒漠化控制、旅游；主要生态敏感因子、敏感程度为生物多样性及其生境中度敏感，土地沙漠化、土壤盐渍化高度敏感；主要保护目标为保护人群身体健康、保护水资源、保护农田、保护荒漠植被、保护文物古迹与民俗风情；主要保护措施为改善人畜饮用水质、防治地方病、引洪放淤扩大植被覆盖、建设城镇污水处理系统、加强农田投入品的使用管理；适宜发展方向为以农牧业为基础，建设棉花及特色林果业基地，发展民俗风情旅游。</w:t>
      </w:r>
    </w:p>
    <w:p w14:paraId="234D95F2">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2.4.2 评价标准</w:t>
      </w:r>
    </w:p>
    <w:p w14:paraId="4889A80C">
      <w:pPr>
        <w:bidi w:val="0"/>
        <w:rPr>
          <w:rFonts w:hint="default" w:ascii="Times New Roman" w:hAnsi="Times New Roman" w:cs="Times New Roman"/>
          <w:color w:val="auto"/>
        </w:rPr>
      </w:pPr>
      <w:r>
        <w:rPr>
          <w:rFonts w:hint="default" w:ascii="Times New Roman" w:hAnsi="Times New Roman" w:cs="Times New Roman"/>
          <w:color w:val="auto"/>
          <w:lang w:val="en-US" w:eastAsia="zh-CN"/>
        </w:rPr>
        <w:t>（1）环境质量标准</w:t>
      </w:r>
    </w:p>
    <w:p w14:paraId="436271AA">
      <w:pPr>
        <w:bidi w:val="0"/>
        <w:rPr>
          <w:rFonts w:hint="default" w:ascii="Times New Roman" w:hAnsi="Times New Roman" w:cs="Times New Roman"/>
          <w:color w:val="auto"/>
        </w:rPr>
      </w:pPr>
      <w:r>
        <w:rPr>
          <w:rFonts w:hint="default" w:ascii="Times New Roman" w:hAnsi="Times New Roman" w:cs="Times New Roman"/>
          <w:color w:val="auto"/>
          <w:lang w:val="en-US" w:eastAsia="zh-CN"/>
        </w:rPr>
        <w:t>1）声环境</w:t>
      </w:r>
    </w:p>
    <w:p w14:paraId="39D8F5AA">
      <w:pPr>
        <w:bidi w:val="0"/>
        <w:rPr>
          <w:rFonts w:hint="default" w:ascii="Times New Roman" w:hAnsi="Times New Roman" w:cs="Times New Roman"/>
          <w:color w:val="auto"/>
        </w:rPr>
      </w:pPr>
      <w:r>
        <w:rPr>
          <w:rFonts w:hint="default" w:ascii="Times New Roman" w:hAnsi="Times New Roman" w:cs="Times New Roman"/>
          <w:color w:val="auto"/>
          <w:lang w:val="en-US" w:eastAsia="zh-CN"/>
        </w:rPr>
        <w:t>按《声环境质量标准》（GB 3096-2008）执行，拟建道路沿线未划分环境功能区划，参照执行2类、3类及4a类环境噪声标准。</w:t>
      </w:r>
    </w:p>
    <w:p w14:paraId="16FDDBF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b/>
          <w:color w:val="auto"/>
          <w:kern w:val="2"/>
          <w:sz w:val="21"/>
          <w:szCs w:val="21"/>
          <w:lang w:val="en-US" w:eastAsia="zh-CN" w:bidi="ar-SA"/>
        </w:rPr>
        <w:t>表2.4-</w:t>
      </w:r>
      <w:r>
        <w:rPr>
          <w:rFonts w:hint="default" w:ascii="Times New Roman" w:hAnsi="Times New Roman" w:cs="Times New Roman"/>
          <w:b/>
          <w:color w:val="auto"/>
          <w:kern w:val="2"/>
          <w:sz w:val="21"/>
          <w:szCs w:val="21"/>
          <w:lang w:val="en-US" w:eastAsia="zh-CN" w:bidi="ar-SA"/>
        </w:rPr>
        <w:t>1</w:t>
      </w:r>
      <w:r>
        <w:rPr>
          <w:rFonts w:hint="default" w:ascii="Times New Roman" w:hAnsi="Times New Roman" w:eastAsia="宋体" w:cs="Times New Roman"/>
          <w:b/>
          <w:color w:val="auto"/>
          <w:kern w:val="2"/>
          <w:sz w:val="21"/>
          <w:szCs w:val="21"/>
          <w:lang w:val="en-US" w:eastAsia="zh-CN" w:bidi="ar-SA"/>
        </w:rPr>
        <w:t xml:space="preserve"> 声环境质量标准（GB 3096-2008）（摘录） 单位：dB（A）</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757"/>
        <w:gridCol w:w="742"/>
        <w:gridCol w:w="6167"/>
      </w:tblGrid>
      <w:tr w14:paraId="072A1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850" w:type="dxa"/>
            <w:vAlign w:val="center"/>
          </w:tcPr>
          <w:p w14:paraId="3F97252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类别</w:t>
            </w:r>
          </w:p>
        </w:tc>
        <w:tc>
          <w:tcPr>
            <w:tcW w:w="757" w:type="dxa"/>
            <w:vAlign w:val="center"/>
          </w:tcPr>
          <w:p w14:paraId="0C0654A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昼间</w:t>
            </w:r>
          </w:p>
        </w:tc>
        <w:tc>
          <w:tcPr>
            <w:tcW w:w="742" w:type="dxa"/>
            <w:vAlign w:val="center"/>
          </w:tcPr>
          <w:p w14:paraId="78F1DD6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夜间</w:t>
            </w:r>
          </w:p>
        </w:tc>
        <w:tc>
          <w:tcPr>
            <w:tcW w:w="6167" w:type="dxa"/>
            <w:vAlign w:val="center"/>
          </w:tcPr>
          <w:p w14:paraId="3455C83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适用区域</w:t>
            </w:r>
          </w:p>
        </w:tc>
      </w:tr>
      <w:tr w14:paraId="4BD56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Align w:val="center"/>
          </w:tcPr>
          <w:p w14:paraId="08AE460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2类</w:t>
            </w:r>
          </w:p>
        </w:tc>
        <w:tc>
          <w:tcPr>
            <w:tcW w:w="757" w:type="dxa"/>
            <w:vAlign w:val="center"/>
          </w:tcPr>
          <w:p w14:paraId="5ABA1DA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1"/>
                <w:szCs w:val="21"/>
                <w:vertAlign w:val="baseline"/>
                <w:lang w:val="en-US" w:eastAsia="zh-CN" w:bidi="ar"/>
              </w:rPr>
            </w:pPr>
            <w:r>
              <w:rPr>
                <w:rFonts w:hint="default" w:ascii="Times New Roman" w:hAnsi="Times New Roman" w:cs="Times New Roman"/>
                <w:color w:val="auto"/>
                <w:kern w:val="0"/>
                <w:sz w:val="21"/>
                <w:szCs w:val="21"/>
                <w:vertAlign w:val="baseline"/>
                <w:lang w:val="en-US" w:eastAsia="zh-CN" w:bidi="ar"/>
              </w:rPr>
              <w:t>60</w:t>
            </w:r>
          </w:p>
        </w:tc>
        <w:tc>
          <w:tcPr>
            <w:tcW w:w="742" w:type="dxa"/>
            <w:vAlign w:val="center"/>
          </w:tcPr>
          <w:p w14:paraId="0D1724F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1"/>
                <w:szCs w:val="21"/>
                <w:vertAlign w:val="baseline"/>
                <w:lang w:val="en-US" w:eastAsia="zh-CN" w:bidi="ar"/>
              </w:rPr>
            </w:pPr>
            <w:r>
              <w:rPr>
                <w:rFonts w:hint="default" w:ascii="Times New Roman" w:hAnsi="Times New Roman" w:cs="Times New Roman"/>
                <w:color w:val="auto"/>
                <w:kern w:val="0"/>
                <w:sz w:val="21"/>
                <w:szCs w:val="21"/>
                <w:vertAlign w:val="baseline"/>
                <w:lang w:val="en-US" w:eastAsia="zh-CN" w:bidi="ar"/>
              </w:rPr>
              <w:t>50</w:t>
            </w:r>
          </w:p>
        </w:tc>
        <w:tc>
          <w:tcPr>
            <w:tcW w:w="6167" w:type="dxa"/>
            <w:vAlign w:val="center"/>
          </w:tcPr>
          <w:p w14:paraId="011BD49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工业活动较多的村庄以及有交通干线经过的村庄（指执行4类声环境功能区要求以外的地区）可局部或全部执行2类声环境功能区要求</w:t>
            </w:r>
          </w:p>
        </w:tc>
      </w:tr>
      <w:tr w14:paraId="5BAE2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Align w:val="center"/>
          </w:tcPr>
          <w:p w14:paraId="7036CA4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cs="Times New Roman"/>
                <w:color w:val="auto"/>
                <w:kern w:val="0"/>
                <w:sz w:val="21"/>
                <w:szCs w:val="21"/>
                <w:lang w:val="en-US" w:eastAsia="zh-CN" w:bidi="ar"/>
              </w:rPr>
              <w:t>3</w:t>
            </w:r>
            <w:r>
              <w:rPr>
                <w:rFonts w:hint="default" w:ascii="Times New Roman" w:hAnsi="Times New Roman" w:eastAsia="宋体" w:cs="Times New Roman"/>
                <w:color w:val="auto"/>
                <w:kern w:val="0"/>
                <w:sz w:val="21"/>
                <w:szCs w:val="21"/>
                <w:lang w:val="en-US" w:eastAsia="zh-CN" w:bidi="ar"/>
              </w:rPr>
              <w:t>类</w:t>
            </w:r>
          </w:p>
        </w:tc>
        <w:tc>
          <w:tcPr>
            <w:tcW w:w="757" w:type="dxa"/>
            <w:vAlign w:val="center"/>
          </w:tcPr>
          <w:p w14:paraId="70D37BC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cs="Times New Roman"/>
                <w:color w:val="auto"/>
                <w:kern w:val="0"/>
                <w:sz w:val="21"/>
                <w:szCs w:val="21"/>
                <w:vertAlign w:val="baseline"/>
                <w:lang w:val="en-US" w:eastAsia="zh-CN" w:bidi="ar"/>
              </w:rPr>
              <w:t>65</w:t>
            </w:r>
          </w:p>
        </w:tc>
        <w:tc>
          <w:tcPr>
            <w:tcW w:w="742" w:type="dxa"/>
            <w:vAlign w:val="center"/>
          </w:tcPr>
          <w:p w14:paraId="0A67384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cs="Times New Roman"/>
                <w:color w:val="auto"/>
                <w:kern w:val="0"/>
                <w:sz w:val="21"/>
                <w:szCs w:val="21"/>
                <w:vertAlign w:val="baseline"/>
                <w:lang w:val="en-US" w:eastAsia="zh-CN" w:bidi="ar"/>
              </w:rPr>
              <w:t>55</w:t>
            </w:r>
          </w:p>
        </w:tc>
        <w:tc>
          <w:tcPr>
            <w:tcW w:w="6167" w:type="dxa"/>
            <w:vAlign w:val="center"/>
          </w:tcPr>
          <w:p w14:paraId="32B9E8C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以</w:t>
            </w:r>
            <w:r>
              <w:rPr>
                <w:rFonts w:hint="default" w:ascii="Times New Roman" w:hAnsi="Times New Roman" w:cs="Times New Roman"/>
                <w:color w:val="auto"/>
                <w:kern w:val="0"/>
                <w:sz w:val="21"/>
                <w:szCs w:val="21"/>
                <w:lang w:val="en-US" w:eastAsia="zh-CN" w:bidi="ar"/>
              </w:rPr>
              <w:t>工业生产</w:t>
            </w:r>
            <w:r>
              <w:rPr>
                <w:rFonts w:hint="default" w:ascii="Times New Roman" w:hAnsi="Times New Roman" w:eastAsia="宋体" w:cs="Times New Roman"/>
                <w:color w:val="auto"/>
                <w:kern w:val="0"/>
                <w:sz w:val="21"/>
                <w:szCs w:val="21"/>
                <w:lang w:val="en-US" w:eastAsia="zh-CN" w:bidi="ar"/>
              </w:rPr>
              <w:t>、</w:t>
            </w:r>
            <w:r>
              <w:rPr>
                <w:rFonts w:hint="default" w:ascii="Times New Roman" w:hAnsi="Times New Roman" w:cs="Times New Roman"/>
                <w:color w:val="auto"/>
                <w:kern w:val="0"/>
                <w:sz w:val="21"/>
                <w:szCs w:val="21"/>
                <w:lang w:val="en-US" w:eastAsia="zh-CN" w:bidi="ar"/>
              </w:rPr>
              <w:t>仓储物流为主要功能，需要防止工业噪声对周围环境产生严重影响的区域</w:t>
            </w:r>
          </w:p>
        </w:tc>
      </w:tr>
      <w:tr w14:paraId="466C3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Align w:val="center"/>
          </w:tcPr>
          <w:p w14:paraId="13E0BE7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4a类</w:t>
            </w:r>
          </w:p>
        </w:tc>
        <w:tc>
          <w:tcPr>
            <w:tcW w:w="757" w:type="dxa"/>
            <w:vAlign w:val="center"/>
          </w:tcPr>
          <w:p w14:paraId="4FC743C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70</w:t>
            </w:r>
          </w:p>
        </w:tc>
        <w:tc>
          <w:tcPr>
            <w:tcW w:w="742" w:type="dxa"/>
            <w:vAlign w:val="center"/>
          </w:tcPr>
          <w:p w14:paraId="61204E7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cs="Times New Roman"/>
                <w:color w:val="auto"/>
                <w:kern w:val="0"/>
                <w:sz w:val="21"/>
                <w:szCs w:val="21"/>
                <w:vertAlign w:val="baseline"/>
                <w:lang w:val="en-US" w:eastAsia="zh-CN" w:bidi="ar"/>
              </w:rPr>
              <w:t>55</w:t>
            </w:r>
          </w:p>
        </w:tc>
        <w:tc>
          <w:tcPr>
            <w:tcW w:w="6167" w:type="dxa"/>
            <w:vAlign w:val="center"/>
          </w:tcPr>
          <w:p w14:paraId="119E08C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cs="Times New Roman"/>
                <w:color w:val="auto"/>
                <w:kern w:val="0"/>
                <w:sz w:val="21"/>
                <w:szCs w:val="21"/>
                <w:lang w:val="en-US" w:eastAsia="zh-CN" w:bidi="ar"/>
              </w:rPr>
              <w:t>声环境影响2类</w:t>
            </w:r>
            <w:r>
              <w:rPr>
                <w:rFonts w:hint="default" w:ascii="Times New Roman" w:hAnsi="Times New Roman" w:eastAsia="宋体" w:cs="Times New Roman"/>
                <w:color w:val="auto"/>
                <w:kern w:val="0"/>
                <w:sz w:val="21"/>
                <w:szCs w:val="21"/>
                <w:lang w:val="en-US" w:eastAsia="zh-CN" w:bidi="ar"/>
              </w:rPr>
              <w:t>红线两侧</w:t>
            </w:r>
            <w:r>
              <w:rPr>
                <w:rFonts w:hint="default" w:ascii="Times New Roman" w:hAnsi="Times New Roman" w:cs="Times New Roman"/>
                <w:color w:val="auto"/>
                <w:kern w:val="0"/>
                <w:sz w:val="21"/>
                <w:szCs w:val="21"/>
                <w:lang w:val="en-US" w:eastAsia="zh-CN" w:bidi="ar"/>
              </w:rPr>
              <w:t>35</w:t>
            </w:r>
            <w:r>
              <w:rPr>
                <w:rFonts w:hint="default" w:ascii="Times New Roman" w:hAnsi="Times New Roman" w:eastAsia="宋体" w:cs="Times New Roman"/>
                <w:color w:val="auto"/>
                <w:kern w:val="0"/>
                <w:sz w:val="21"/>
                <w:szCs w:val="21"/>
                <w:lang w:val="en-US" w:eastAsia="zh-CN" w:bidi="ar"/>
              </w:rPr>
              <w:t>m的范围内</w:t>
            </w:r>
          </w:p>
        </w:tc>
      </w:tr>
    </w:tbl>
    <w:p w14:paraId="0F3E1211">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2）环境空气</w:t>
      </w:r>
    </w:p>
    <w:p w14:paraId="55430EB9">
      <w:pPr>
        <w:keepNext w:val="0"/>
        <w:keepLines w:val="0"/>
        <w:pageBreakBefore w:val="0"/>
        <w:widowControl/>
        <w:suppressLineNumbers w:val="0"/>
        <w:kinsoku/>
        <w:wordWrap/>
        <w:overflowPunct/>
        <w:topLinePunct w:val="0"/>
        <w:autoSpaceDE/>
        <w:autoSpaceDN/>
        <w:bidi w:val="0"/>
        <w:adjustRightInd w:val="0"/>
        <w:snapToGrid w:val="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项目所在地项目2030年</w:t>
      </w:r>
      <w:r>
        <w:rPr>
          <w:rFonts w:hint="eastAsia" w:cs="Times New Roman"/>
          <w:color w:val="auto"/>
          <w:kern w:val="0"/>
          <w:sz w:val="24"/>
          <w:szCs w:val="24"/>
          <w:lang w:val="en-US" w:eastAsia="zh-CN" w:bidi="ar"/>
        </w:rPr>
        <w:t>12月</w:t>
      </w:r>
      <w:r>
        <w:rPr>
          <w:rFonts w:hint="default" w:ascii="Times New Roman" w:hAnsi="Times New Roman" w:eastAsia="宋体" w:cs="Times New Roman"/>
          <w:color w:val="auto"/>
          <w:kern w:val="0"/>
          <w:sz w:val="24"/>
          <w:szCs w:val="24"/>
          <w:lang w:val="en-US" w:eastAsia="zh-CN" w:bidi="ar"/>
        </w:rPr>
        <w:t>31日前执行表1过渡阶段二级浓度限值，2031年1月1日后执行表1二级浓度限值。具体指标见表2.4-</w:t>
      </w:r>
      <w:r>
        <w:rPr>
          <w:rFonts w:hint="default" w:ascii="Times New Roman" w:hAnsi="Times New Roman"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w:t>
      </w:r>
    </w:p>
    <w:p w14:paraId="2A0C633C">
      <w:pPr>
        <w:pStyle w:val="101"/>
        <w:bidi w:val="0"/>
        <w:jc w:val="center"/>
        <w:rPr>
          <w:rFonts w:hint="default" w:ascii="Times New Roman" w:hAnsi="Times New Roman" w:cs="Times New Roman"/>
          <w:b/>
          <w:color w:val="auto"/>
        </w:rPr>
      </w:pPr>
      <w:r>
        <w:rPr>
          <w:rFonts w:hint="default" w:ascii="Times New Roman" w:hAnsi="Times New Roman" w:cs="Times New Roman"/>
          <w:color w:val="auto"/>
          <w:lang w:val="en-US" w:eastAsia="zh-CN"/>
        </w:rPr>
        <w:t>表2.4-2     环境空气质量标准</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0"/>
        <w:gridCol w:w="1383"/>
        <w:gridCol w:w="1380"/>
        <w:gridCol w:w="1383"/>
        <w:gridCol w:w="1384"/>
        <w:gridCol w:w="1606"/>
      </w:tblGrid>
      <w:tr w14:paraId="56347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80" w:type="dxa"/>
            <w:vMerge w:val="restart"/>
            <w:vAlign w:val="center"/>
          </w:tcPr>
          <w:p w14:paraId="1299A9E9">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序号</w:t>
            </w:r>
          </w:p>
        </w:tc>
        <w:tc>
          <w:tcPr>
            <w:tcW w:w="1383" w:type="dxa"/>
            <w:vMerge w:val="restart"/>
            <w:vAlign w:val="center"/>
          </w:tcPr>
          <w:p w14:paraId="49A03100">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评价因子</w:t>
            </w:r>
          </w:p>
        </w:tc>
        <w:tc>
          <w:tcPr>
            <w:tcW w:w="4147" w:type="dxa"/>
            <w:gridSpan w:val="3"/>
            <w:vAlign w:val="center"/>
          </w:tcPr>
          <w:p w14:paraId="21B16275">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eastAsia" w:ascii="Times New Roman" w:hAnsi="Times New Roman" w:cs="Times New Roman"/>
                <w:color w:val="auto"/>
                <w:kern w:val="0"/>
                <w:sz w:val="21"/>
                <w:szCs w:val="21"/>
                <w:lang w:val="en-US" w:eastAsia="zh-CN" w:bidi="ar"/>
              </w:rPr>
              <w:t>过渡阶段</w:t>
            </w:r>
            <w:r>
              <w:rPr>
                <w:rFonts w:hint="default" w:ascii="Times New Roman" w:hAnsi="Times New Roman" w:eastAsia="宋体" w:cs="Times New Roman"/>
                <w:color w:val="auto"/>
                <w:kern w:val="0"/>
                <w:sz w:val="21"/>
                <w:szCs w:val="21"/>
                <w:lang w:val="en-US" w:eastAsia="zh-CN" w:bidi="ar"/>
              </w:rPr>
              <w:t>标准限值μg /Nm³</w:t>
            </w:r>
          </w:p>
        </w:tc>
        <w:tc>
          <w:tcPr>
            <w:tcW w:w="1606" w:type="dxa"/>
            <w:vMerge w:val="restart"/>
            <w:vAlign w:val="center"/>
          </w:tcPr>
          <w:p w14:paraId="0E0A4C06">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标准来源</w:t>
            </w:r>
          </w:p>
        </w:tc>
      </w:tr>
      <w:tr w14:paraId="08913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80" w:type="dxa"/>
            <w:vMerge w:val="continue"/>
            <w:vAlign w:val="center"/>
          </w:tcPr>
          <w:p w14:paraId="6FF9B5D5">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p>
        </w:tc>
        <w:tc>
          <w:tcPr>
            <w:tcW w:w="1383" w:type="dxa"/>
            <w:vMerge w:val="continue"/>
            <w:vAlign w:val="center"/>
          </w:tcPr>
          <w:p w14:paraId="2EDCB0EB">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p>
        </w:tc>
        <w:tc>
          <w:tcPr>
            <w:tcW w:w="1380" w:type="dxa"/>
            <w:vAlign w:val="center"/>
          </w:tcPr>
          <w:p w14:paraId="76779A53">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年平均</w:t>
            </w:r>
          </w:p>
        </w:tc>
        <w:tc>
          <w:tcPr>
            <w:tcW w:w="1383" w:type="dxa"/>
            <w:vAlign w:val="center"/>
          </w:tcPr>
          <w:p w14:paraId="5272B867">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日平均</w:t>
            </w:r>
          </w:p>
        </w:tc>
        <w:tc>
          <w:tcPr>
            <w:tcW w:w="1384" w:type="dxa"/>
            <w:vAlign w:val="center"/>
          </w:tcPr>
          <w:p w14:paraId="35115A7A">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1小时平均</w:t>
            </w:r>
          </w:p>
        </w:tc>
        <w:tc>
          <w:tcPr>
            <w:tcW w:w="1606" w:type="dxa"/>
            <w:vMerge w:val="continue"/>
            <w:vAlign w:val="center"/>
          </w:tcPr>
          <w:p w14:paraId="59462744">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p>
        </w:tc>
      </w:tr>
      <w:tr w14:paraId="63E15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80" w:type="dxa"/>
            <w:vAlign w:val="center"/>
          </w:tcPr>
          <w:p w14:paraId="62D9261A">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w:t>
            </w:r>
          </w:p>
        </w:tc>
        <w:tc>
          <w:tcPr>
            <w:tcW w:w="1383" w:type="dxa"/>
            <w:vAlign w:val="center"/>
          </w:tcPr>
          <w:p w14:paraId="39CA98E0">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SO</w:t>
            </w:r>
            <w:r>
              <w:rPr>
                <w:rFonts w:hint="default" w:ascii="Times New Roman" w:hAnsi="Times New Roman" w:eastAsia="宋体" w:cs="Times New Roman"/>
                <w:color w:val="auto"/>
                <w:kern w:val="0"/>
                <w:sz w:val="21"/>
                <w:szCs w:val="21"/>
                <w:vertAlign w:val="subscript"/>
                <w:lang w:val="en-US" w:eastAsia="zh-CN" w:bidi="ar"/>
              </w:rPr>
              <w:t>2</w:t>
            </w:r>
          </w:p>
        </w:tc>
        <w:tc>
          <w:tcPr>
            <w:tcW w:w="1380" w:type="dxa"/>
            <w:vAlign w:val="center"/>
          </w:tcPr>
          <w:p w14:paraId="150A28DE">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60</w:t>
            </w:r>
          </w:p>
        </w:tc>
        <w:tc>
          <w:tcPr>
            <w:tcW w:w="1383" w:type="dxa"/>
            <w:vAlign w:val="center"/>
          </w:tcPr>
          <w:p w14:paraId="32C2A766">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150</w:t>
            </w:r>
          </w:p>
        </w:tc>
        <w:tc>
          <w:tcPr>
            <w:tcW w:w="1384" w:type="dxa"/>
            <w:vAlign w:val="center"/>
          </w:tcPr>
          <w:p w14:paraId="06E3DD51">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500</w:t>
            </w:r>
          </w:p>
        </w:tc>
        <w:tc>
          <w:tcPr>
            <w:tcW w:w="1606" w:type="dxa"/>
            <w:vMerge w:val="restart"/>
            <w:vAlign w:val="center"/>
          </w:tcPr>
          <w:p w14:paraId="2A24300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《环境空气质量标准》（GB</w:t>
            </w:r>
            <w:r>
              <w:rPr>
                <w:rFonts w:hint="default" w:ascii="Times New Roman" w:hAnsi="Times New Roman"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3095-20</w:t>
            </w:r>
            <w:r>
              <w:rPr>
                <w:rFonts w:hint="eastAsia" w:cs="Times New Roman"/>
                <w:color w:val="auto"/>
                <w:kern w:val="0"/>
                <w:sz w:val="21"/>
                <w:szCs w:val="21"/>
                <w:lang w:val="en-US" w:eastAsia="zh-CN" w:bidi="ar"/>
              </w:rPr>
              <w:t>26</w:t>
            </w:r>
            <w:r>
              <w:rPr>
                <w:rFonts w:hint="default" w:ascii="Times New Roman" w:hAnsi="Times New Roman" w:eastAsia="宋体" w:cs="Times New Roman"/>
                <w:color w:val="auto"/>
                <w:kern w:val="0"/>
                <w:sz w:val="21"/>
                <w:szCs w:val="21"/>
                <w:lang w:val="en-US" w:eastAsia="zh-CN" w:bidi="ar"/>
              </w:rPr>
              <w:t>）</w:t>
            </w:r>
          </w:p>
          <w:p w14:paraId="04BFCDDB">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二级标准</w:t>
            </w:r>
          </w:p>
        </w:tc>
      </w:tr>
      <w:tr w14:paraId="5F786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80" w:type="dxa"/>
            <w:vAlign w:val="center"/>
          </w:tcPr>
          <w:p w14:paraId="6382E351">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w:t>
            </w:r>
          </w:p>
        </w:tc>
        <w:tc>
          <w:tcPr>
            <w:tcW w:w="1383" w:type="dxa"/>
            <w:vAlign w:val="center"/>
          </w:tcPr>
          <w:p w14:paraId="7A0E46B9">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NO</w:t>
            </w:r>
            <w:r>
              <w:rPr>
                <w:rFonts w:hint="default" w:ascii="Times New Roman" w:hAnsi="Times New Roman" w:eastAsia="宋体" w:cs="Times New Roman"/>
                <w:color w:val="auto"/>
                <w:kern w:val="0"/>
                <w:sz w:val="21"/>
                <w:szCs w:val="21"/>
                <w:vertAlign w:val="subscript"/>
                <w:lang w:val="en-US" w:eastAsia="zh-CN" w:bidi="ar"/>
              </w:rPr>
              <w:t>2</w:t>
            </w:r>
          </w:p>
        </w:tc>
        <w:tc>
          <w:tcPr>
            <w:tcW w:w="1380" w:type="dxa"/>
            <w:vAlign w:val="center"/>
          </w:tcPr>
          <w:p w14:paraId="4D5ADF7B">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eastAsia" w:ascii="Times New Roman" w:hAnsi="Times New Roman" w:cs="Times New Roman"/>
                <w:color w:val="auto"/>
                <w:kern w:val="0"/>
                <w:sz w:val="21"/>
                <w:szCs w:val="21"/>
                <w:lang w:val="en-US" w:eastAsia="zh-CN" w:bidi="ar"/>
              </w:rPr>
              <w:t>4</w:t>
            </w:r>
            <w:r>
              <w:rPr>
                <w:rFonts w:hint="default" w:ascii="Times New Roman" w:hAnsi="Times New Roman" w:eastAsia="宋体" w:cs="Times New Roman"/>
                <w:color w:val="auto"/>
                <w:kern w:val="0"/>
                <w:sz w:val="21"/>
                <w:szCs w:val="21"/>
                <w:lang w:val="en-US" w:eastAsia="zh-CN" w:bidi="ar"/>
              </w:rPr>
              <w:t>0</w:t>
            </w:r>
          </w:p>
        </w:tc>
        <w:tc>
          <w:tcPr>
            <w:tcW w:w="1383" w:type="dxa"/>
            <w:vAlign w:val="center"/>
          </w:tcPr>
          <w:p w14:paraId="2E19E327">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80</w:t>
            </w:r>
          </w:p>
        </w:tc>
        <w:tc>
          <w:tcPr>
            <w:tcW w:w="1384" w:type="dxa"/>
            <w:vAlign w:val="center"/>
          </w:tcPr>
          <w:p w14:paraId="5A095B06">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200</w:t>
            </w:r>
          </w:p>
        </w:tc>
        <w:tc>
          <w:tcPr>
            <w:tcW w:w="1606" w:type="dxa"/>
            <w:vMerge w:val="continue"/>
            <w:vAlign w:val="center"/>
          </w:tcPr>
          <w:p w14:paraId="58C11DF6">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p>
        </w:tc>
      </w:tr>
      <w:tr w14:paraId="37358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80" w:type="dxa"/>
            <w:vAlign w:val="center"/>
          </w:tcPr>
          <w:p w14:paraId="5A7BEBBE">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3</w:t>
            </w:r>
          </w:p>
        </w:tc>
        <w:tc>
          <w:tcPr>
            <w:tcW w:w="1383" w:type="dxa"/>
            <w:vAlign w:val="center"/>
          </w:tcPr>
          <w:p w14:paraId="71CD21ED">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PM</w:t>
            </w:r>
            <w:r>
              <w:rPr>
                <w:rFonts w:hint="default" w:ascii="Times New Roman" w:hAnsi="Times New Roman" w:eastAsia="宋体" w:cs="Times New Roman"/>
                <w:color w:val="auto"/>
                <w:kern w:val="0"/>
                <w:sz w:val="21"/>
                <w:szCs w:val="21"/>
                <w:vertAlign w:val="subscript"/>
                <w:lang w:val="en-US" w:eastAsia="zh-CN" w:bidi="ar"/>
              </w:rPr>
              <w:t>2.5</w:t>
            </w:r>
          </w:p>
        </w:tc>
        <w:tc>
          <w:tcPr>
            <w:tcW w:w="1380" w:type="dxa"/>
            <w:vAlign w:val="center"/>
          </w:tcPr>
          <w:p w14:paraId="0784F08F">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3</w:t>
            </w:r>
            <w:r>
              <w:rPr>
                <w:rFonts w:hint="eastAsia" w:ascii="Times New Roman" w:hAnsi="Times New Roman" w:cs="Times New Roman"/>
                <w:color w:val="auto"/>
                <w:kern w:val="0"/>
                <w:sz w:val="21"/>
                <w:szCs w:val="21"/>
                <w:lang w:val="en-US" w:eastAsia="zh-CN" w:bidi="ar"/>
              </w:rPr>
              <w:t>0</w:t>
            </w:r>
          </w:p>
        </w:tc>
        <w:tc>
          <w:tcPr>
            <w:tcW w:w="1383" w:type="dxa"/>
            <w:vAlign w:val="center"/>
          </w:tcPr>
          <w:p w14:paraId="29D07F13">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lang w:val="en-US"/>
              </w:rPr>
            </w:pPr>
            <w:r>
              <w:rPr>
                <w:rFonts w:hint="eastAsia" w:ascii="Times New Roman" w:hAnsi="Times New Roman" w:cs="Times New Roman"/>
                <w:color w:val="auto"/>
                <w:kern w:val="0"/>
                <w:sz w:val="21"/>
                <w:szCs w:val="21"/>
                <w:lang w:val="en-US" w:eastAsia="zh-CN" w:bidi="ar"/>
              </w:rPr>
              <w:t>60</w:t>
            </w:r>
          </w:p>
        </w:tc>
        <w:tc>
          <w:tcPr>
            <w:tcW w:w="1384" w:type="dxa"/>
            <w:vAlign w:val="center"/>
          </w:tcPr>
          <w:p w14:paraId="353387F9">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w:t>
            </w:r>
          </w:p>
        </w:tc>
        <w:tc>
          <w:tcPr>
            <w:tcW w:w="1606" w:type="dxa"/>
            <w:vMerge w:val="continue"/>
            <w:vAlign w:val="center"/>
          </w:tcPr>
          <w:p w14:paraId="622DF029">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p>
        </w:tc>
      </w:tr>
      <w:tr w14:paraId="125F5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80" w:type="dxa"/>
            <w:vAlign w:val="center"/>
          </w:tcPr>
          <w:p w14:paraId="20BEF07E">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4</w:t>
            </w:r>
          </w:p>
        </w:tc>
        <w:tc>
          <w:tcPr>
            <w:tcW w:w="1383" w:type="dxa"/>
            <w:vAlign w:val="center"/>
          </w:tcPr>
          <w:p w14:paraId="1722C702">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PM</w:t>
            </w:r>
            <w:r>
              <w:rPr>
                <w:rFonts w:hint="default" w:ascii="Times New Roman" w:hAnsi="Times New Roman" w:eastAsia="宋体" w:cs="Times New Roman"/>
                <w:color w:val="auto"/>
                <w:kern w:val="0"/>
                <w:sz w:val="21"/>
                <w:szCs w:val="21"/>
                <w:vertAlign w:val="subscript"/>
                <w:lang w:val="en-US" w:eastAsia="zh-CN" w:bidi="ar"/>
              </w:rPr>
              <w:t>10</w:t>
            </w:r>
          </w:p>
        </w:tc>
        <w:tc>
          <w:tcPr>
            <w:tcW w:w="1380" w:type="dxa"/>
            <w:vAlign w:val="center"/>
          </w:tcPr>
          <w:p w14:paraId="78CE7001">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lang w:val="en-US"/>
              </w:rPr>
            </w:pPr>
            <w:r>
              <w:rPr>
                <w:rFonts w:hint="eastAsia" w:ascii="Times New Roman" w:hAnsi="Times New Roman" w:cs="Times New Roman"/>
                <w:color w:val="auto"/>
                <w:kern w:val="0"/>
                <w:sz w:val="21"/>
                <w:szCs w:val="21"/>
                <w:lang w:val="en-US" w:eastAsia="zh-CN" w:bidi="ar"/>
              </w:rPr>
              <w:t>60</w:t>
            </w:r>
          </w:p>
        </w:tc>
        <w:tc>
          <w:tcPr>
            <w:tcW w:w="1383" w:type="dxa"/>
            <w:vAlign w:val="center"/>
          </w:tcPr>
          <w:p w14:paraId="75DD2B47">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w:t>
            </w:r>
            <w:r>
              <w:rPr>
                <w:rFonts w:hint="eastAsia" w:ascii="Times New Roman" w:hAnsi="Times New Roman" w:cs="Times New Roman"/>
                <w:color w:val="auto"/>
                <w:sz w:val="21"/>
                <w:szCs w:val="21"/>
                <w:vertAlign w:val="baseline"/>
                <w:lang w:val="en-US" w:eastAsia="zh-CN"/>
              </w:rPr>
              <w:t>2</w:t>
            </w:r>
            <w:r>
              <w:rPr>
                <w:rFonts w:hint="default" w:ascii="Times New Roman" w:hAnsi="Times New Roman" w:cs="Times New Roman"/>
                <w:color w:val="auto"/>
                <w:sz w:val="21"/>
                <w:szCs w:val="21"/>
                <w:vertAlign w:val="baseline"/>
                <w:lang w:val="en-US" w:eastAsia="zh-CN"/>
              </w:rPr>
              <w:t>0</w:t>
            </w:r>
          </w:p>
        </w:tc>
        <w:tc>
          <w:tcPr>
            <w:tcW w:w="1384" w:type="dxa"/>
            <w:vAlign w:val="center"/>
          </w:tcPr>
          <w:p w14:paraId="0C75DB4E">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w:t>
            </w:r>
          </w:p>
        </w:tc>
        <w:tc>
          <w:tcPr>
            <w:tcW w:w="1606" w:type="dxa"/>
            <w:vMerge w:val="continue"/>
            <w:vAlign w:val="center"/>
          </w:tcPr>
          <w:p w14:paraId="50CBDFCD">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p>
        </w:tc>
      </w:tr>
      <w:tr w14:paraId="6CD49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80" w:type="dxa"/>
            <w:vAlign w:val="center"/>
          </w:tcPr>
          <w:p w14:paraId="172F4D55">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w:t>
            </w:r>
          </w:p>
        </w:tc>
        <w:tc>
          <w:tcPr>
            <w:tcW w:w="1383" w:type="dxa"/>
            <w:vAlign w:val="center"/>
          </w:tcPr>
          <w:p w14:paraId="653EEF02">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CO</w:t>
            </w:r>
          </w:p>
        </w:tc>
        <w:tc>
          <w:tcPr>
            <w:tcW w:w="1380" w:type="dxa"/>
            <w:vAlign w:val="center"/>
          </w:tcPr>
          <w:p w14:paraId="73B60324">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w:t>
            </w:r>
          </w:p>
        </w:tc>
        <w:tc>
          <w:tcPr>
            <w:tcW w:w="1383" w:type="dxa"/>
            <w:vAlign w:val="center"/>
          </w:tcPr>
          <w:p w14:paraId="2EEBACDD">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4</w:t>
            </w:r>
          </w:p>
        </w:tc>
        <w:tc>
          <w:tcPr>
            <w:tcW w:w="1384" w:type="dxa"/>
            <w:vAlign w:val="center"/>
          </w:tcPr>
          <w:p w14:paraId="096B4289">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10</w:t>
            </w:r>
          </w:p>
        </w:tc>
        <w:tc>
          <w:tcPr>
            <w:tcW w:w="1606" w:type="dxa"/>
            <w:vMerge w:val="continue"/>
            <w:vAlign w:val="center"/>
          </w:tcPr>
          <w:p w14:paraId="0A7154E8">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p>
        </w:tc>
      </w:tr>
      <w:tr w14:paraId="607BD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80" w:type="dxa"/>
            <w:vAlign w:val="center"/>
          </w:tcPr>
          <w:p w14:paraId="1FE7C7CA">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6</w:t>
            </w:r>
          </w:p>
        </w:tc>
        <w:tc>
          <w:tcPr>
            <w:tcW w:w="1383" w:type="dxa"/>
            <w:vAlign w:val="center"/>
          </w:tcPr>
          <w:p w14:paraId="76A67637">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O</w:t>
            </w:r>
            <w:r>
              <w:rPr>
                <w:rFonts w:hint="default" w:ascii="Times New Roman" w:hAnsi="Times New Roman" w:eastAsia="宋体" w:cs="Times New Roman"/>
                <w:color w:val="auto"/>
                <w:kern w:val="0"/>
                <w:sz w:val="21"/>
                <w:szCs w:val="21"/>
                <w:vertAlign w:val="subscript"/>
                <w:lang w:val="en-US" w:eastAsia="zh-CN" w:bidi="ar"/>
              </w:rPr>
              <w:t>3</w:t>
            </w:r>
          </w:p>
        </w:tc>
        <w:tc>
          <w:tcPr>
            <w:tcW w:w="1380" w:type="dxa"/>
            <w:vAlign w:val="center"/>
          </w:tcPr>
          <w:p w14:paraId="22E82048">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w:t>
            </w:r>
          </w:p>
        </w:tc>
        <w:tc>
          <w:tcPr>
            <w:tcW w:w="1383" w:type="dxa"/>
            <w:vAlign w:val="center"/>
          </w:tcPr>
          <w:p w14:paraId="00A9C953">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160</w:t>
            </w:r>
          </w:p>
        </w:tc>
        <w:tc>
          <w:tcPr>
            <w:tcW w:w="1384" w:type="dxa"/>
            <w:vAlign w:val="center"/>
          </w:tcPr>
          <w:p w14:paraId="13C247A6">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200</w:t>
            </w:r>
          </w:p>
        </w:tc>
        <w:tc>
          <w:tcPr>
            <w:tcW w:w="1606" w:type="dxa"/>
            <w:vMerge w:val="continue"/>
            <w:vAlign w:val="center"/>
          </w:tcPr>
          <w:p w14:paraId="1EC63587">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vertAlign w:val="baseline"/>
              </w:rPr>
            </w:pPr>
          </w:p>
        </w:tc>
      </w:tr>
    </w:tbl>
    <w:p w14:paraId="02FC73F5">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3）水环境</w:t>
      </w:r>
    </w:p>
    <w:p w14:paraId="34626D9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lang w:val="en-US" w:eastAsia="zh-CN"/>
        </w:rPr>
        <w:t>本工程评价范围内不涉及地表水体，距离最近的地表水为恰克马克河及支流，位于路线起点北侧约2.7km，其水环境功能区划为Ⅱ类水体</w:t>
      </w:r>
      <w:r>
        <w:rPr>
          <w:rFonts w:hint="default" w:ascii="Times New Roman" w:hAnsi="Times New Roman" w:eastAsia="宋体" w:cs="Times New Roman"/>
          <w:color w:val="auto"/>
          <w:kern w:val="0"/>
          <w:sz w:val="24"/>
          <w:szCs w:val="24"/>
          <w:lang w:val="en-US" w:eastAsia="zh-CN" w:bidi="ar"/>
        </w:rPr>
        <w:t>，执行《地表水环境质量标准》（GB</w:t>
      </w:r>
      <w:r>
        <w:rPr>
          <w:rFonts w:hint="default" w:ascii="Times New Roman" w:hAnsi="Times New Roman" w:cs="Times New Roman"/>
          <w:color w:val="auto"/>
          <w:kern w:val="0"/>
          <w:sz w:val="24"/>
          <w:szCs w:val="24"/>
          <w:lang w:val="en-US" w:eastAsia="zh-CN" w:bidi="ar"/>
        </w:rPr>
        <w:t xml:space="preserve"> </w:t>
      </w:r>
      <w:r>
        <w:rPr>
          <w:rFonts w:hint="default" w:ascii="Times New Roman" w:hAnsi="Times New Roman" w:eastAsia="宋体" w:cs="Times New Roman"/>
          <w:color w:val="auto"/>
          <w:kern w:val="0"/>
          <w:sz w:val="24"/>
          <w:szCs w:val="24"/>
          <w:lang w:val="en-US" w:eastAsia="zh-CN" w:bidi="ar"/>
        </w:rPr>
        <w:t>3838-2002）Ⅱ类标准限值，具体标准值见表2.</w:t>
      </w:r>
      <w:r>
        <w:rPr>
          <w:rFonts w:hint="default" w:ascii="Times New Roman" w:hAnsi="Times New Roman" w:cs="Times New Roman"/>
          <w:color w:val="auto"/>
          <w:kern w:val="0"/>
          <w:sz w:val="24"/>
          <w:szCs w:val="24"/>
          <w:lang w:val="en-US" w:eastAsia="zh-CN" w:bidi="ar"/>
        </w:rPr>
        <w:t>4</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w:t>
      </w:r>
    </w:p>
    <w:p w14:paraId="182DE0E7">
      <w:pPr>
        <w:keepNext w:val="0"/>
        <w:keepLines w:val="0"/>
        <w:widowControl/>
        <w:suppressLineNumbers w:val="0"/>
        <w:spacing w:line="240" w:lineRule="auto"/>
        <w:jc w:val="center"/>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eastAsia="宋体" w:cs="Times New Roman"/>
          <w:b/>
          <w:color w:val="auto"/>
          <w:kern w:val="2"/>
          <w:sz w:val="21"/>
          <w:szCs w:val="21"/>
          <w:lang w:val="en-US" w:eastAsia="zh-CN" w:bidi="ar-SA"/>
        </w:rPr>
        <w:t>表2.</w:t>
      </w:r>
      <w:r>
        <w:rPr>
          <w:rFonts w:hint="default" w:ascii="Times New Roman" w:hAnsi="Times New Roman" w:cs="Times New Roman"/>
          <w:b/>
          <w:color w:val="auto"/>
          <w:kern w:val="2"/>
          <w:sz w:val="21"/>
          <w:szCs w:val="21"/>
          <w:lang w:val="en-US" w:eastAsia="zh-CN" w:bidi="ar-SA"/>
        </w:rPr>
        <w:t>4</w:t>
      </w:r>
      <w:r>
        <w:rPr>
          <w:rFonts w:hint="default" w:ascii="Times New Roman" w:hAnsi="Times New Roman" w:eastAsia="宋体" w:cs="Times New Roman"/>
          <w:b/>
          <w:color w:val="auto"/>
          <w:kern w:val="2"/>
          <w:sz w:val="21"/>
          <w:szCs w:val="21"/>
          <w:lang w:val="en-US" w:eastAsia="zh-CN" w:bidi="ar-SA"/>
        </w:rPr>
        <w:t>-</w:t>
      </w:r>
      <w:r>
        <w:rPr>
          <w:rFonts w:hint="default" w:ascii="Times New Roman" w:hAnsi="Times New Roman" w:cs="Times New Roman"/>
          <w:b/>
          <w:color w:val="auto"/>
          <w:kern w:val="2"/>
          <w:sz w:val="21"/>
          <w:szCs w:val="21"/>
          <w:lang w:val="en-US" w:eastAsia="zh-CN" w:bidi="ar-SA"/>
        </w:rPr>
        <w:t>3</w:t>
      </w:r>
      <w:r>
        <w:rPr>
          <w:rFonts w:hint="default" w:ascii="Times New Roman" w:hAnsi="Times New Roman" w:eastAsia="宋体" w:cs="Times New Roman"/>
          <w:b/>
          <w:color w:val="auto"/>
          <w:kern w:val="2"/>
          <w:sz w:val="21"/>
          <w:szCs w:val="21"/>
          <w:lang w:val="en-US" w:eastAsia="zh-CN" w:bidi="ar-SA"/>
        </w:rPr>
        <w:t xml:space="preserve"> 地表水环境质量标准（MG/L，</w:t>
      </w:r>
      <w:r>
        <w:rPr>
          <w:rFonts w:hint="default" w:ascii="Times New Roman" w:hAnsi="Times New Roman" w:cs="Times New Roman"/>
          <w:b/>
          <w:color w:val="auto"/>
          <w:kern w:val="2"/>
          <w:sz w:val="21"/>
          <w:szCs w:val="21"/>
          <w:lang w:val="en-US" w:eastAsia="zh-CN" w:bidi="ar-SA"/>
        </w:rPr>
        <w:t>p</w:t>
      </w:r>
      <w:r>
        <w:rPr>
          <w:rFonts w:hint="default" w:ascii="Times New Roman" w:hAnsi="Times New Roman" w:eastAsia="宋体" w:cs="Times New Roman"/>
          <w:b/>
          <w:color w:val="auto"/>
          <w:kern w:val="2"/>
          <w:sz w:val="21"/>
          <w:szCs w:val="21"/>
          <w:lang w:val="en-US" w:eastAsia="zh-CN" w:bidi="ar-SA"/>
        </w:rPr>
        <w:t>H除外）</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1"/>
        <w:gridCol w:w="4186"/>
        <w:gridCol w:w="2839"/>
      </w:tblGrid>
      <w:tr w14:paraId="50B1D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40421AA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序号</w:t>
            </w:r>
          </w:p>
        </w:tc>
        <w:tc>
          <w:tcPr>
            <w:tcW w:w="4186" w:type="dxa"/>
            <w:vAlign w:val="center"/>
          </w:tcPr>
          <w:p w14:paraId="668F34C1">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监测项目</w:t>
            </w:r>
          </w:p>
        </w:tc>
        <w:tc>
          <w:tcPr>
            <w:tcW w:w="2839" w:type="dxa"/>
            <w:vAlign w:val="center"/>
          </w:tcPr>
          <w:p w14:paraId="65CE0898">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标准值</w:t>
            </w:r>
          </w:p>
        </w:tc>
      </w:tr>
      <w:tr w14:paraId="486A8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69E94FCE">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4186" w:type="dxa"/>
            <w:vAlign w:val="center"/>
          </w:tcPr>
          <w:p w14:paraId="5A2574C9">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pH（无量纲）</w:t>
            </w:r>
          </w:p>
        </w:tc>
        <w:tc>
          <w:tcPr>
            <w:tcW w:w="2839" w:type="dxa"/>
            <w:vAlign w:val="center"/>
          </w:tcPr>
          <w:p w14:paraId="0E9BA85E">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6~9</w:t>
            </w:r>
          </w:p>
        </w:tc>
      </w:tr>
      <w:tr w14:paraId="0410C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1C4AFE3E">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4186" w:type="dxa"/>
            <w:vAlign w:val="center"/>
          </w:tcPr>
          <w:p w14:paraId="21B17502">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水温（℃）</w:t>
            </w:r>
          </w:p>
        </w:tc>
        <w:tc>
          <w:tcPr>
            <w:tcW w:w="2839" w:type="dxa"/>
            <w:vAlign w:val="center"/>
          </w:tcPr>
          <w:p w14:paraId="2654D74F">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w:t>
            </w:r>
          </w:p>
        </w:tc>
      </w:tr>
      <w:tr w14:paraId="6997A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50DAFC72">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w:t>
            </w:r>
          </w:p>
        </w:tc>
        <w:tc>
          <w:tcPr>
            <w:tcW w:w="4186" w:type="dxa"/>
            <w:vAlign w:val="center"/>
          </w:tcPr>
          <w:p w14:paraId="2B00CE77">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溶解氧（mg/L）</w:t>
            </w:r>
          </w:p>
        </w:tc>
        <w:tc>
          <w:tcPr>
            <w:tcW w:w="2839" w:type="dxa"/>
            <w:vAlign w:val="center"/>
          </w:tcPr>
          <w:p w14:paraId="73F00A92">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eastAsia" w:ascii="Times New Roman" w:hAnsi="Times New Roman" w:cs="Times New Roman"/>
                <w:color w:val="auto"/>
                <w:kern w:val="0"/>
                <w:sz w:val="21"/>
                <w:szCs w:val="21"/>
                <w:lang w:val="en-US" w:eastAsia="zh-CN" w:bidi="ar"/>
              </w:rPr>
              <w:t>6</w:t>
            </w:r>
          </w:p>
        </w:tc>
      </w:tr>
      <w:tr w14:paraId="127F4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45E34407">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w:t>
            </w:r>
          </w:p>
        </w:tc>
        <w:tc>
          <w:tcPr>
            <w:tcW w:w="4186" w:type="dxa"/>
            <w:vAlign w:val="center"/>
          </w:tcPr>
          <w:p w14:paraId="5322BC85">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氨氮（mg/L）</w:t>
            </w:r>
          </w:p>
        </w:tc>
        <w:tc>
          <w:tcPr>
            <w:tcW w:w="2839" w:type="dxa"/>
            <w:vAlign w:val="center"/>
          </w:tcPr>
          <w:p w14:paraId="72A2F737">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rPr>
            </w:pPr>
            <w:r>
              <w:rPr>
                <w:rFonts w:hint="eastAsia" w:ascii="Times New Roman" w:hAnsi="Times New Roman" w:cs="Times New Roman"/>
                <w:color w:val="auto"/>
                <w:kern w:val="0"/>
                <w:sz w:val="21"/>
                <w:szCs w:val="21"/>
                <w:lang w:val="en-US" w:eastAsia="zh-CN" w:bidi="ar"/>
              </w:rPr>
              <w:t>0.5</w:t>
            </w:r>
          </w:p>
        </w:tc>
      </w:tr>
      <w:tr w14:paraId="5FB89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53D828C2">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w:t>
            </w:r>
          </w:p>
        </w:tc>
        <w:tc>
          <w:tcPr>
            <w:tcW w:w="4186" w:type="dxa"/>
            <w:vAlign w:val="center"/>
          </w:tcPr>
          <w:p w14:paraId="1691BADF">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挥发酚（mg/L）</w:t>
            </w:r>
          </w:p>
        </w:tc>
        <w:tc>
          <w:tcPr>
            <w:tcW w:w="2839" w:type="dxa"/>
            <w:vAlign w:val="center"/>
          </w:tcPr>
          <w:p w14:paraId="40578AB8">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0.00</w:t>
            </w:r>
            <w:r>
              <w:rPr>
                <w:rFonts w:hint="eastAsia" w:ascii="Times New Roman" w:hAnsi="Times New Roman" w:cs="Times New Roman"/>
                <w:color w:val="auto"/>
                <w:kern w:val="0"/>
                <w:sz w:val="21"/>
                <w:szCs w:val="21"/>
                <w:lang w:val="en-US" w:eastAsia="zh-CN" w:bidi="ar"/>
              </w:rPr>
              <w:t>2</w:t>
            </w:r>
          </w:p>
        </w:tc>
      </w:tr>
      <w:tr w14:paraId="64E1F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798925FC">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w:t>
            </w:r>
          </w:p>
        </w:tc>
        <w:tc>
          <w:tcPr>
            <w:tcW w:w="4186" w:type="dxa"/>
            <w:vAlign w:val="center"/>
          </w:tcPr>
          <w:p w14:paraId="256CC7B6">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氰化物（mg/L）</w:t>
            </w:r>
          </w:p>
        </w:tc>
        <w:tc>
          <w:tcPr>
            <w:tcW w:w="2839" w:type="dxa"/>
            <w:vAlign w:val="center"/>
          </w:tcPr>
          <w:p w14:paraId="7A5C2E1E">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rPr>
            </w:pPr>
            <w:r>
              <w:rPr>
                <w:rFonts w:hint="default" w:ascii="Times New Roman" w:hAnsi="Times New Roman" w:eastAsia="宋体" w:cs="Times New Roman"/>
                <w:color w:val="auto"/>
                <w:kern w:val="0"/>
                <w:sz w:val="21"/>
                <w:szCs w:val="21"/>
                <w:lang w:val="en-US" w:eastAsia="zh-CN" w:bidi="ar"/>
              </w:rPr>
              <w:t>0.</w:t>
            </w:r>
            <w:r>
              <w:rPr>
                <w:rFonts w:hint="eastAsia" w:ascii="Times New Roman" w:hAnsi="Times New Roman" w:cs="Times New Roman"/>
                <w:color w:val="auto"/>
                <w:kern w:val="0"/>
                <w:sz w:val="21"/>
                <w:szCs w:val="21"/>
                <w:lang w:val="en-US" w:eastAsia="zh-CN" w:bidi="ar"/>
              </w:rPr>
              <w:t>05</w:t>
            </w:r>
          </w:p>
        </w:tc>
      </w:tr>
      <w:tr w14:paraId="5229D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7A10E313">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w:t>
            </w:r>
          </w:p>
        </w:tc>
        <w:tc>
          <w:tcPr>
            <w:tcW w:w="4186" w:type="dxa"/>
            <w:vAlign w:val="center"/>
          </w:tcPr>
          <w:p w14:paraId="6498B5B8">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铬（六价）（mg/L）</w:t>
            </w:r>
          </w:p>
        </w:tc>
        <w:tc>
          <w:tcPr>
            <w:tcW w:w="2839" w:type="dxa"/>
            <w:vAlign w:val="center"/>
          </w:tcPr>
          <w:p w14:paraId="40EBD848">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0.05</w:t>
            </w:r>
          </w:p>
        </w:tc>
      </w:tr>
      <w:tr w14:paraId="5F9EF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4410DC9F">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w:t>
            </w:r>
          </w:p>
        </w:tc>
        <w:tc>
          <w:tcPr>
            <w:tcW w:w="4186" w:type="dxa"/>
            <w:vAlign w:val="center"/>
          </w:tcPr>
          <w:p w14:paraId="52722DAB">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氟化物（mg/L）</w:t>
            </w:r>
          </w:p>
        </w:tc>
        <w:tc>
          <w:tcPr>
            <w:tcW w:w="2839" w:type="dxa"/>
            <w:vAlign w:val="center"/>
          </w:tcPr>
          <w:p w14:paraId="4E05C075">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w:t>
            </w:r>
          </w:p>
        </w:tc>
      </w:tr>
      <w:tr w14:paraId="2CDF6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1E4A24AF">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9</w:t>
            </w:r>
          </w:p>
        </w:tc>
        <w:tc>
          <w:tcPr>
            <w:tcW w:w="4186" w:type="dxa"/>
            <w:vAlign w:val="center"/>
          </w:tcPr>
          <w:p w14:paraId="38C13951">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汞（mg/L）</w:t>
            </w:r>
          </w:p>
        </w:tc>
        <w:tc>
          <w:tcPr>
            <w:tcW w:w="2839" w:type="dxa"/>
            <w:vAlign w:val="center"/>
          </w:tcPr>
          <w:p w14:paraId="08EC1976">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rPr>
            </w:pPr>
            <w:r>
              <w:rPr>
                <w:rFonts w:hint="default" w:ascii="Times New Roman" w:hAnsi="Times New Roman" w:eastAsia="宋体" w:cs="Times New Roman"/>
                <w:color w:val="auto"/>
                <w:kern w:val="0"/>
                <w:sz w:val="21"/>
                <w:szCs w:val="21"/>
                <w:lang w:val="en-US" w:eastAsia="zh-CN" w:bidi="ar"/>
              </w:rPr>
              <w:t>0.000</w:t>
            </w:r>
            <w:r>
              <w:rPr>
                <w:rFonts w:hint="eastAsia" w:ascii="Times New Roman" w:hAnsi="Times New Roman" w:cs="Times New Roman"/>
                <w:color w:val="auto"/>
                <w:kern w:val="0"/>
                <w:sz w:val="21"/>
                <w:szCs w:val="21"/>
                <w:lang w:val="en-US" w:eastAsia="zh-CN" w:bidi="ar"/>
              </w:rPr>
              <w:t>05</w:t>
            </w:r>
          </w:p>
        </w:tc>
      </w:tr>
      <w:tr w14:paraId="6D66A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2A9E9E1A">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10</w:t>
            </w:r>
          </w:p>
        </w:tc>
        <w:tc>
          <w:tcPr>
            <w:tcW w:w="4186" w:type="dxa"/>
            <w:vAlign w:val="center"/>
          </w:tcPr>
          <w:p w14:paraId="21E5185A">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砷（mg/L）</w:t>
            </w:r>
          </w:p>
        </w:tc>
        <w:tc>
          <w:tcPr>
            <w:tcW w:w="2839" w:type="dxa"/>
            <w:vAlign w:val="center"/>
          </w:tcPr>
          <w:p w14:paraId="652A6A05">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0.05</w:t>
            </w:r>
          </w:p>
        </w:tc>
      </w:tr>
      <w:tr w14:paraId="6618F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3EAB007B">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11</w:t>
            </w:r>
          </w:p>
        </w:tc>
        <w:tc>
          <w:tcPr>
            <w:tcW w:w="4186" w:type="dxa"/>
            <w:vAlign w:val="center"/>
          </w:tcPr>
          <w:p w14:paraId="1A763C2F">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硒（mg/L）</w:t>
            </w:r>
          </w:p>
        </w:tc>
        <w:tc>
          <w:tcPr>
            <w:tcW w:w="2839" w:type="dxa"/>
            <w:vAlign w:val="center"/>
          </w:tcPr>
          <w:p w14:paraId="28FFA880">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0.01</w:t>
            </w:r>
          </w:p>
        </w:tc>
      </w:tr>
      <w:tr w14:paraId="762C3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1E953E8E">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w:t>
            </w:r>
          </w:p>
        </w:tc>
        <w:tc>
          <w:tcPr>
            <w:tcW w:w="4186" w:type="dxa"/>
            <w:vAlign w:val="center"/>
          </w:tcPr>
          <w:p w14:paraId="3861FA3B">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铜（mg/L）</w:t>
            </w:r>
          </w:p>
        </w:tc>
        <w:tc>
          <w:tcPr>
            <w:tcW w:w="2839" w:type="dxa"/>
            <w:vAlign w:val="center"/>
          </w:tcPr>
          <w:p w14:paraId="07712FBC">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w:t>
            </w:r>
          </w:p>
        </w:tc>
      </w:tr>
      <w:tr w14:paraId="434C4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6BB0C252">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13</w:t>
            </w:r>
          </w:p>
        </w:tc>
        <w:tc>
          <w:tcPr>
            <w:tcW w:w="4186" w:type="dxa"/>
            <w:vAlign w:val="center"/>
          </w:tcPr>
          <w:p w14:paraId="78441EE8">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锌（mg/L）</w:t>
            </w:r>
          </w:p>
        </w:tc>
        <w:tc>
          <w:tcPr>
            <w:tcW w:w="2839" w:type="dxa"/>
            <w:vAlign w:val="center"/>
          </w:tcPr>
          <w:p w14:paraId="1920B959">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w:t>
            </w:r>
          </w:p>
        </w:tc>
      </w:tr>
      <w:tr w14:paraId="05C11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23640C14">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14</w:t>
            </w:r>
          </w:p>
        </w:tc>
        <w:tc>
          <w:tcPr>
            <w:tcW w:w="4186" w:type="dxa"/>
            <w:vAlign w:val="center"/>
          </w:tcPr>
          <w:p w14:paraId="3B12FC26">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铅（mg/L）</w:t>
            </w:r>
          </w:p>
        </w:tc>
        <w:tc>
          <w:tcPr>
            <w:tcW w:w="2839" w:type="dxa"/>
            <w:vAlign w:val="center"/>
          </w:tcPr>
          <w:p w14:paraId="46546C08">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0.05</w:t>
            </w:r>
          </w:p>
        </w:tc>
      </w:tr>
      <w:tr w14:paraId="50DE6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519B1826">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15</w:t>
            </w:r>
          </w:p>
        </w:tc>
        <w:tc>
          <w:tcPr>
            <w:tcW w:w="4186" w:type="dxa"/>
            <w:vAlign w:val="center"/>
          </w:tcPr>
          <w:p w14:paraId="79B1128D">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镉（mg/L）</w:t>
            </w:r>
          </w:p>
        </w:tc>
        <w:tc>
          <w:tcPr>
            <w:tcW w:w="2839" w:type="dxa"/>
            <w:vAlign w:val="center"/>
          </w:tcPr>
          <w:p w14:paraId="2E49CABC">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0.005</w:t>
            </w:r>
          </w:p>
        </w:tc>
      </w:tr>
      <w:tr w14:paraId="0A083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07FBEC33">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16</w:t>
            </w:r>
          </w:p>
        </w:tc>
        <w:tc>
          <w:tcPr>
            <w:tcW w:w="4186" w:type="dxa"/>
            <w:vAlign w:val="center"/>
          </w:tcPr>
          <w:p w14:paraId="3FD26FE4">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化学需氧量（mg/L）</w:t>
            </w:r>
          </w:p>
        </w:tc>
        <w:tc>
          <w:tcPr>
            <w:tcW w:w="2839" w:type="dxa"/>
            <w:vAlign w:val="center"/>
          </w:tcPr>
          <w:p w14:paraId="14EA195B">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15</w:t>
            </w:r>
          </w:p>
        </w:tc>
      </w:tr>
      <w:tr w14:paraId="6958F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6D55B345">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17</w:t>
            </w:r>
          </w:p>
        </w:tc>
        <w:tc>
          <w:tcPr>
            <w:tcW w:w="4186" w:type="dxa"/>
            <w:vAlign w:val="center"/>
          </w:tcPr>
          <w:p w14:paraId="4B0A3A07">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高锰酸盐指数（mg/L）</w:t>
            </w:r>
          </w:p>
        </w:tc>
        <w:tc>
          <w:tcPr>
            <w:tcW w:w="2839" w:type="dxa"/>
            <w:vAlign w:val="center"/>
          </w:tcPr>
          <w:p w14:paraId="1CCA121F">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4</w:t>
            </w:r>
          </w:p>
        </w:tc>
      </w:tr>
      <w:tr w14:paraId="26C71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2744358A">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18</w:t>
            </w:r>
          </w:p>
        </w:tc>
        <w:tc>
          <w:tcPr>
            <w:tcW w:w="4186" w:type="dxa"/>
            <w:vAlign w:val="center"/>
          </w:tcPr>
          <w:p w14:paraId="4981781E">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五日生化需氧量（mg/L）</w:t>
            </w:r>
          </w:p>
        </w:tc>
        <w:tc>
          <w:tcPr>
            <w:tcW w:w="2839" w:type="dxa"/>
            <w:vAlign w:val="center"/>
          </w:tcPr>
          <w:p w14:paraId="4A61A4C9">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3</w:t>
            </w:r>
          </w:p>
        </w:tc>
      </w:tr>
      <w:tr w14:paraId="0A4F9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5208B395">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19</w:t>
            </w:r>
          </w:p>
        </w:tc>
        <w:tc>
          <w:tcPr>
            <w:tcW w:w="4186" w:type="dxa"/>
            <w:vAlign w:val="center"/>
          </w:tcPr>
          <w:p w14:paraId="1DD49B33">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粪大肠菌群（MPN/L）</w:t>
            </w:r>
          </w:p>
        </w:tc>
        <w:tc>
          <w:tcPr>
            <w:tcW w:w="2839" w:type="dxa"/>
            <w:vAlign w:val="center"/>
          </w:tcPr>
          <w:p w14:paraId="5D987FE0">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2</w:t>
            </w:r>
            <w:r>
              <w:rPr>
                <w:rFonts w:hint="default" w:ascii="Times New Roman" w:hAnsi="Times New Roman" w:eastAsia="宋体" w:cs="Times New Roman"/>
                <w:color w:val="auto"/>
                <w:kern w:val="0"/>
                <w:sz w:val="21"/>
                <w:szCs w:val="21"/>
                <w:lang w:val="en-US" w:eastAsia="zh-CN" w:bidi="ar"/>
              </w:rPr>
              <w:t>000</w:t>
            </w:r>
          </w:p>
        </w:tc>
      </w:tr>
      <w:tr w14:paraId="41E1D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043B68E4">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20</w:t>
            </w:r>
          </w:p>
        </w:tc>
        <w:tc>
          <w:tcPr>
            <w:tcW w:w="4186" w:type="dxa"/>
            <w:vAlign w:val="center"/>
          </w:tcPr>
          <w:p w14:paraId="112D8DF1">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总磷（mg/L）</w:t>
            </w:r>
          </w:p>
        </w:tc>
        <w:tc>
          <w:tcPr>
            <w:tcW w:w="2839" w:type="dxa"/>
            <w:vAlign w:val="center"/>
          </w:tcPr>
          <w:p w14:paraId="120E839D">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0.</w:t>
            </w:r>
            <w:r>
              <w:rPr>
                <w:rFonts w:hint="eastAsia" w:ascii="Times New Roman" w:hAnsi="Times New Roman" w:cs="Times New Roman"/>
                <w:color w:val="auto"/>
                <w:kern w:val="0"/>
                <w:sz w:val="21"/>
                <w:szCs w:val="21"/>
                <w:lang w:val="en-US" w:eastAsia="zh-CN" w:bidi="ar"/>
              </w:rPr>
              <w:t>1</w:t>
            </w:r>
          </w:p>
        </w:tc>
      </w:tr>
      <w:tr w14:paraId="46C49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769AF6CF">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21</w:t>
            </w:r>
          </w:p>
        </w:tc>
        <w:tc>
          <w:tcPr>
            <w:tcW w:w="4186" w:type="dxa"/>
            <w:vAlign w:val="center"/>
          </w:tcPr>
          <w:p w14:paraId="35437D24">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总氮（mg/L）</w:t>
            </w:r>
          </w:p>
        </w:tc>
        <w:tc>
          <w:tcPr>
            <w:tcW w:w="2839" w:type="dxa"/>
            <w:vAlign w:val="center"/>
          </w:tcPr>
          <w:p w14:paraId="529763F8">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0.5</w:t>
            </w:r>
          </w:p>
        </w:tc>
      </w:tr>
      <w:tr w14:paraId="3211B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61D122CA">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22</w:t>
            </w:r>
          </w:p>
        </w:tc>
        <w:tc>
          <w:tcPr>
            <w:tcW w:w="4186" w:type="dxa"/>
            <w:vAlign w:val="center"/>
          </w:tcPr>
          <w:p w14:paraId="13F21514">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硫化物</w:t>
            </w:r>
          </w:p>
        </w:tc>
        <w:tc>
          <w:tcPr>
            <w:tcW w:w="2839" w:type="dxa"/>
            <w:vAlign w:val="center"/>
          </w:tcPr>
          <w:p w14:paraId="5F7122BD">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w:t>
            </w:r>
            <w:r>
              <w:rPr>
                <w:rFonts w:hint="eastAsia" w:ascii="Times New Roman" w:hAnsi="Times New Roman" w:cs="Times New Roman"/>
                <w:color w:val="auto"/>
                <w:kern w:val="0"/>
                <w:sz w:val="21"/>
                <w:szCs w:val="21"/>
                <w:lang w:val="en-US" w:eastAsia="zh-CN" w:bidi="ar"/>
              </w:rPr>
              <w:t>1</w:t>
            </w:r>
          </w:p>
        </w:tc>
      </w:tr>
      <w:tr w14:paraId="52582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5DF6E560">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23</w:t>
            </w:r>
          </w:p>
        </w:tc>
        <w:tc>
          <w:tcPr>
            <w:tcW w:w="4186" w:type="dxa"/>
            <w:vAlign w:val="center"/>
          </w:tcPr>
          <w:p w14:paraId="5569892E">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石油类</w:t>
            </w:r>
          </w:p>
        </w:tc>
        <w:tc>
          <w:tcPr>
            <w:tcW w:w="2839" w:type="dxa"/>
            <w:vAlign w:val="center"/>
          </w:tcPr>
          <w:p w14:paraId="0B1F837D">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0.05</w:t>
            </w:r>
          </w:p>
        </w:tc>
      </w:tr>
      <w:tr w14:paraId="2AB20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3BDA423B">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24</w:t>
            </w:r>
          </w:p>
        </w:tc>
        <w:tc>
          <w:tcPr>
            <w:tcW w:w="4186" w:type="dxa"/>
            <w:vAlign w:val="center"/>
          </w:tcPr>
          <w:p w14:paraId="6C7D02DC">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阴离子表面活性剂</w:t>
            </w:r>
          </w:p>
        </w:tc>
        <w:tc>
          <w:tcPr>
            <w:tcW w:w="2839" w:type="dxa"/>
            <w:vAlign w:val="center"/>
          </w:tcPr>
          <w:p w14:paraId="6FC56211">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0.2</w:t>
            </w:r>
          </w:p>
        </w:tc>
      </w:tr>
      <w:tr w14:paraId="5DC0B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1" w:type="dxa"/>
            <w:vAlign w:val="center"/>
          </w:tcPr>
          <w:p w14:paraId="7FCAF04D">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w:t>
            </w:r>
          </w:p>
        </w:tc>
        <w:tc>
          <w:tcPr>
            <w:tcW w:w="4186" w:type="dxa"/>
            <w:vAlign w:val="center"/>
          </w:tcPr>
          <w:p w14:paraId="17C4A42B">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悬浮物（mg/L）</w:t>
            </w:r>
          </w:p>
        </w:tc>
        <w:tc>
          <w:tcPr>
            <w:tcW w:w="2839" w:type="dxa"/>
            <w:vAlign w:val="center"/>
          </w:tcPr>
          <w:p w14:paraId="19361FF2">
            <w:pPr>
              <w:pStyle w:val="26"/>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w:t>
            </w:r>
          </w:p>
        </w:tc>
      </w:tr>
    </w:tbl>
    <w:p w14:paraId="346B1544">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4）生态环境</w:t>
      </w:r>
    </w:p>
    <w:p w14:paraId="727BA360">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本项目所属区域属于自治区级塔里木河流域重点治理区，根据《生产建设项目水土流失防治标准》（GB/T 50434-2018）中的要求，本项目工程水土流失防治执行北方风沙区建设类一级标准。</w:t>
      </w:r>
    </w:p>
    <w:p w14:paraId="179D83C6">
      <w:pPr>
        <w:bidi w:val="0"/>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2</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污染物排放标准</w:t>
      </w:r>
    </w:p>
    <w:p w14:paraId="6FB9D8E6">
      <w:pPr>
        <w:bidi w:val="0"/>
        <w:rPr>
          <w:rFonts w:hint="default" w:ascii="Times New Roman" w:hAnsi="Times New Roman" w:cs="Times New Roman"/>
          <w:color w:val="auto"/>
        </w:rPr>
      </w:pPr>
      <w:r>
        <w:rPr>
          <w:rFonts w:hint="default" w:ascii="Times New Roman" w:hAnsi="Times New Roman" w:cs="Times New Roman"/>
          <w:color w:val="auto"/>
          <w:lang w:val="en-US" w:eastAsia="zh-CN"/>
        </w:rPr>
        <w:t>1）噪声</w:t>
      </w:r>
    </w:p>
    <w:p w14:paraId="321E5D52">
      <w:pPr>
        <w:bidi w:val="0"/>
        <w:rPr>
          <w:rFonts w:hint="default" w:ascii="Times New Roman" w:hAnsi="Times New Roman" w:cs="Times New Roman"/>
          <w:color w:val="auto"/>
        </w:rPr>
      </w:pPr>
      <w:r>
        <w:rPr>
          <w:rFonts w:hint="default" w:ascii="Times New Roman" w:hAnsi="Times New Roman" w:cs="Times New Roman"/>
          <w:color w:val="auto"/>
          <w:lang w:val="en-US" w:eastAsia="zh-CN"/>
        </w:rPr>
        <w:t>施工期：执行《建筑施工噪声排放标准》（GB 12523-2025）有关标准，具体见表2.4-4。</w:t>
      </w:r>
    </w:p>
    <w:p w14:paraId="7265AB47">
      <w:pPr>
        <w:pStyle w:val="101"/>
        <w:bidi w:val="0"/>
        <w:jc w:val="center"/>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eastAsia="宋体" w:cs="Times New Roman"/>
          <w:b/>
          <w:color w:val="auto"/>
          <w:kern w:val="2"/>
          <w:sz w:val="21"/>
          <w:szCs w:val="21"/>
          <w:lang w:val="en-US" w:eastAsia="zh-CN" w:bidi="ar-SA"/>
        </w:rPr>
        <w:t>表2.4-</w:t>
      </w:r>
      <w:r>
        <w:rPr>
          <w:rFonts w:hint="default" w:ascii="Times New Roman" w:hAnsi="Times New Roman" w:cs="Times New Roman"/>
          <w:b/>
          <w:color w:val="auto"/>
          <w:kern w:val="2"/>
          <w:sz w:val="21"/>
          <w:szCs w:val="21"/>
          <w:lang w:val="en-US" w:eastAsia="zh-CN" w:bidi="ar-SA"/>
        </w:rPr>
        <w:t>4</w:t>
      </w:r>
      <w:r>
        <w:rPr>
          <w:rFonts w:hint="default" w:ascii="Times New Roman" w:hAnsi="Times New Roman" w:eastAsia="宋体" w:cs="Times New Roman"/>
          <w:b/>
          <w:color w:val="auto"/>
          <w:kern w:val="2"/>
          <w:sz w:val="21"/>
          <w:szCs w:val="21"/>
          <w:lang w:val="en-US" w:eastAsia="zh-CN" w:bidi="ar-SA"/>
        </w:rPr>
        <w:t xml:space="preserve">    </w:t>
      </w:r>
      <w:r>
        <w:rPr>
          <w:rFonts w:hint="default" w:ascii="Times New Roman" w:hAnsi="Times New Roman" w:cs="Times New Roman"/>
          <w:b/>
          <w:color w:val="auto"/>
          <w:kern w:val="2"/>
          <w:sz w:val="21"/>
          <w:szCs w:val="21"/>
          <w:lang w:val="en-US" w:eastAsia="zh-CN" w:bidi="ar-SA"/>
        </w:rPr>
        <w:t>建筑施工噪声排放标准</w:t>
      </w:r>
      <w:r>
        <w:rPr>
          <w:rFonts w:hint="default" w:ascii="Times New Roman" w:hAnsi="Times New Roman" w:eastAsia="宋体" w:cs="Times New Roman"/>
          <w:b/>
          <w:color w:val="auto"/>
          <w:kern w:val="2"/>
          <w:sz w:val="21"/>
          <w:szCs w:val="21"/>
          <w:lang w:val="en-US" w:eastAsia="zh-CN" w:bidi="ar-SA"/>
        </w:rPr>
        <w:t>（摘录） 单位：dB（A）</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58"/>
        <w:gridCol w:w="4258"/>
      </w:tblGrid>
      <w:tr w14:paraId="00263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58" w:type="dxa"/>
            <w:vAlign w:val="center"/>
          </w:tcPr>
          <w:p w14:paraId="3E8C195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bookmarkStart w:id="691" w:name="_Toc24312"/>
            <w:bookmarkStart w:id="692" w:name="_Toc30755"/>
            <w:bookmarkStart w:id="693" w:name="_Toc9536"/>
            <w:bookmarkStart w:id="694" w:name="_Toc11411"/>
            <w:bookmarkStart w:id="695" w:name="_Toc29326"/>
            <w:bookmarkStart w:id="696" w:name="_Toc4637"/>
            <w:bookmarkStart w:id="697" w:name="_Toc22823"/>
            <w:bookmarkStart w:id="698" w:name="_Toc7996"/>
            <w:bookmarkStart w:id="699" w:name="_Toc25202"/>
            <w:bookmarkStart w:id="700" w:name="_Toc24802"/>
            <w:bookmarkStart w:id="701" w:name="_Toc464331797"/>
            <w:r>
              <w:rPr>
                <w:rFonts w:hint="default" w:ascii="Times New Roman" w:hAnsi="Times New Roman" w:eastAsia="宋体" w:cs="Times New Roman"/>
                <w:color w:val="auto"/>
                <w:kern w:val="0"/>
                <w:sz w:val="21"/>
                <w:szCs w:val="21"/>
                <w:lang w:val="en-US" w:eastAsia="zh-CN" w:bidi="ar"/>
              </w:rPr>
              <w:t>昼间</w:t>
            </w:r>
          </w:p>
        </w:tc>
        <w:tc>
          <w:tcPr>
            <w:tcW w:w="4258" w:type="dxa"/>
            <w:vAlign w:val="center"/>
          </w:tcPr>
          <w:p w14:paraId="6248349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夜间</w:t>
            </w:r>
          </w:p>
        </w:tc>
      </w:tr>
      <w:tr w14:paraId="0B30E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58" w:type="dxa"/>
            <w:vAlign w:val="center"/>
          </w:tcPr>
          <w:p w14:paraId="68B5DAB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70</w:t>
            </w:r>
          </w:p>
        </w:tc>
        <w:tc>
          <w:tcPr>
            <w:tcW w:w="4258" w:type="dxa"/>
            <w:vAlign w:val="center"/>
          </w:tcPr>
          <w:p w14:paraId="2899249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55</w:t>
            </w:r>
          </w:p>
        </w:tc>
      </w:tr>
    </w:tbl>
    <w:p w14:paraId="56547CC4">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夜间噪声最大声级超过限值的幅度不得高于15dB（A）。</w:t>
      </w:r>
    </w:p>
    <w:p w14:paraId="3B58A2F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当场界距噪声敏感建筑物较近，其室外不满足测量条件时，可在噪声敏感建筑室内测量，并将相应的限值减10dB（A）作为评价依据。</w:t>
      </w:r>
    </w:p>
    <w:p w14:paraId="6C69A5F2">
      <w:pPr>
        <w:keepNext w:val="0"/>
        <w:keepLines w:val="0"/>
        <w:widowControl/>
        <w:suppressLineNumbers w:val="0"/>
        <w:jc w:val="left"/>
        <w:rPr>
          <w:rFonts w:hint="default" w:ascii="Times New Roman" w:hAnsi="Times New Roman" w:cs="Times New Roman"/>
          <w:color w:val="auto"/>
        </w:rPr>
      </w:pPr>
      <w:r>
        <w:rPr>
          <w:rFonts w:hint="eastAsia" w:cs="Times New Roman"/>
          <w:color w:val="auto"/>
          <w:kern w:val="0"/>
          <w:sz w:val="24"/>
          <w:szCs w:val="24"/>
          <w:lang w:val="en-US" w:eastAsia="zh-CN" w:bidi="ar"/>
        </w:rPr>
        <w:t>运营期</w:t>
      </w:r>
      <w:r>
        <w:rPr>
          <w:rFonts w:hint="default" w:ascii="Times New Roman" w:hAnsi="Times New Roman" w:eastAsia="宋体" w:cs="Times New Roman"/>
          <w:color w:val="auto"/>
          <w:kern w:val="0"/>
          <w:sz w:val="24"/>
          <w:szCs w:val="24"/>
          <w:lang w:val="en-US" w:eastAsia="zh-CN" w:bidi="ar"/>
        </w:rPr>
        <w:t>：评价范围内，拟建项目</w:t>
      </w:r>
      <w:r>
        <w:rPr>
          <w:rFonts w:hint="default" w:ascii="Times New Roman" w:hAnsi="Times New Roman" w:cs="Times New Roman"/>
          <w:color w:val="auto"/>
          <w:kern w:val="0"/>
          <w:sz w:val="24"/>
          <w:szCs w:val="24"/>
          <w:lang w:val="en-US" w:eastAsia="zh-CN" w:bidi="ar"/>
        </w:rPr>
        <w:t>道</w:t>
      </w:r>
      <w:r>
        <w:rPr>
          <w:rFonts w:hint="default" w:ascii="Times New Roman" w:hAnsi="Times New Roman" w:eastAsia="宋体" w:cs="Times New Roman"/>
          <w:color w:val="auto"/>
          <w:kern w:val="0"/>
          <w:sz w:val="24"/>
          <w:szCs w:val="24"/>
          <w:lang w:val="en-US" w:eastAsia="zh-CN" w:bidi="ar"/>
        </w:rPr>
        <w:t>路</w:t>
      </w:r>
      <w:r>
        <w:rPr>
          <w:rFonts w:hint="default" w:ascii="Times New Roman" w:hAnsi="Times New Roman" w:cs="Times New Roman"/>
          <w:color w:val="auto"/>
          <w:lang w:val="en-US" w:eastAsia="zh-CN"/>
        </w:rPr>
        <w:t>红线两侧35m的范围划分为4a类声功能区，道路红线两侧35m范围外的区域划分为2类声功能区，途经喀什经开区工业园区路段</w:t>
      </w:r>
      <w:r>
        <w:rPr>
          <w:rFonts w:hint="eastAsia" w:cs="Times New Roman"/>
          <w:color w:val="auto"/>
          <w:lang w:val="en-US" w:eastAsia="zh-CN"/>
        </w:rPr>
        <w:t>20m范围内划分为4a类声功能区，道路红线两侧20m范围外的区域</w:t>
      </w:r>
      <w:r>
        <w:rPr>
          <w:rFonts w:hint="default" w:ascii="Times New Roman" w:hAnsi="Times New Roman" w:cs="Times New Roman"/>
          <w:color w:val="auto"/>
          <w:lang w:val="en-US" w:eastAsia="zh-CN"/>
        </w:rPr>
        <w:t>执行3类声功能区。</w:t>
      </w:r>
    </w:p>
    <w:p w14:paraId="4ACCC84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b/>
          <w:color w:val="auto"/>
          <w:kern w:val="2"/>
          <w:sz w:val="21"/>
          <w:szCs w:val="21"/>
          <w:lang w:val="en-US" w:eastAsia="zh-CN" w:bidi="ar-SA"/>
        </w:rPr>
        <w:t>表2.4-</w:t>
      </w:r>
      <w:r>
        <w:rPr>
          <w:rFonts w:hint="default" w:ascii="Times New Roman" w:hAnsi="Times New Roman" w:cs="Times New Roman"/>
          <w:b/>
          <w:color w:val="auto"/>
          <w:kern w:val="2"/>
          <w:sz w:val="21"/>
          <w:szCs w:val="21"/>
          <w:lang w:val="en-US" w:eastAsia="zh-CN" w:bidi="ar-SA"/>
        </w:rPr>
        <w:t>5</w:t>
      </w:r>
      <w:r>
        <w:rPr>
          <w:rFonts w:hint="default" w:ascii="Times New Roman" w:hAnsi="Times New Roman" w:eastAsia="宋体" w:cs="Times New Roman"/>
          <w:b/>
          <w:color w:val="auto"/>
          <w:kern w:val="2"/>
          <w:sz w:val="21"/>
          <w:szCs w:val="21"/>
          <w:lang w:val="en-US" w:eastAsia="zh-CN" w:bidi="ar-SA"/>
        </w:rPr>
        <w:t xml:space="preserve"> 声环境质量标准（GB 3096-2008）（摘录） 单位：dB（A）</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38"/>
        <w:gridCol w:w="2839"/>
        <w:gridCol w:w="2839"/>
      </w:tblGrid>
      <w:tr w14:paraId="75E33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38" w:type="dxa"/>
            <w:vMerge w:val="restart"/>
            <w:vAlign w:val="center"/>
          </w:tcPr>
          <w:p w14:paraId="0DF728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类别</w:t>
            </w:r>
          </w:p>
        </w:tc>
        <w:tc>
          <w:tcPr>
            <w:tcW w:w="5678" w:type="dxa"/>
            <w:gridSpan w:val="2"/>
            <w:vAlign w:val="center"/>
          </w:tcPr>
          <w:p w14:paraId="2700D3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等效声级 LA eq（dB）</w:t>
            </w:r>
          </w:p>
        </w:tc>
      </w:tr>
      <w:tr w14:paraId="6EFC5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38" w:type="dxa"/>
            <w:vMerge w:val="continue"/>
            <w:vAlign w:val="center"/>
          </w:tcPr>
          <w:p w14:paraId="6741108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2839" w:type="dxa"/>
            <w:vAlign w:val="center"/>
          </w:tcPr>
          <w:p w14:paraId="515D42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昼间</w:t>
            </w:r>
          </w:p>
        </w:tc>
        <w:tc>
          <w:tcPr>
            <w:tcW w:w="2839" w:type="dxa"/>
            <w:vAlign w:val="center"/>
          </w:tcPr>
          <w:p w14:paraId="6E5869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夜间</w:t>
            </w:r>
          </w:p>
        </w:tc>
      </w:tr>
      <w:tr w14:paraId="36AF8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38" w:type="dxa"/>
            <w:vAlign w:val="center"/>
          </w:tcPr>
          <w:p w14:paraId="16F09B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2类</w:t>
            </w:r>
          </w:p>
        </w:tc>
        <w:tc>
          <w:tcPr>
            <w:tcW w:w="2839" w:type="dxa"/>
            <w:vAlign w:val="center"/>
          </w:tcPr>
          <w:p w14:paraId="41998E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60</w:t>
            </w:r>
          </w:p>
        </w:tc>
        <w:tc>
          <w:tcPr>
            <w:tcW w:w="2839" w:type="dxa"/>
            <w:vAlign w:val="center"/>
          </w:tcPr>
          <w:p w14:paraId="4674FC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50</w:t>
            </w:r>
          </w:p>
        </w:tc>
      </w:tr>
      <w:tr w14:paraId="26F1C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38" w:type="dxa"/>
            <w:vAlign w:val="center"/>
          </w:tcPr>
          <w:p w14:paraId="60FAFA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3类</w:t>
            </w:r>
          </w:p>
        </w:tc>
        <w:tc>
          <w:tcPr>
            <w:tcW w:w="2839" w:type="dxa"/>
            <w:vAlign w:val="center"/>
          </w:tcPr>
          <w:p w14:paraId="17B2D9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65</w:t>
            </w:r>
          </w:p>
        </w:tc>
        <w:tc>
          <w:tcPr>
            <w:tcW w:w="2839" w:type="dxa"/>
            <w:vAlign w:val="center"/>
          </w:tcPr>
          <w:p w14:paraId="7E6232A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55</w:t>
            </w:r>
          </w:p>
        </w:tc>
      </w:tr>
      <w:tr w14:paraId="5D314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38" w:type="dxa"/>
            <w:vAlign w:val="center"/>
          </w:tcPr>
          <w:p w14:paraId="43FA171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4a类</w:t>
            </w:r>
          </w:p>
        </w:tc>
        <w:tc>
          <w:tcPr>
            <w:tcW w:w="2839" w:type="dxa"/>
            <w:vAlign w:val="center"/>
          </w:tcPr>
          <w:p w14:paraId="3635C9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70</w:t>
            </w:r>
          </w:p>
        </w:tc>
        <w:tc>
          <w:tcPr>
            <w:tcW w:w="2839" w:type="dxa"/>
            <w:vAlign w:val="center"/>
          </w:tcPr>
          <w:p w14:paraId="5352CF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55</w:t>
            </w:r>
          </w:p>
        </w:tc>
      </w:tr>
    </w:tbl>
    <w:p w14:paraId="3696B33A">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2）废气</w:t>
      </w:r>
    </w:p>
    <w:p w14:paraId="321155F4">
      <w:pPr>
        <w:keepNext w:val="0"/>
        <w:keepLines w:val="0"/>
        <w:widowControl/>
        <w:suppressLineNumbers w:val="0"/>
        <w:jc w:val="left"/>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lang w:val="en-US" w:eastAsia="zh-CN" w:bidi="ar"/>
        </w:rPr>
        <w:t>沥青拌合站产生的沥青烟、苯并[a]芘执行《大气污染物综合排放标准》（GB16297-1996）中的二级标准；水稳拌合站、混凝土拌合站排放的粉尘执行《水泥工业大气污染物排放标准》（GB4915-2013）表1中大气污染物有组织排放限值及表3中大气污染物无组织排放限值；施工期施工扬尘属无组织排放源，执行《大气污染物综合排放标准》（GB16297-1996）表2中二级标准。大气污染物排放标准限值，具体见表2.4-</w:t>
      </w:r>
      <w:r>
        <w:rPr>
          <w:rFonts w:hint="eastAsia" w:ascii="Times New Roman" w:hAnsi="Times New Roman" w:cs="Times New Roman"/>
          <w:color w:val="auto"/>
          <w:kern w:val="0"/>
          <w:sz w:val="24"/>
          <w:szCs w:val="24"/>
          <w:lang w:val="en-US" w:eastAsia="zh-CN" w:bidi="ar"/>
        </w:rPr>
        <w:t>6</w:t>
      </w:r>
      <w:r>
        <w:rPr>
          <w:rFonts w:hint="default" w:ascii="Times New Roman" w:hAnsi="Times New Roman" w:eastAsia="宋体" w:cs="Times New Roman"/>
          <w:color w:val="auto"/>
          <w:kern w:val="0"/>
          <w:sz w:val="24"/>
          <w:szCs w:val="24"/>
          <w:lang w:val="en-US" w:eastAsia="zh-CN" w:bidi="ar"/>
        </w:rPr>
        <w:t>。本项目全线设置1处收费站、1处</w:t>
      </w:r>
      <w:r>
        <w:rPr>
          <w:rFonts w:hint="eastAsia" w:ascii="Times New Roman" w:hAnsi="Times New Roman" w:cs="Times New Roman"/>
          <w:color w:val="auto"/>
          <w:kern w:val="0"/>
          <w:sz w:val="24"/>
          <w:szCs w:val="24"/>
          <w:lang w:val="en-US" w:eastAsia="zh-CN" w:bidi="ar"/>
        </w:rPr>
        <w:t>隧道管理站（与收费站合建）</w:t>
      </w:r>
      <w:r>
        <w:rPr>
          <w:rFonts w:hint="default" w:ascii="Times New Roman" w:hAnsi="Times New Roman" w:eastAsia="宋体" w:cs="Times New Roman"/>
          <w:color w:val="auto"/>
          <w:kern w:val="0"/>
          <w:sz w:val="24"/>
          <w:szCs w:val="24"/>
          <w:lang w:val="en-US" w:eastAsia="zh-CN" w:bidi="ar"/>
        </w:rPr>
        <w:t>等服务设施，均采用电采暖，只为公路服务，不设置餐饮等服务功能。</w:t>
      </w:r>
    </w:p>
    <w:p w14:paraId="120F448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lang w:val="en-US"/>
        </w:rPr>
      </w:pPr>
      <w:r>
        <w:rPr>
          <w:rFonts w:hint="default" w:ascii="Times New Roman" w:hAnsi="Times New Roman" w:eastAsia="宋体" w:cs="Times New Roman"/>
          <w:b/>
          <w:color w:val="auto"/>
          <w:kern w:val="2"/>
          <w:sz w:val="21"/>
          <w:szCs w:val="21"/>
          <w:lang w:val="en-US" w:eastAsia="zh-CN" w:bidi="ar-SA"/>
        </w:rPr>
        <w:t>表2.4-</w:t>
      </w:r>
      <w:r>
        <w:rPr>
          <w:rFonts w:hint="default" w:ascii="Times New Roman" w:hAnsi="Times New Roman" w:cs="Times New Roman"/>
          <w:b/>
          <w:color w:val="auto"/>
          <w:kern w:val="2"/>
          <w:sz w:val="21"/>
          <w:szCs w:val="21"/>
          <w:lang w:val="en-US" w:eastAsia="zh-CN" w:bidi="ar-SA"/>
        </w:rPr>
        <w:t>6</w:t>
      </w:r>
      <w:r>
        <w:rPr>
          <w:rFonts w:hint="default" w:ascii="Times New Roman" w:hAnsi="Times New Roman" w:eastAsia="宋体" w:cs="Times New Roman"/>
          <w:b/>
          <w:color w:val="auto"/>
          <w:kern w:val="2"/>
          <w:sz w:val="21"/>
          <w:szCs w:val="21"/>
          <w:lang w:val="en-US" w:eastAsia="zh-CN" w:bidi="ar-SA"/>
        </w:rPr>
        <w:t xml:space="preserve"> </w:t>
      </w:r>
      <w:r>
        <w:rPr>
          <w:rFonts w:hint="eastAsia" w:cs="Times New Roman"/>
          <w:b/>
          <w:bCs/>
          <w:color w:val="auto"/>
          <w:kern w:val="0"/>
          <w:sz w:val="21"/>
          <w:szCs w:val="21"/>
          <w:lang w:val="en-US" w:eastAsia="zh-CN" w:bidi="ar"/>
        </w:rPr>
        <w:t>施工期大气污染物排放标准限值</w:t>
      </w:r>
    </w:p>
    <w:tbl>
      <w:tblPr>
        <w:tblStyle w:val="30"/>
        <w:tblW w:w="501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08"/>
        <w:gridCol w:w="1012"/>
        <w:gridCol w:w="1512"/>
        <w:gridCol w:w="1275"/>
        <w:gridCol w:w="1623"/>
        <w:gridCol w:w="1903"/>
      </w:tblGrid>
      <w:tr w14:paraId="231DE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blHeader/>
          <w:jc w:val="center"/>
        </w:trPr>
        <w:tc>
          <w:tcPr>
            <w:tcW w:w="605" w:type="pct"/>
            <w:vMerge w:val="restart"/>
            <w:tcBorders>
              <w:tl2br w:val="nil"/>
              <w:tr2bl w:val="nil"/>
            </w:tcBorders>
            <w:noWrap w:val="0"/>
            <w:vAlign w:val="center"/>
          </w:tcPr>
          <w:p w14:paraId="1126B3D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污染物</w:t>
            </w:r>
          </w:p>
        </w:tc>
        <w:tc>
          <w:tcPr>
            <w:tcW w:w="607" w:type="pct"/>
            <w:vMerge w:val="restart"/>
            <w:tcBorders>
              <w:tl2br w:val="nil"/>
              <w:tr2bl w:val="nil"/>
            </w:tcBorders>
            <w:noWrap w:val="0"/>
            <w:vAlign w:val="center"/>
          </w:tcPr>
          <w:p w14:paraId="0A6EC37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最高允许排放浓度</w:t>
            </w:r>
          </w:p>
          <w:p w14:paraId="0C3F050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mg/m</w:t>
            </w:r>
            <w:r>
              <w:rPr>
                <w:rFonts w:hint="default" w:ascii="Times New Roman" w:hAnsi="Times New Roman" w:eastAsia="宋体" w:cs="Times New Roman"/>
                <w:color w:val="auto"/>
                <w:kern w:val="0"/>
                <w:sz w:val="21"/>
                <w:szCs w:val="21"/>
                <w:vertAlign w:val="superscript"/>
                <w:lang w:val="en-US" w:eastAsia="zh-CN" w:bidi="ar"/>
              </w:rPr>
              <w:t>3</w:t>
            </w:r>
          </w:p>
        </w:tc>
        <w:tc>
          <w:tcPr>
            <w:tcW w:w="1672" w:type="pct"/>
            <w:gridSpan w:val="2"/>
            <w:tcBorders>
              <w:tl2br w:val="nil"/>
              <w:tr2bl w:val="nil"/>
            </w:tcBorders>
            <w:noWrap w:val="0"/>
            <w:vAlign w:val="center"/>
          </w:tcPr>
          <w:p w14:paraId="1906445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最高允许排放速率（kg/h）</w:t>
            </w:r>
          </w:p>
        </w:tc>
        <w:tc>
          <w:tcPr>
            <w:tcW w:w="972" w:type="pct"/>
            <w:vMerge w:val="restart"/>
            <w:tcBorders>
              <w:tl2br w:val="nil"/>
              <w:tr2bl w:val="nil"/>
            </w:tcBorders>
            <w:noWrap w:val="0"/>
            <w:vAlign w:val="center"/>
          </w:tcPr>
          <w:p w14:paraId="0B70681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无组织排放限制（监测点为周界外浓度最高点）</w:t>
            </w:r>
          </w:p>
        </w:tc>
        <w:tc>
          <w:tcPr>
            <w:tcW w:w="1142" w:type="pct"/>
            <w:vMerge w:val="restart"/>
            <w:tcBorders>
              <w:tl2br w:val="nil"/>
              <w:tr2bl w:val="nil"/>
            </w:tcBorders>
            <w:noWrap w:val="0"/>
            <w:vAlign w:val="center"/>
          </w:tcPr>
          <w:p w14:paraId="4C33855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标准依据</w:t>
            </w:r>
          </w:p>
        </w:tc>
      </w:tr>
      <w:tr w14:paraId="79009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blHeader/>
          <w:jc w:val="center"/>
        </w:trPr>
        <w:tc>
          <w:tcPr>
            <w:tcW w:w="605" w:type="pct"/>
            <w:vMerge w:val="continue"/>
            <w:tcBorders>
              <w:tl2br w:val="nil"/>
              <w:tr2bl w:val="nil"/>
            </w:tcBorders>
            <w:noWrap w:val="0"/>
            <w:vAlign w:val="center"/>
          </w:tcPr>
          <w:p w14:paraId="08652F4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p>
        </w:tc>
        <w:tc>
          <w:tcPr>
            <w:tcW w:w="607" w:type="pct"/>
            <w:vMerge w:val="continue"/>
            <w:tcBorders>
              <w:tl2br w:val="nil"/>
              <w:tr2bl w:val="nil"/>
            </w:tcBorders>
            <w:noWrap w:val="0"/>
            <w:vAlign w:val="center"/>
          </w:tcPr>
          <w:p w14:paraId="724E14E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p>
        </w:tc>
        <w:tc>
          <w:tcPr>
            <w:tcW w:w="907" w:type="pct"/>
            <w:tcBorders>
              <w:tl2br w:val="nil"/>
              <w:tr2bl w:val="nil"/>
            </w:tcBorders>
            <w:noWrap w:val="0"/>
            <w:vAlign w:val="center"/>
          </w:tcPr>
          <w:p w14:paraId="2C6D23F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排气筒高度（m）</w:t>
            </w:r>
          </w:p>
        </w:tc>
        <w:tc>
          <w:tcPr>
            <w:tcW w:w="764" w:type="pct"/>
            <w:tcBorders>
              <w:tl2br w:val="nil"/>
              <w:tr2bl w:val="nil"/>
            </w:tcBorders>
            <w:noWrap w:val="0"/>
            <w:vAlign w:val="center"/>
          </w:tcPr>
          <w:p w14:paraId="4850BB9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二级</w:t>
            </w:r>
          </w:p>
        </w:tc>
        <w:tc>
          <w:tcPr>
            <w:tcW w:w="972" w:type="pct"/>
            <w:vMerge w:val="continue"/>
            <w:tcBorders>
              <w:tl2br w:val="nil"/>
              <w:tr2bl w:val="nil"/>
            </w:tcBorders>
            <w:noWrap w:val="0"/>
            <w:vAlign w:val="center"/>
          </w:tcPr>
          <w:p w14:paraId="64D0390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p>
        </w:tc>
        <w:tc>
          <w:tcPr>
            <w:tcW w:w="1142" w:type="pct"/>
            <w:vMerge w:val="continue"/>
            <w:tcBorders>
              <w:tl2br w:val="nil"/>
              <w:tr2bl w:val="nil"/>
            </w:tcBorders>
            <w:noWrap w:val="0"/>
            <w:vAlign w:val="center"/>
          </w:tcPr>
          <w:p w14:paraId="4870B86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p>
        </w:tc>
      </w:tr>
      <w:tr w14:paraId="15A87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12" w:hRule="atLeast"/>
          <w:jc w:val="center"/>
        </w:trPr>
        <w:tc>
          <w:tcPr>
            <w:tcW w:w="605" w:type="pct"/>
            <w:tcBorders>
              <w:tl2br w:val="nil"/>
              <w:tr2bl w:val="nil"/>
            </w:tcBorders>
            <w:noWrap w:val="0"/>
            <w:vAlign w:val="center"/>
          </w:tcPr>
          <w:p w14:paraId="6961A0E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沥青烟</w:t>
            </w:r>
          </w:p>
        </w:tc>
        <w:tc>
          <w:tcPr>
            <w:tcW w:w="607" w:type="pct"/>
            <w:tcBorders>
              <w:tl2br w:val="nil"/>
              <w:tr2bl w:val="nil"/>
            </w:tcBorders>
            <w:noWrap w:val="0"/>
            <w:vAlign w:val="center"/>
          </w:tcPr>
          <w:p w14:paraId="7172A2C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75</w:t>
            </w:r>
          </w:p>
        </w:tc>
        <w:tc>
          <w:tcPr>
            <w:tcW w:w="907" w:type="pct"/>
            <w:tcBorders>
              <w:tl2br w:val="nil"/>
              <w:tr2bl w:val="nil"/>
            </w:tcBorders>
            <w:noWrap w:val="0"/>
            <w:vAlign w:val="center"/>
          </w:tcPr>
          <w:p w14:paraId="322C04A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15</w:t>
            </w:r>
          </w:p>
        </w:tc>
        <w:tc>
          <w:tcPr>
            <w:tcW w:w="764" w:type="pct"/>
            <w:tcBorders>
              <w:tl2br w:val="nil"/>
              <w:tr2bl w:val="nil"/>
            </w:tcBorders>
            <w:noWrap w:val="0"/>
            <w:vAlign w:val="center"/>
          </w:tcPr>
          <w:p w14:paraId="7AD54BC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0.18</w:t>
            </w:r>
          </w:p>
        </w:tc>
        <w:tc>
          <w:tcPr>
            <w:tcW w:w="972" w:type="pct"/>
            <w:vMerge w:val="restart"/>
            <w:tcBorders>
              <w:tl2br w:val="nil"/>
              <w:tr2bl w:val="nil"/>
            </w:tcBorders>
            <w:noWrap w:val="0"/>
            <w:vAlign w:val="center"/>
          </w:tcPr>
          <w:p w14:paraId="632AC92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生产设备不得有明显的无组织排放存在</w:t>
            </w:r>
          </w:p>
        </w:tc>
        <w:tc>
          <w:tcPr>
            <w:tcW w:w="1142" w:type="pct"/>
            <w:vMerge w:val="restart"/>
            <w:tcBorders>
              <w:tl2br w:val="nil"/>
              <w:tr2bl w:val="nil"/>
            </w:tcBorders>
            <w:noWrap w:val="0"/>
            <w:vAlign w:val="center"/>
          </w:tcPr>
          <w:p w14:paraId="606688C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《大气污染物综合排放标准》（GB16297-1996）</w:t>
            </w:r>
          </w:p>
        </w:tc>
      </w:tr>
      <w:tr w14:paraId="3FA32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12" w:hRule="atLeast"/>
          <w:jc w:val="center"/>
        </w:trPr>
        <w:tc>
          <w:tcPr>
            <w:tcW w:w="605" w:type="pct"/>
            <w:tcBorders>
              <w:tl2br w:val="nil"/>
              <w:tr2bl w:val="nil"/>
            </w:tcBorders>
            <w:noWrap w:val="0"/>
            <w:vAlign w:val="center"/>
          </w:tcPr>
          <w:p w14:paraId="6320D47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苯并[a]芘</w:t>
            </w:r>
          </w:p>
        </w:tc>
        <w:tc>
          <w:tcPr>
            <w:tcW w:w="607" w:type="pct"/>
            <w:tcBorders>
              <w:tl2br w:val="nil"/>
              <w:tr2bl w:val="nil"/>
            </w:tcBorders>
            <w:noWrap w:val="0"/>
            <w:vAlign w:val="center"/>
          </w:tcPr>
          <w:p w14:paraId="3B04232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0.3×10</w:t>
            </w:r>
            <w:r>
              <w:rPr>
                <w:rFonts w:hint="default" w:ascii="Times New Roman" w:hAnsi="Times New Roman" w:eastAsia="宋体" w:cs="Times New Roman"/>
                <w:color w:val="auto"/>
                <w:kern w:val="0"/>
                <w:sz w:val="21"/>
                <w:szCs w:val="21"/>
                <w:vertAlign w:val="superscript"/>
                <w:lang w:val="en-US" w:eastAsia="zh-CN" w:bidi="ar"/>
              </w:rPr>
              <w:t>-3</w:t>
            </w:r>
          </w:p>
        </w:tc>
        <w:tc>
          <w:tcPr>
            <w:tcW w:w="907" w:type="pct"/>
            <w:tcBorders>
              <w:tl2br w:val="nil"/>
              <w:tr2bl w:val="nil"/>
            </w:tcBorders>
            <w:noWrap w:val="0"/>
            <w:vAlign w:val="center"/>
          </w:tcPr>
          <w:p w14:paraId="1F79D57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15</w:t>
            </w:r>
          </w:p>
        </w:tc>
        <w:tc>
          <w:tcPr>
            <w:tcW w:w="764" w:type="pct"/>
            <w:tcBorders>
              <w:tl2br w:val="nil"/>
              <w:tr2bl w:val="nil"/>
            </w:tcBorders>
            <w:noWrap w:val="0"/>
            <w:vAlign w:val="center"/>
          </w:tcPr>
          <w:p w14:paraId="10AD97B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0.05×10</w:t>
            </w:r>
            <w:r>
              <w:rPr>
                <w:rFonts w:hint="default" w:ascii="Times New Roman" w:hAnsi="Times New Roman" w:eastAsia="宋体" w:cs="Times New Roman"/>
                <w:color w:val="auto"/>
                <w:kern w:val="0"/>
                <w:sz w:val="21"/>
                <w:szCs w:val="21"/>
                <w:vertAlign w:val="superscript"/>
                <w:lang w:val="en-US" w:eastAsia="zh-CN" w:bidi="ar"/>
              </w:rPr>
              <w:t>-3</w:t>
            </w:r>
          </w:p>
        </w:tc>
        <w:tc>
          <w:tcPr>
            <w:tcW w:w="972" w:type="pct"/>
            <w:vMerge w:val="continue"/>
            <w:tcBorders>
              <w:tl2br w:val="nil"/>
              <w:tr2bl w:val="nil"/>
            </w:tcBorders>
            <w:noWrap w:val="0"/>
            <w:vAlign w:val="center"/>
          </w:tcPr>
          <w:p w14:paraId="0FFDE2E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p>
        </w:tc>
        <w:tc>
          <w:tcPr>
            <w:tcW w:w="1142" w:type="pct"/>
            <w:vMerge w:val="continue"/>
            <w:tcBorders>
              <w:tl2br w:val="nil"/>
              <w:tr2bl w:val="nil"/>
            </w:tcBorders>
            <w:noWrap w:val="0"/>
            <w:vAlign w:val="center"/>
          </w:tcPr>
          <w:p w14:paraId="3778F86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p>
        </w:tc>
      </w:tr>
      <w:tr w14:paraId="7AA3C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12" w:hRule="atLeast"/>
          <w:jc w:val="center"/>
        </w:trPr>
        <w:tc>
          <w:tcPr>
            <w:tcW w:w="605" w:type="pct"/>
            <w:tcBorders>
              <w:tl2br w:val="nil"/>
              <w:tr2bl w:val="nil"/>
            </w:tcBorders>
            <w:noWrap w:val="0"/>
            <w:vAlign w:val="center"/>
          </w:tcPr>
          <w:p w14:paraId="121502E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颗粒物</w:t>
            </w:r>
          </w:p>
        </w:tc>
        <w:tc>
          <w:tcPr>
            <w:tcW w:w="607" w:type="pct"/>
            <w:tcBorders>
              <w:tl2br w:val="nil"/>
              <w:tr2bl w:val="nil"/>
            </w:tcBorders>
            <w:noWrap w:val="0"/>
            <w:vAlign w:val="center"/>
          </w:tcPr>
          <w:p w14:paraId="1F98581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120</w:t>
            </w:r>
          </w:p>
        </w:tc>
        <w:tc>
          <w:tcPr>
            <w:tcW w:w="907" w:type="pct"/>
            <w:tcBorders>
              <w:tl2br w:val="nil"/>
              <w:tr2bl w:val="nil"/>
            </w:tcBorders>
            <w:noWrap w:val="0"/>
            <w:vAlign w:val="center"/>
          </w:tcPr>
          <w:p w14:paraId="1173EC4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15</w:t>
            </w:r>
          </w:p>
        </w:tc>
        <w:tc>
          <w:tcPr>
            <w:tcW w:w="764" w:type="pct"/>
            <w:tcBorders>
              <w:tl2br w:val="nil"/>
              <w:tr2bl w:val="nil"/>
            </w:tcBorders>
            <w:noWrap w:val="0"/>
            <w:vAlign w:val="center"/>
          </w:tcPr>
          <w:p w14:paraId="6CA5F72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3.5</w:t>
            </w:r>
          </w:p>
        </w:tc>
        <w:tc>
          <w:tcPr>
            <w:tcW w:w="972" w:type="pct"/>
            <w:vMerge w:val="continue"/>
            <w:tcBorders>
              <w:tl2br w:val="nil"/>
              <w:tr2bl w:val="nil"/>
            </w:tcBorders>
            <w:noWrap w:val="0"/>
            <w:vAlign w:val="center"/>
          </w:tcPr>
          <w:p w14:paraId="11B9867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p>
        </w:tc>
        <w:tc>
          <w:tcPr>
            <w:tcW w:w="1142" w:type="pct"/>
            <w:vMerge w:val="continue"/>
            <w:tcBorders>
              <w:tl2br w:val="nil"/>
              <w:tr2bl w:val="nil"/>
            </w:tcBorders>
            <w:noWrap w:val="0"/>
            <w:vAlign w:val="center"/>
          </w:tcPr>
          <w:p w14:paraId="259638D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p>
        </w:tc>
      </w:tr>
      <w:tr w14:paraId="42E8C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12" w:hRule="atLeast"/>
          <w:jc w:val="center"/>
        </w:trPr>
        <w:tc>
          <w:tcPr>
            <w:tcW w:w="605" w:type="pct"/>
            <w:tcBorders>
              <w:tl2br w:val="nil"/>
              <w:tr2bl w:val="nil"/>
            </w:tcBorders>
            <w:noWrap w:val="0"/>
            <w:vAlign w:val="center"/>
          </w:tcPr>
          <w:p w14:paraId="7C1EB36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颗粒物</w:t>
            </w:r>
          </w:p>
          <w:p w14:paraId="338AA80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（无组织）</w:t>
            </w:r>
          </w:p>
        </w:tc>
        <w:tc>
          <w:tcPr>
            <w:tcW w:w="3252" w:type="pct"/>
            <w:gridSpan w:val="4"/>
            <w:tcBorders>
              <w:tl2br w:val="nil"/>
              <w:tr2bl w:val="nil"/>
            </w:tcBorders>
            <w:noWrap w:val="0"/>
            <w:vAlign w:val="center"/>
          </w:tcPr>
          <w:p w14:paraId="7E0DCE8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周界外浓度最高点不高于1.0mg/m</w:t>
            </w:r>
            <w:r>
              <w:rPr>
                <w:rFonts w:hint="default" w:ascii="Times New Roman" w:hAnsi="Times New Roman" w:eastAsia="宋体" w:cs="Times New Roman"/>
                <w:color w:val="auto"/>
                <w:kern w:val="0"/>
                <w:sz w:val="21"/>
                <w:szCs w:val="21"/>
                <w:vertAlign w:val="superscript"/>
                <w:lang w:val="en-US" w:eastAsia="zh-CN" w:bidi="ar"/>
              </w:rPr>
              <w:t>3</w:t>
            </w:r>
          </w:p>
        </w:tc>
        <w:tc>
          <w:tcPr>
            <w:tcW w:w="1142" w:type="pct"/>
            <w:vMerge w:val="continue"/>
            <w:tcBorders>
              <w:tl2br w:val="nil"/>
              <w:tr2bl w:val="nil"/>
            </w:tcBorders>
            <w:noWrap w:val="0"/>
            <w:vAlign w:val="center"/>
          </w:tcPr>
          <w:p w14:paraId="456779E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p>
        </w:tc>
      </w:tr>
      <w:tr w14:paraId="08B57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12" w:hRule="atLeast"/>
          <w:jc w:val="center"/>
        </w:trPr>
        <w:tc>
          <w:tcPr>
            <w:tcW w:w="605" w:type="pct"/>
            <w:vMerge w:val="restart"/>
            <w:tcBorders>
              <w:tl2br w:val="nil"/>
              <w:tr2bl w:val="nil"/>
            </w:tcBorders>
            <w:noWrap w:val="0"/>
            <w:vAlign w:val="center"/>
          </w:tcPr>
          <w:p w14:paraId="289F3D4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颗粒物</w:t>
            </w:r>
          </w:p>
        </w:tc>
        <w:tc>
          <w:tcPr>
            <w:tcW w:w="3252" w:type="pct"/>
            <w:gridSpan w:val="4"/>
            <w:tcBorders>
              <w:tl2br w:val="nil"/>
              <w:tr2bl w:val="nil"/>
            </w:tcBorders>
            <w:noWrap w:val="0"/>
            <w:vAlign w:val="center"/>
          </w:tcPr>
          <w:p w14:paraId="77AF01F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有组织排放浓度限值20</w:t>
            </w:r>
            <w:r>
              <w:rPr>
                <w:rFonts w:hint="default" w:ascii="Times New Roman" w:hAnsi="Times New Roman" w:eastAsia="宋体" w:cs="Times New Roman"/>
                <w:color w:val="auto"/>
                <w:kern w:val="0"/>
                <w:sz w:val="21"/>
                <w:szCs w:val="21"/>
                <w:lang w:val="en-US" w:eastAsia="zh-CN" w:bidi="ar"/>
              </w:rPr>
              <w:t>mg/m</w:t>
            </w:r>
            <w:r>
              <w:rPr>
                <w:rFonts w:hint="default" w:ascii="Times New Roman" w:hAnsi="Times New Roman" w:eastAsia="宋体" w:cs="Times New Roman"/>
                <w:color w:val="auto"/>
                <w:kern w:val="0"/>
                <w:sz w:val="21"/>
                <w:szCs w:val="21"/>
                <w:vertAlign w:val="superscript"/>
                <w:lang w:val="en-US" w:eastAsia="zh-CN" w:bidi="ar"/>
              </w:rPr>
              <w:t>3</w:t>
            </w:r>
          </w:p>
        </w:tc>
        <w:tc>
          <w:tcPr>
            <w:tcW w:w="1142" w:type="pct"/>
            <w:vMerge w:val="restart"/>
            <w:tcBorders>
              <w:tl2br w:val="nil"/>
              <w:tr2bl w:val="nil"/>
            </w:tcBorders>
            <w:noWrap w:val="0"/>
            <w:vAlign w:val="center"/>
          </w:tcPr>
          <w:p w14:paraId="5B746F3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《水泥工业大气污染物排放标准》（</w:t>
            </w:r>
            <w:r>
              <w:rPr>
                <w:rFonts w:hint="default" w:ascii="Times New Roman" w:hAnsi="Times New Roman" w:eastAsia="宋体" w:cs="Times New Roman"/>
                <w:color w:val="auto"/>
                <w:kern w:val="0"/>
                <w:sz w:val="21"/>
                <w:szCs w:val="21"/>
                <w:lang w:val="en-US" w:eastAsia="zh-CN" w:bidi="ar"/>
              </w:rPr>
              <w:t>GB4915-2013</w:t>
            </w:r>
            <w:r>
              <w:rPr>
                <w:rFonts w:hint="eastAsia" w:ascii="Times New Roman" w:hAnsi="Times New Roman" w:eastAsia="宋体" w:cs="Times New Roman"/>
                <w:color w:val="auto"/>
                <w:kern w:val="0"/>
                <w:sz w:val="21"/>
                <w:szCs w:val="21"/>
                <w:lang w:val="en-US" w:eastAsia="zh-CN" w:bidi="ar"/>
              </w:rPr>
              <w:t>）</w:t>
            </w:r>
          </w:p>
        </w:tc>
      </w:tr>
      <w:tr w14:paraId="7780B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12" w:hRule="atLeast"/>
          <w:jc w:val="center"/>
        </w:trPr>
        <w:tc>
          <w:tcPr>
            <w:tcW w:w="605" w:type="pct"/>
            <w:vMerge w:val="continue"/>
            <w:tcBorders>
              <w:tl2br w:val="nil"/>
              <w:tr2bl w:val="nil"/>
            </w:tcBorders>
            <w:noWrap w:val="0"/>
            <w:vAlign w:val="center"/>
          </w:tcPr>
          <w:p w14:paraId="7E02455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
              </w:rPr>
            </w:pPr>
          </w:p>
        </w:tc>
        <w:tc>
          <w:tcPr>
            <w:tcW w:w="3252" w:type="pct"/>
            <w:gridSpan w:val="4"/>
            <w:tcBorders>
              <w:tl2br w:val="nil"/>
              <w:tr2bl w:val="nil"/>
            </w:tcBorders>
            <w:noWrap w:val="0"/>
            <w:vAlign w:val="center"/>
          </w:tcPr>
          <w:p w14:paraId="4732809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无组织排放限值0.5mg/m</w:t>
            </w:r>
            <w:r>
              <w:rPr>
                <w:rFonts w:hint="default" w:ascii="Times New Roman" w:hAnsi="Times New Roman" w:eastAsia="宋体" w:cs="Times New Roman"/>
                <w:color w:val="auto"/>
                <w:kern w:val="0"/>
                <w:sz w:val="21"/>
                <w:szCs w:val="21"/>
                <w:vertAlign w:val="superscript"/>
                <w:lang w:val="en-US" w:eastAsia="zh-CN" w:bidi="ar"/>
              </w:rPr>
              <w:t>3</w:t>
            </w:r>
          </w:p>
        </w:tc>
        <w:tc>
          <w:tcPr>
            <w:tcW w:w="1142" w:type="pct"/>
            <w:vMerge w:val="continue"/>
            <w:tcBorders>
              <w:tl2br w:val="nil"/>
              <w:tr2bl w:val="nil"/>
            </w:tcBorders>
            <w:noWrap w:val="0"/>
            <w:vAlign w:val="center"/>
          </w:tcPr>
          <w:p w14:paraId="162FBCA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
              </w:rPr>
            </w:pPr>
          </w:p>
        </w:tc>
      </w:tr>
    </w:tbl>
    <w:p w14:paraId="36C2FE8A">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3）废水</w:t>
      </w:r>
    </w:p>
    <w:p w14:paraId="42218B5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本项目运营期仅有收费站及养护工区，不设置服务区</w:t>
      </w:r>
      <w:r>
        <w:rPr>
          <w:rFonts w:hint="eastAsia" w:cs="Times New Roman"/>
          <w:color w:val="auto"/>
          <w:kern w:val="0"/>
          <w:sz w:val="24"/>
          <w:szCs w:val="24"/>
          <w:lang w:val="en-US" w:eastAsia="zh-CN" w:bidi="ar"/>
        </w:rPr>
        <w:t>，站区</w:t>
      </w:r>
      <w:r>
        <w:rPr>
          <w:rFonts w:hint="default" w:ascii="Times New Roman" w:hAnsi="Times New Roman" w:eastAsia="宋体" w:cs="Times New Roman"/>
          <w:color w:val="auto"/>
          <w:kern w:val="0"/>
          <w:sz w:val="24"/>
          <w:szCs w:val="24"/>
          <w:lang w:val="en-US" w:eastAsia="zh-CN" w:bidi="ar"/>
        </w:rPr>
        <w:t>设置一体化污水设备，生活污水处理达到《农村生活污水处理排放标准》（DB65</w:t>
      </w:r>
      <w:r>
        <w:rPr>
          <w:rFonts w:hint="eastAsia" w:cs="Times New Roman"/>
          <w:color w:val="auto"/>
          <w:kern w:val="0"/>
          <w:sz w:val="24"/>
          <w:szCs w:val="24"/>
          <w:lang w:val="en-US" w:eastAsia="zh-CN" w:bidi="ar"/>
        </w:rPr>
        <w:t xml:space="preserve"> </w:t>
      </w:r>
      <w:r>
        <w:rPr>
          <w:rFonts w:hint="default" w:ascii="Times New Roman" w:hAnsi="Times New Roman" w:eastAsia="宋体" w:cs="Times New Roman"/>
          <w:color w:val="auto"/>
          <w:kern w:val="0"/>
          <w:sz w:val="24"/>
          <w:szCs w:val="24"/>
          <w:lang w:val="en-US" w:eastAsia="zh-CN" w:bidi="ar"/>
        </w:rPr>
        <w:t>4275-2019）</w:t>
      </w:r>
      <w:r>
        <w:rPr>
          <w:rFonts w:hint="eastAsia" w:cs="Times New Roman"/>
          <w:color w:val="auto"/>
          <w:kern w:val="0"/>
          <w:sz w:val="24"/>
          <w:szCs w:val="24"/>
          <w:lang w:val="en-US" w:eastAsia="zh-CN" w:bidi="ar"/>
        </w:rPr>
        <w:t>A</w:t>
      </w:r>
      <w:r>
        <w:rPr>
          <w:rFonts w:hint="default" w:ascii="Times New Roman" w:hAnsi="Times New Roman" w:eastAsia="宋体" w:cs="Times New Roman"/>
          <w:color w:val="auto"/>
          <w:kern w:val="0"/>
          <w:sz w:val="24"/>
          <w:szCs w:val="24"/>
          <w:lang w:val="en-US" w:eastAsia="zh-CN" w:bidi="ar"/>
        </w:rPr>
        <w:t>级标准后回用项目区</w:t>
      </w:r>
      <w:r>
        <w:rPr>
          <w:rFonts w:hint="eastAsia" w:cs="Times New Roman"/>
          <w:color w:val="auto"/>
          <w:kern w:val="0"/>
          <w:sz w:val="24"/>
          <w:szCs w:val="24"/>
          <w:lang w:val="en-US" w:eastAsia="zh-CN" w:bidi="ar"/>
        </w:rPr>
        <w:t>绿化</w:t>
      </w:r>
      <w:r>
        <w:rPr>
          <w:rFonts w:hint="default" w:ascii="Times New Roman" w:hAnsi="Times New Roman" w:eastAsia="宋体" w:cs="Times New Roman"/>
          <w:color w:val="auto"/>
          <w:kern w:val="0"/>
          <w:sz w:val="24"/>
          <w:szCs w:val="24"/>
          <w:lang w:val="en-US" w:eastAsia="zh-CN" w:bidi="ar"/>
        </w:rPr>
        <w:t>，不外排</w:t>
      </w:r>
      <w:r>
        <w:rPr>
          <w:rFonts w:hint="eastAsia"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见表2.4-</w:t>
      </w:r>
      <w:r>
        <w:rPr>
          <w:rFonts w:hint="default" w:ascii="Times New Roman" w:hAnsi="Times New Roman" w:cs="Times New Roman"/>
          <w:color w:val="auto"/>
          <w:kern w:val="0"/>
          <w:sz w:val="24"/>
          <w:szCs w:val="24"/>
          <w:lang w:val="en-US" w:eastAsia="zh-CN" w:bidi="ar"/>
        </w:rPr>
        <w:t>7</w:t>
      </w:r>
      <w:r>
        <w:rPr>
          <w:rFonts w:hint="default" w:ascii="Times New Roman" w:hAnsi="Times New Roman" w:eastAsia="宋体" w:cs="Times New Roman"/>
          <w:color w:val="auto"/>
          <w:kern w:val="0"/>
          <w:sz w:val="24"/>
          <w:szCs w:val="24"/>
          <w:lang w:val="en-US" w:eastAsia="zh-CN" w:bidi="ar"/>
        </w:rPr>
        <w:t>。</w:t>
      </w:r>
    </w:p>
    <w:p w14:paraId="6504AEA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b/>
          <w:color w:val="auto"/>
          <w:kern w:val="2"/>
          <w:sz w:val="21"/>
          <w:szCs w:val="21"/>
          <w:lang w:val="en-US" w:eastAsia="zh-CN" w:bidi="ar-SA"/>
        </w:rPr>
        <w:t>表2.4-</w:t>
      </w:r>
      <w:r>
        <w:rPr>
          <w:rFonts w:hint="default" w:ascii="Times New Roman" w:hAnsi="Times New Roman" w:cs="Times New Roman"/>
          <w:b/>
          <w:color w:val="auto"/>
          <w:kern w:val="2"/>
          <w:sz w:val="21"/>
          <w:szCs w:val="21"/>
          <w:lang w:val="en-US" w:eastAsia="zh-CN" w:bidi="ar-SA"/>
        </w:rPr>
        <w:t>7</w:t>
      </w:r>
      <w:r>
        <w:rPr>
          <w:rFonts w:hint="default" w:ascii="Times New Roman" w:hAnsi="Times New Roman" w:eastAsia="宋体" w:cs="Times New Roman"/>
          <w:b/>
          <w:color w:val="auto"/>
          <w:kern w:val="2"/>
          <w:sz w:val="21"/>
          <w:szCs w:val="21"/>
          <w:lang w:val="en-US" w:eastAsia="zh-CN" w:bidi="ar-SA"/>
        </w:rPr>
        <w:t xml:space="preserve"> 《污水综合排放标准》（GB8978-1996）（摘录）</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6"/>
        <w:gridCol w:w="1443"/>
        <w:gridCol w:w="1463"/>
        <w:gridCol w:w="1656"/>
        <w:gridCol w:w="1370"/>
        <w:gridCol w:w="1375"/>
      </w:tblGrid>
      <w:tr w14:paraId="003B7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08" w:type="pct"/>
            <w:tcBorders>
              <w:tl2br w:val="nil"/>
              <w:tr2bl w:val="nil"/>
            </w:tcBorders>
            <w:noWrap w:val="0"/>
            <w:vAlign w:val="center"/>
          </w:tcPr>
          <w:p w14:paraId="4D117B3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项目</w:t>
            </w:r>
          </w:p>
        </w:tc>
        <w:tc>
          <w:tcPr>
            <w:tcW w:w="847" w:type="pct"/>
            <w:tcBorders>
              <w:tl2br w:val="nil"/>
              <w:tr2bl w:val="nil"/>
            </w:tcBorders>
            <w:noWrap w:val="0"/>
            <w:vAlign w:val="center"/>
          </w:tcPr>
          <w:p w14:paraId="3CD0B8F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pH</w:t>
            </w:r>
          </w:p>
        </w:tc>
        <w:tc>
          <w:tcPr>
            <w:tcW w:w="859" w:type="pct"/>
            <w:tcBorders>
              <w:tl2br w:val="nil"/>
              <w:tr2bl w:val="nil"/>
            </w:tcBorders>
            <w:noWrap w:val="0"/>
            <w:vAlign w:val="center"/>
          </w:tcPr>
          <w:p w14:paraId="36B8936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SS</w:t>
            </w:r>
            <w:r>
              <w:rPr>
                <w:rFonts w:hint="eastAsia" w:ascii="Times New Roman" w:hAnsi="Times New Roman" w:eastAsia="宋体"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mg/L</w:t>
            </w:r>
            <w:r>
              <w:rPr>
                <w:rFonts w:hint="eastAsia" w:ascii="Times New Roman" w:hAnsi="Times New Roman" w:eastAsia="宋体" w:cs="Times New Roman"/>
                <w:color w:val="auto"/>
                <w:kern w:val="0"/>
                <w:sz w:val="21"/>
                <w:szCs w:val="21"/>
                <w:lang w:val="en-US" w:eastAsia="zh-CN" w:bidi="ar"/>
              </w:rPr>
              <w:t>）</w:t>
            </w:r>
          </w:p>
        </w:tc>
        <w:tc>
          <w:tcPr>
            <w:tcW w:w="972" w:type="pct"/>
            <w:tcBorders>
              <w:tl2br w:val="nil"/>
              <w:tr2bl w:val="nil"/>
            </w:tcBorders>
            <w:noWrap w:val="0"/>
            <w:vAlign w:val="center"/>
          </w:tcPr>
          <w:p w14:paraId="45BF946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COD</w:t>
            </w:r>
            <w:r>
              <w:rPr>
                <w:rFonts w:hint="eastAsia" w:ascii="Times New Roman" w:hAnsi="Times New Roman" w:eastAsia="宋体"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mg/L</w:t>
            </w:r>
            <w:r>
              <w:rPr>
                <w:rFonts w:hint="eastAsia" w:ascii="Times New Roman" w:hAnsi="Times New Roman" w:eastAsia="宋体" w:cs="Times New Roman"/>
                <w:color w:val="auto"/>
                <w:kern w:val="0"/>
                <w:sz w:val="21"/>
                <w:szCs w:val="21"/>
                <w:lang w:val="en-US" w:eastAsia="zh-CN" w:bidi="ar"/>
              </w:rPr>
              <w:t>）</w:t>
            </w:r>
          </w:p>
        </w:tc>
        <w:tc>
          <w:tcPr>
            <w:tcW w:w="804" w:type="pct"/>
            <w:tcBorders>
              <w:tl2br w:val="nil"/>
              <w:tr2bl w:val="nil"/>
            </w:tcBorders>
            <w:noWrap w:val="0"/>
            <w:vAlign w:val="center"/>
          </w:tcPr>
          <w:p w14:paraId="3F6A741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蛔虫卵个数</w:t>
            </w:r>
          </w:p>
        </w:tc>
        <w:tc>
          <w:tcPr>
            <w:tcW w:w="807" w:type="pct"/>
            <w:tcBorders>
              <w:tl2br w:val="nil"/>
              <w:tr2bl w:val="nil"/>
            </w:tcBorders>
            <w:noWrap w:val="0"/>
            <w:vAlign w:val="center"/>
          </w:tcPr>
          <w:p w14:paraId="03616B9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粪大肠菌群</w:t>
            </w:r>
            <w:r>
              <w:rPr>
                <w:rFonts w:hint="eastAsia" w:ascii="Times New Roman" w:hAnsi="Times New Roman" w:eastAsia="宋体"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MPN/L</w:t>
            </w:r>
            <w:r>
              <w:rPr>
                <w:rFonts w:hint="eastAsia" w:ascii="Times New Roman" w:hAnsi="Times New Roman" w:eastAsia="宋体" w:cs="Times New Roman"/>
                <w:color w:val="auto"/>
                <w:kern w:val="0"/>
                <w:sz w:val="21"/>
                <w:szCs w:val="21"/>
                <w:lang w:val="en-US" w:eastAsia="zh-CN" w:bidi="ar"/>
              </w:rPr>
              <w:t>）</w:t>
            </w:r>
          </w:p>
        </w:tc>
      </w:tr>
      <w:tr w14:paraId="11AEA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08" w:type="pct"/>
            <w:tcBorders>
              <w:tl2br w:val="nil"/>
              <w:tr2bl w:val="nil"/>
            </w:tcBorders>
            <w:noWrap w:val="0"/>
            <w:vAlign w:val="center"/>
          </w:tcPr>
          <w:p w14:paraId="7B66BE1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A级标准</w:t>
            </w:r>
          </w:p>
        </w:tc>
        <w:tc>
          <w:tcPr>
            <w:tcW w:w="847" w:type="pct"/>
            <w:tcBorders>
              <w:tl2br w:val="nil"/>
              <w:tr2bl w:val="nil"/>
            </w:tcBorders>
            <w:noWrap w:val="0"/>
            <w:vAlign w:val="center"/>
          </w:tcPr>
          <w:p w14:paraId="69F72C5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6~9</w:t>
            </w:r>
          </w:p>
        </w:tc>
        <w:tc>
          <w:tcPr>
            <w:tcW w:w="859" w:type="pct"/>
            <w:tcBorders>
              <w:tl2br w:val="nil"/>
              <w:tr2bl w:val="nil"/>
            </w:tcBorders>
            <w:noWrap w:val="0"/>
            <w:vAlign w:val="center"/>
          </w:tcPr>
          <w:p w14:paraId="41B86C3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w:t>
            </w:r>
            <w:r>
              <w:rPr>
                <w:rFonts w:hint="eastAsia" w:ascii="Times New Roman" w:hAnsi="Times New Roman" w:eastAsia="宋体" w:cs="Times New Roman"/>
                <w:color w:val="auto"/>
                <w:kern w:val="0"/>
                <w:sz w:val="21"/>
                <w:szCs w:val="21"/>
                <w:lang w:val="en-US" w:eastAsia="zh-CN" w:bidi="ar"/>
              </w:rPr>
              <w:t>30</w:t>
            </w:r>
          </w:p>
        </w:tc>
        <w:tc>
          <w:tcPr>
            <w:tcW w:w="972" w:type="pct"/>
            <w:tcBorders>
              <w:tl2br w:val="nil"/>
              <w:tr2bl w:val="nil"/>
            </w:tcBorders>
            <w:noWrap w:val="0"/>
            <w:vAlign w:val="center"/>
          </w:tcPr>
          <w:p w14:paraId="5BECA16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w:t>
            </w:r>
            <w:r>
              <w:rPr>
                <w:rFonts w:hint="eastAsia" w:ascii="Times New Roman" w:hAnsi="Times New Roman" w:eastAsia="宋体" w:cs="Times New Roman"/>
                <w:color w:val="auto"/>
                <w:kern w:val="0"/>
                <w:sz w:val="21"/>
                <w:szCs w:val="21"/>
                <w:lang w:val="en-US" w:eastAsia="zh-CN" w:bidi="ar"/>
              </w:rPr>
              <w:t>60</w:t>
            </w:r>
          </w:p>
        </w:tc>
        <w:tc>
          <w:tcPr>
            <w:tcW w:w="804" w:type="pct"/>
            <w:tcBorders>
              <w:tl2br w:val="nil"/>
              <w:tr2bl w:val="nil"/>
            </w:tcBorders>
            <w:noWrap w:val="0"/>
            <w:vAlign w:val="center"/>
          </w:tcPr>
          <w:p w14:paraId="68EF321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w:t>
            </w:r>
            <w:r>
              <w:rPr>
                <w:rFonts w:hint="eastAsia" w:ascii="Times New Roman" w:hAnsi="Times New Roman" w:eastAsia="宋体" w:cs="Times New Roman"/>
                <w:color w:val="auto"/>
                <w:kern w:val="0"/>
                <w:sz w:val="21"/>
                <w:szCs w:val="21"/>
                <w:lang w:val="en-US" w:eastAsia="zh-CN" w:bidi="ar"/>
              </w:rPr>
              <w:t>2</w:t>
            </w:r>
          </w:p>
        </w:tc>
        <w:tc>
          <w:tcPr>
            <w:tcW w:w="807" w:type="pct"/>
            <w:tcBorders>
              <w:tl2br w:val="nil"/>
              <w:tr2bl w:val="nil"/>
            </w:tcBorders>
            <w:noWrap w:val="0"/>
            <w:vAlign w:val="center"/>
          </w:tcPr>
          <w:p w14:paraId="607CF76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w:t>
            </w:r>
            <w:r>
              <w:rPr>
                <w:rFonts w:hint="eastAsia" w:ascii="Times New Roman" w:hAnsi="Times New Roman" w:eastAsia="宋体" w:cs="Times New Roman"/>
                <w:color w:val="auto"/>
                <w:kern w:val="0"/>
                <w:sz w:val="21"/>
                <w:szCs w:val="21"/>
                <w:lang w:val="en-US" w:eastAsia="zh-CN" w:bidi="ar"/>
              </w:rPr>
              <w:t>10000</w:t>
            </w:r>
          </w:p>
        </w:tc>
      </w:tr>
    </w:tbl>
    <w:p w14:paraId="26547883">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4）固体废物</w:t>
      </w:r>
    </w:p>
    <w:p w14:paraId="5136DCC7">
      <w:pPr>
        <w:keepNext w:val="0"/>
        <w:keepLines w:val="0"/>
        <w:widowControl/>
        <w:suppressLineNumbers w:val="0"/>
        <w:jc w:val="both"/>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本项目一般固废执行《一般工业固体废物贮存和填埋污染控制标准》（GB 18599-2020）</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危险废物</w:t>
      </w:r>
      <w:r>
        <w:rPr>
          <w:rFonts w:hint="default" w:ascii="Times New Roman" w:hAnsi="Times New Roman" w:cs="Times New Roman"/>
          <w:color w:val="auto"/>
          <w:kern w:val="0"/>
          <w:sz w:val="24"/>
          <w:szCs w:val="24"/>
          <w:lang w:val="en-US" w:eastAsia="zh-CN" w:bidi="ar"/>
        </w:rPr>
        <w:t>执行</w:t>
      </w:r>
      <w:r>
        <w:rPr>
          <w:rFonts w:hint="default" w:ascii="Times New Roman" w:hAnsi="Times New Roman" w:eastAsia="宋体" w:cs="Times New Roman"/>
          <w:color w:val="auto"/>
          <w:kern w:val="0"/>
          <w:sz w:val="24"/>
          <w:szCs w:val="24"/>
          <w:lang w:val="en-US" w:eastAsia="zh-CN" w:bidi="ar"/>
        </w:rPr>
        <w:t>《危险废物贮存污染控制标准》（GB 18597-2023）的相关要求。其中，</w:t>
      </w:r>
      <w:r>
        <w:rPr>
          <w:rFonts w:hint="default" w:ascii="Times New Roman" w:hAnsi="Times New Roman" w:cs="Times New Roman"/>
          <w:color w:val="auto"/>
          <w:kern w:val="0"/>
          <w:sz w:val="24"/>
          <w:szCs w:val="24"/>
          <w:lang w:val="en-US" w:eastAsia="zh-CN" w:bidi="ar"/>
        </w:rPr>
        <w:t>施工期</w:t>
      </w:r>
      <w:r>
        <w:rPr>
          <w:rFonts w:hint="default" w:ascii="Times New Roman" w:hAnsi="Times New Roman" w:eastAsia="宋体" w:cs="Times New Roman"/>
          <w:color w:val="auto"/>
          <w:kern w:val="0"/>
          <w:sz w:val="24"/>
          <w:szCs w:val="24"/>
          <w:lang w:val="en-US" w:eastAsia="zh-CN" w:bidi="ar"/>
        </w:rPr>
        <w:t>建筑垃圾执行《建筑垃圾污染控制技术规范》（HJ1462-2026）有关要求。</w:t>
      </w:r>
    </w:p>
    <w:p w14:paraId="296F1AF5">
      <w:pPr>
        <w:pStyle w:val="3"/>
        <w:numPr>
          <w:ilvl w:val="1"/>
          <w:numId w:val="0"/>
        </w:numPr>
        <w:bidi w:val="0"/>
        <w:rPr>
          <w:rFonts w:hint="default" w:ascii="Times New Roman" w:hAnsi="Times New Roman" w:cs="Times New Roman"/>
          <w:color w:val="auto"/>
        </w:rPr>
      </w:pPr>
      <w:bookmarkStart w:id="702" w:name="_Toc31237"/>
      <w:bookmarkStart w:id="703" w:name="_Toc20100"/>
      <w:bookmarkStart w:id="704" w:name="_Toc9704"/>
      <w:bookmarkStart w:id="705" w:name="_Toc5044"/>
      <w:bookmarkStart w:id="706" w:name="_Toc12911"/>
      <w:bookmarkStart w:id="707" w:name="_Toc17892"/>
      <w:bookmarkStart w:id="708" w:name="_Toc15134"/>
      <w:bookmarkStart w:id="709" w:name="_Toc12992"/>
      <w:bookmarkStart w:id="710" w:name="_Toc29296"/>
      <w:bookmarkStart w:id="711" w:name="_Toc5882"/>
      <w:r>
        <w:rPr>
          <w:rFonts w:hint="default" w:ascii="Times New Roman" w:hAnsi="Times New Roman" w:cs="Times New Roman"/>
          <w:color w:val="auto"/>
          <w:lang w:val="en-US" w:eastAsia="zh-CN"/>
        </w:rPr>
        <w:t>2</w:t>
      </w:r>
      <w:r>
        <w:rPr>
          <w:rFonts w:hint="default" w:ascii="Times New Roman" w:hAnsi="Times New Roman" w:cs="Times New Roman"/>
          <w:color w:val="auto"/>
        </w:rPr>
        <w:t>.</w:t>
      </w:r>
      <w:r>
        <w:rPr>
          <w:rFonts w:hint="default" w:ascii="Times New Roman" w:hAnsi="Times New Roman" w:cs="Times New Roman"/>
          <w:color w:val="auto"/>
          <w:lang w:val="en-US" w:eastAsia="zh-CN"/>
        </w:rPr>
        <w:t>5 评价等级和评价范围</w:t>
      </w:r>
      <w:bookmarkEnd w:id="702"/>
      <w:bookmarkEnd w:id="703"/>
      <w:bookmarkEnd w:id="704"/>
      <w:bookmarkEnd w:id="705"/>
      <w:bookmarkEnd w:id="706"/>
      <w:bookmarkEnd w:id="707"/>
      <w:bookmarkEnd w:id="708"/>
      <w:bookmarkEnd w:id="709"/>
      <w:bookmarkEnd w:id="710"/>
      <w:bookmarkEnd w:id="711"/>
    </w:p>
    <w:p w14:paraId="0E38C74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根据《环境影响评价技术导则 </w:t>
      </w:r>
      <w:r>
        <w:rPr>
          <w:rFonts w:hint="default" w:ascii="Times New Roman" w:hAnsi="Times New Roman" w:cs="Times New Roman"/>
          <w:color w:val="auto"/>
          <w:kern w:val="0"/>
          <w:sz w:val="24"/>
          <w:szCs w:val="24"/>
          <w:lang w:val="en-US" w:eastAsia="zh-CN" w:bidi="ar"/>
        </w:rPr>
        <w:t>公路建设项目</w:t>
      </w:r>
      <w:r>
        <w:rPr>
          <w:rFonts w:hint="default" w:ascii="Times New Roman" w:hAnsi="Times New Roman" w:eastAsia="宋体" w:cs="Times New Roman"/>
          <w:color w:val="auto"/>
          <w:kern w:val="0"/>
          <w:sz w:val="24"/>
          <w:szCs w:val="24"/>
          <w:lang w:val="en-US" w:eastAsia="zh-CN" w:bidi="ar"/>
        </w:rPr>
        <w:t xml:space="preserve">》（HJ </w:t>
      </w:r>
      <w:r>
        <w:rPr>
          <w:rFonts w:hint="default" w:ascii="Times New Roman" w:hAnsi="Times New Roman" w:cs="Times New Roman"/>
          <w:color w:val="auto"/>
          <w:kern w:val="0"/>
          <w:sz w:val="24"/>
          <w:szCs w:val="24"/>
          <w:lang w:val="en-US" w:eastAsia="zh-CN" w:bidi="ar"/>
        </w:rPr>
        <w:t>1358</w:t>
      </w:r>
      <w:r>
        <w:rPr>
          <w:rFonts w:hint="default" w:ascii="Times New Roman" w:hAnsi="Times New Roman" w:eastAsia="宋体" w:cs="Times New Roman"/>
          <w:color w:val="auto"/>
          <w:kern w:val="0"/>
          <w:sz w:val="24"/>
          <w:szCs w:val="24"/>
          <w:lang w:val="en-US" w:eastAsia="zh-CN" w:bidi="ar"/>
        </w:rPr>
        <w:t>-202</w:t>
      </w:r>
      <w:r>
        <w:rPr>
          <w:rFonts w:hint="default" w:ascii="Times New Roman" w:hAnsi="Times New Roman" w:cs="Times New Roman"/>
          <w:color w:val="auto"/>
          <w:kern w:val="0"/>
          <w:sz w:val="24"/>
          <w:szCs w:val="24"/>
          <w:lang w:val="en-US" w:eastAsia="zh-CN" w:bidi="ar"/>
        </w:rPr>
        <w:t>4</w:t>
      </w:r>
      <w:r>
        <w:rPr>
          <w:rFonts w:hint="default" w:ascii="Times New Roman" w:hAnsi="Times New Roman" w:eastAsia="宋体" w:cs="Times New Roman"/>
          <w:color w:val="auto"/>
          <w:kern w:val="0"/>
          <w:sz w:val="24"/>
          <w:szCs w:val="24"/>
          <w:lang w:val="en-US" w:eastAsia="zh-CN" w:bidi="ar"/>
        </w:rPr>
        <w:t>），结合拟建公路特点和沿线环境特征，各专题评价工作等级见</w:t>
      </w:r>
      <w:r>
        <w:rPr>
          <w:rFonts w:hint="default" w:ascii="Times New Roman" w:hAnsi="Times New Roman" w:cs="Times New Roman"/>
          <w:color w:val="auto"/>
          <w:kern w:val="0"/>
          <w:sz w:val="24"/>
          <w:szCs w:val="24"/>
          <w:lang w:val="en-US" w:eastAsia="zh-CN" w:bidi="ar"/>
        </w:rPr>
        <w:t>下表</w:t>
      </w:r>
      <w:r>
        <w:rPr>
          <w:rFonts w:hint="default" w:ascii="Times New Roman" w:hAnsi="Times New Roman" w:eastAsia="宋体" w:cs="Times New Roman"/>
          <w:color w:val="auto"/>
          <w:kern w:val="0"/>
          <w:sz w:val="24"/>
          <w:szCs w:val="24"/>
          <w:lang w:val="en-US" w:eastAsia="zh-CN" w:bidi="ar"/>
        </w:rPr>
        <w:t>。</w:t>
      </w:r>
    </w:p>
    <w:p w14:paraId="392B543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
        </w:rPr>
        <w:t>表2.5-1 拟建公路环境影响评价等级划分及依据</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5"/>
        <w:gridCol w:w="5809"/>
        <w:gridCol w:w="1442"/>
      </w:tblGrid>
      <w:tr w14:paraId="521C9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5" w:type="dxa"/>
            <w:vAlign w:val="center"/>
          </w:tcPr>
          <w:p w14:paraId="0029656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vertAlign w:val="baseline"/>
              </w:rPr>
            </w:pPr>
            <w:r>
              <w:rPr>
                <w:rFonts w:hint="default" w:ascii="Times New Roman" w:hAnsi="Times New Roman" w:eastAsia="宋体" w:cs="Times New Roman"/>
                <w:b/>
                <w:bCs/>
                <w:color w:val="auto"/>
                <w:kern w:val="0"/>
                <w:sz w:val="21"/>
                <w:szCs w:val="21"/>
                <w:lang w:val="en-US" w:eastAsia="zh-CN" w:bidi="ar"/>
              </w:rPr>
              <w:t>环境要素</w:t>
            </w:r>
          </w:p>
        </w:tc>
        <w:tc>
          <w:tcPr>
            <w:tcW w:w="5809" w:type="dxa"/>
            <w:vAlign w:val="center"/>
          </w:tcPr>
          <w:p w14:paraId="4143A5A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vertAlign w:val="baseline"/>
              </w:rPr>
            </w:pPr>
            <w:r>
              <w:rPr>
                <w:rFonts w:hint="default" w:ascii="Times New Roman" w:hAnsi="Times New Roman" w:eastAsia="宋体" w:cs="Times New Roman"/>
                <w:b/>
                <w:bCs/>
                <w:color w:val="auto"/>
                <w:kern w:val="0"/>
                <w:sz w:val="21"/>
                <w:szCs w:val="21"/>
                <w:lang w:val="en-US" w:eastAsia="zh-CN" w:bidi="ar"/>
              </w:rPr>
              <w:t>评价等级判定依据</w:t>
            </w:r>
          </w:p>
        </w:tc>
        <w:tc>
          <w:tcPr>
            <w:tcW w:w="1442" w:type="dxa"/>
            <w:vAlign w:val="center"/>
          </w:tcPr>
          <w:p w14:paraId="15216F0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vertAlign w:val="baseline"/>
              </w:rPr>
            </w:pPr>
            <w:r>
              <w:rPr>
                <w:rFonts w:hint="default" w:ascii="Times New Roman" w:hAnsi="Times New Roman" w:eastAsia="宋体" w:cs="Times New Roman"/>
                <w:b/>
                <w:bCs/>
                <w:color w:val="auto"/>
                <w:kern w:val="0"/>
                <w:sz w:val="21"/>
                <w:szCs w:val="21"/>
                <w:lang w:val="en-US" w:eastAsia="zh-CN" w:bidi="ar"/>
              </w:rPr>
              <w:t>评价等级</w:t>
            </w:r>
          </w:p>
        </w:tc>
      </w:tr>
      <w:tr w14:paraId="5FA93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5" w:type="dxa"/>
            <w:vAlign w:val="center"/>
          </w:tcPr>
          <w:p w14:paraId="11A5F06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地表水</w:t>
            </w:r>
          </w:p>
        </w:tc>
        <w:tc>
          <w:tcPr>
            <w:tcW w:w="5809" w:type="dxa"/>
            <w:vAlign w:val="center"/>
          </w:tcPr>
          <w:p w14:paraId="2B549F8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Cs/>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环境（水污染影响型）拟建公路施工期产生施工废水和生活污水，均收集后统一处置，不外排；运营期服务设施生活污水处理后运至污水处理厂，不外排；排放方式为间接排放。依据《环境影响评价技术导则 地表水环境》（HJ 2.3-2018），确定评价等级为三级B。</w:t>
            </w:r>
          </w:p>
        </w:tc>
        <w:tc>
          <w:tcPr>
            <w:tcW w:w="1442" w:type="dxa"/>
            <w:vAlign w:val="center"/>
          </w:tcPr>
          <w:p w14:paraId="28767E4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vertAlign w:val="baseline"/>
              </w:rPr>
            </w:pPr>
            <w:r>
              <w:rPr>
                <w:rFonts w:hint="default" w:ascii="Times New Roman" w:hAnsi="Times New Roman" w:eastAsia="宋体" w:cs="Times New Roman"/>
                <w:color w:val="auto"/>
                <w:kern w:val="0"/>
                <w:sz w:val="21"/>
                <w:szCs w:val="21"/>
                <w:lang w:val="en-US" w:eastAsia="zh-CN" w:bidi="ar"/>
              </w:rPr>
              <w:t>三级B</w:t>
            </w:r>
          </w:p>
        </w:tc>
      </w:tr>
      <w:tr w14:paraId="6D1BA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5" w:type="dxa"/>
            <w:vAlign w:val="center"/>
          </w:tcPr>
          <w:p w14:paraId="727C5E7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地下水环境</w:t>
            </w:r>
          </w:p>
        </w:tc>
        <w:tc>
          <w:tcPr>
            <w:tcW w:w="5809" w:type="dxa"/>
            <w:vAlign w:val="center"/>
          </w:tcPr>
          <w:p w14:paraId="31B32AA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Cs/>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本项目属于公路项目，根据《环境影响评价技术导则 地下水环境》（HJ 610-2016），路线属于Ⅳ类项目，项目沿线不设置服务区和加油站，无需开展地下水环境影响评价。</w:t>
            </w:r>
          </w:p>
        </w:tc>
        <w:tc>
          <w:tcPr>
            <w:tcW w:w="1442" w:type="dxa"/>
            <w:vAlign w:val="center"/>
          </w:tcPr>
          <w:p w14:paraId="08178FB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vertAlign w:val="baseline"/>
              </w:rPr>
            </w:pPr>
            <w:r>
              <w:rPr>
                <w:rFonts w:hint="default" w:ascii="Times New Roman" w:hAnsi="Times New Roman" w:eastAsia="宋体" w:cs="Times New Roman"/>
                <w:color w:val="auto"/>
                <w:kern w:val="0"/>
                <w:sz w:val="21"/>
                <w:szCs w:val="21"/>
                <w:lang w:val="en-US" w:eastAsia="zh-CN" w:bidi="ar"/>
              </w:rPr>
              <w:t>不开展地下水评价</w:t>
            </w:r>
          </w:p>
        </w:tc>
      </w:tr>
      <w:tr w14:paraId="04CAB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5" w:type="dxa"/>
            <w:vAlign w:val="center"/>
          </w:tcPr>
          <w:p w14:paraId="4FF14D7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声环境</w:t>
            </w:r>
          </w:p>
        </w:tc>
        <w:tc>
          <w:tcPr>
            <w:tcW w:w="5809" w:type="dxa"/>
            <w:vAlign w:val="center"/>
          </w:tcPr>
          <w:p w14:paraId="64D01D5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Cs/>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本项目公路边界外35m以内执行《声环境质量标准》（GB 3096-2008）4a类声环境功能区，35m以外区域执行</w:t>
            </w:r>
            <w:r>
              <w:rPr>
                <w:rFonts w:hint="default" w:ascii="Times New Roman" w:hAnsi="Times New Roman" w:cs="Times New Roman"/>
                <w:color w:val="auto"/>
                <w:kern w:val="0"/>
                <w:sz w:val="21"/>
                <w:szCs w:val="21"/>
                <w:lang w:val="en-US" w:eastAsia="zh-CN" w:bidi="ar"/>
              </w:rPr>
              <w:t>2</w:t>
            </w:r>
            <w:r>
              <w:rPr>
                <w:rFonts w:hint="default" w:ascii="Times New Roman" w:hAnsi="Times New Roman" w:eastAsia="宋体" w:cs="Times New Roman"/>
                <w:color w:val="auto"/>
                <w:kern w:val="0"/>
                <w:sz w:val="21"/>
                <w:szCs w:val="21"/>
                <w:lang w:val="en-US" w:eastAsia="zh-CN" w:bidi="ar"/>
              </w:rPr>
              <w:t xml:space="preserve">类声环境功能区。根据《环境影响评价技术导则 </w:t>
            </w:r>
            <w:r>
              <w:rPr>
                <w:rFonts w:hint="default" w:ascii="Times New Roman" w:hAnsi="Times New Roman" w:cs="Times New Roman"/>
                <w:color w:val="auto"/>
                <w:kern w:val="0"/>
                <w:sz w:val="21"/>
                <w:szCs w:val="21"/>
                <w:lang w:val="en-US" w:eastAsia="zh-CN" w:bidi="ar"/>
              </w:rPr>
              <w:t>公路建设项目</w:t>
            </w:r>
            <w:r>
              <w:rPr>
                <w:rFonts w:hint="default" w:ascii="Times New Roman" w:hAnsi="Times New Roman" w:eastAsia="宋体" w:cs="Times New Roman"/>
                <w:color w:val="auto"/>
                <w:kern w:val="0"/>
                <w:sz w:val="21"/>
                <w:szCs w:val="21"/>
                <w:lang w:val="en-US" w:eastAsia="zh-CN" w:bidi="ar"/>
              </w:rPr>
              <w:t xml:space="preserve">》（HJ </w:t>
            </w:r>
            <w:r>
              <w:rPr>
                <w:rFonts w:hint="default" w:ascii="Times New Roman" w:hAnsi="Times New Roman" w:cs="Times New Roman"/>
                <w:color w:val="auto"/>
                <w:kern w:val="0"/>
                <w:sz w:val="21"/>
                <w:szCs w:val="21"/>
                <w:lang w:val="en-US" w:eastAsia="zh-CN" w:bidi="ar"/>
              </w:rPr>
              <w:t>1358</w:t>
            </w:r>
            <w:r>
              <w:rPr>
                <w:rFonts w:hint="default" w:ascii="Times New Roman" w:hAnsi="Times New Roman" w:eastAsia="宋体" w:cs="Times New Roman"/>
                <w:color w:val="auto"/>
                <w:kern w:val="0"/>
                <w:sz w:val="21"/>
                <w:szCs w:val="21"/>
                <w:lang w:val="en-US" w:eastAsia="zh-CN" w:bidi="ar"/>
              </w:rPr>
              <w:t>-202</w:t>
            </w:r>
            <w:r>
              <w:rPr>
                <w:rFonts w:hint="default" w:ascii="Times New Roman" w:hAnsi="Times New Roman" w:cs="Times New Roman"/>
                <w:color w:val="auto"/>
                <w:kern w:val="0"/>
                <w:sz w:val="21"/>
                <w:szCs w:val="21"/>
                <w:lang w:val="en-US" w:eastAsia="zh-CN" w:bidi="ar"/>
              </w:rPr>
              <w:t>4</w:t>
            </w:r>
            <w:r>
              <w:rPr>
                <w:rFonts w:hint="default" w:ascii="Times New Roman" w:hAnsi="Times New Roman" w:eastAsia="宋体" w:cs="Times New Roman"/>
                <w:color w:val="auto"/>
                <w:kern w:val="0"/>
                <w:sz w:val="21"/>
                <w:szCs w:val="21"/>
                <w:lang w:val="en-US" w:eastAsia="zh-CN" w:bidi="ar"/>
              </w:rPr>
              <w:t>），确定声环境</w:t>
            </w:r>
            <w:r>
              <w:rPr>
                <w:rFonts w:hint="default" w:ascii="Times New Roman" w:hAnsi="Times New Roman" w:cs="Times New Roman"/>
                <w:color w:val="auto"/>
                <w:kern w:val="0"/>
                <w:sz w:val="21"/>
                <w:szCs w:val="21"/>
                <w:lang w:val="en-US" w:eastAsia="zh-CN" w:bidi="ar"/>
              </w:rPr>
              <w:t>影响评价等级为二</w:t>
            </w:r>
            <w:r>
              <w:rPr>
                <w:rFonts w:hint="default" w:ascii="Times New Roman" w:hAnsi="Times New Roman" w:eastAsia="宋体" w:cs="Times New Roman"/>
                <w:color w:val="auto"/>
                <w:kern w:val="0"/>
                <w:sz w:val="21"/>
                <w:szCs w:val="21"/>
                <w:lang w:val="en-US" w:eastAsia="zh-CN" w:bidi="ar"/>
              </w:rPr>
              <w:t>级。</w:t>
            </w:r>
          </w:p>
        </w:tc>
        <w:tc>
          <w:tcPr>
            <w:tcW w:w="1442" w:type="dxa"/>
            <w:vAlign w:val="center"/>
          </w:tcPr>
          <w:p w14:paraId="23787FB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vertAlign w:val="baseline"/>
              </w:rPr>
            </w:pPr>
            <w:r>
              <w:rPr>
                <w:rFonts w:hint="default" w:ascii="Times New Roman" w:hAnsi="Times New Roman" w:cs="Times New Roman"/>
                <w:color w:val="auto"/>
                <w:kern w:val="0"/>
                <w:sz w:val="21"/>
                <w:szCs w:val="21"/>
                <w:lang w:val="en-US" w:eastAsia="zh-CN" w:bidi="ar"/>
              </w:rPr>
              <w:t>二</w:t>
            </w:r>
            <w:r>
              <w:rPr>
                <w:rFonts w:hint="default" w:ascii="Times New Roman" w:hAnsi="Times New Roman" w:eastAsia="宋体" w:cs="Times New Roman"/>
                <w:color w:val="auto"/>
                <w:kern w:val="0"/>
                <w:sz w:val="21"/>
                <w:szCs w:val="21"/>
                <w:lang w:val="en-US" w:eastAsia="zh-CN" w:bidi="ar"/>
              </w:rPr>
              <w:t>级</w:t>
            </w:r>
          </w:p>
        </w:tc>
      </w:tr>
      <w:tr w14:paraId="3B24A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5" w:type="dxa"/>
            <w:vAlign w:val="center"/>
          </w:tcPr>
          <w:p w14:paraId="53DE06B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生态环境</w:t>
            </w:r>
          </w:p>
        </w:tc>
        <w:tc>
          <w:tcPr>
            <w:tcW w:w="5809" w:type="dxa"/>
            <w:vAlign w:val="center"/>
          </w:tcPr>
          <w:p w14:paraId="62F0A66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Cs/>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根据调查，本次公路沿线除涉及塔里木河流域水土流失重点治理区，不涉及导则中a、b、c、d、e中所规定的情况，且本项目预计总占地</w:t>
            </w:r>
            <w:r>
              <w:rPr>
                <w:rFonts w:hint="default" w:ascii="Times New Roman" w:hAnsi="Times New Roman" w:cs="Times New Roman"/>
                <w:color w:val="auto"/>
                <w:kern w:val="0"/>
                <w:sz w:val="21"/>
                <w:szCs w:val="21"/>
                <w:highlight w:val="none"/>
                <w:lang w:val="en-US" w:eastAsia="zh-CN" w:bidi="ar"/>
              </w:rPr>
              <w:t>30.7642h</w:t>
            </w:r>
            <w:r>
              <w:rPr>
                <w:rFonts w:hint="default" w:ascii="Times New Roman" w:hAnsi="Times New Roman" w:eastAsia="宋体" w:cs="Times New Roman"/>
                <w:color w:val="auto"/>
                <w:kern w:val="0"/>
                <w:sz w:val="21"/>
                <w:szCs w:val="21"/>
                <w:highlight w:val="none"/>
                <w:lang w:val="en-US" w:eastAsia="zh-CN" w:bidi="ar"/>
              </w:rPr>
              <w:t>m</w:t>
            </w:r>
            <w:r>
              <w:rPr>
                <w:rFonts w:hint="default" w:ascii="Times New Roman" w:hAnsi="Times New Roman" w:eastAsia="宋体" w:cs="Times New Roman"/>
                <w:color w:val="auto"/>
                <w:kern w:val="0"/>
                <w:sz w:val="21"/>
                <w:szCs w:val="21"/>
                <w:highlight w:val="none"/>
                <w:vertAlign w:val="superscript"/>
                <w:lang w:val="en-US" w:eastAsia="zh-CN" w:bidi="ar"/>
              </w:rPr>
              <w:t>2</w:t>
            </w:r>
            <w:r>
              <w:rPr>
                <w:rFonts w:hint="default" w:ascii="Times New Roman" w:hAnsi="Times New Roman" w:eastAsia="宋体" w:cs="Times New Roman"/>
                <w:color w:val="auto"/>
                <w:kern w:val="0"/>
                <w:sz w:val="21"/>
                <w:szCs w:val="21"/>
                <w:highlight w:val="none"/>
                <w:lang w:val="en-US" w:eastAsia="zh-CN" w:bidi="ar"/>
              </w:rPr>
              <w:t>，小</w:t>
            </w:r>
            <w:r>
              <w:rPr>
                <w:rFonts w:hint="default" w:ascii="Times New Roman" w:hAnsi="Times New Roman" w:eastAsia="宋体" w:cs="Times New Roman"/>
                <w:color w:val="auto"/>
                <w:kern w:val="0"/>
                <w:sz w:val="21"/>
                <w:szCs w:val="21"/>
                <w:lang w:val="en-US" w:eastAsia="zh-CN" w:bidi="ar"/>
              </w:rPr>
              <w:t>于6.1.2条f款规定的20</w:t>
            </w:r>
            <w:r>
              <w:rPr>
                <w:rFonts w:hint="default" w:ascii="Times New Roman" w:hAnsi="Times New Roman" w:cs="Times New Roman"/>
                <w:color w:val="auto"/>
                <w:kern w:val="0"/>
                <w:sz w:val="21"/>
                <w:szCs w:val="21"/>
                <w:lang w:val="en-US" w:eastAsia="zh-CN" w:bidi="ar"/>
              </w:rPr>
              <w:t>km</w:t>
            </w:r>
            <w:r>
              <w:rPr>
                <w:rFonts w:hint="default" w:ascii="Times New Roman" w:hAnsi="Times New Roman" w:cs="Times New Roman"/>
                <w:color w:val="auto"/>
                <w:kern w:val="0"/>
                <w:sz w:val="21"/>
                <w:szCs w:val="21"/>
                <w:vertAlign w:val="superscript"/>
                <w:lang w:val="en-US" w:eastAsia="zh-CN" w:bidi="ar"/>
              </w:rPr>
              <w:t>2</w:t>
            </w:r>
            <w:r>
              <w:rPr>
                <w:rFonts w:hint="default" w:ascii="Times New Roman" w:hAnsi="Times New Roman" w:eastAsia="宋体" w:cs="Times New Roman"/>
                <w:color w:val="auto"/>
                <w:kern w:val="0"/>
                <w:sz w:val="21"/>
                <w:szCs w:val="21"/>
                <w:lang w:val="en-US" w:eastAsia="zh-CN" w:bidi="ar"/>
              </w:rPr>
              <w:t>的限值，因此，根据6.1.2条g款之规定，评价等级定为三级。</w:t>
            </w:r>
          </w:p>
        </w:tc>
        <w:tc>
          <w:tcPr>
            <w:tcW w:w="1442" w:type="dxa"/>
            <w:vAlign w:val="center"/>
          </w:tcPr>
          <w:p w14:paraId="3E05388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vertAlign w:val="baseline"/>
              </w:rPr>
            </w:pPr>
            <w:r>
              <w:rPr>
                <w:rFonts w:hint="default" w:ascii="Times New Roman" w:hAnsi="Times New Roman" w:eastAsia="宋体" w:cs="Times New Roman"/>
                <w:color w:val="auto"/>
                <w:kern w:val="0"/>
                <w:sz w:val="21"/>
                <w:szCs w:val="21"/>
                <w:lang w:val="en-US" w:eastAsia="zh-CN" w:bidi="ar"/>
              </w:rPr>
              <w:t>三级</w:t>
            </w:r>
          </w:p>
        </w:tc>
      </w:tr>
      <w:tr w14:paraId="2B1B2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5" w:type="dxa"/>
            <w:vAlign w:val="center"/>
          </w:tcPr>
          <w:p w14:paraId="51E92C1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土壤环境</w:t>
            </w:r>
          </w:p>
        </w:tc>
        <w:tc>
          <w:tcPr>
            <w:tcW w:w="5809" w:type="dxa"/>
            <w:vAlign w:val="center"/>
          </w:tcPr>
          <w:p w14:paraId="667FFDE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Cs/>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本项目为线性项目，不设置服务区和加油站</w:t>
            </w:r>
            <w:r>
              <w:rPr>
                <w:rFonts w:hint="default" w:ascii="Times New Roman" w:hAnsi="Times New Roman" w:cs="Times New Roman"/>
                <w:color w:val="auto"/>
                <w:kern w:val="0"/>
                <w:sz w:val="21"/>
                <w:szCs w:val="21"/>
                <w:lang w:val="en-US" w:eastAsia="zh-CN" w:bidi="ar"/>
              </w:rPr>
              <w:t>，根</w:t>
            </w:r>
            <w:r>
              <w:rPr>
                <w:rFonts w:hint="default" w:ascii="Times New Roman" w:hAnsi="Times New Roman" w:eastAsia="宋体" w:cs="Times New Roman"/>
                <w:color w:val="auto"/>
                <w:kern w:val="0"/>
                <w:sz w:val="21"/>
                <w:szCs w:val="21"/>
                <w:lang w:val="en-US" w:eastAsia="zh-CN" w:bidi="ar"/>
              </w:rPr>
              <w:t>据《环境影响评价技术导则</w:t>
            </w:r>
            <w:r>
              <w:rPr>
                <w:rFonts w:hint="eastAsia"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土壤环境》（HJ 964-2018），本项目属于Ⅳ类项目，无需开展土壤环境影响评价。</w:t>
            </w:r>
          </w:p>
        </w:tc>
        <w:tc>
          <w:tcPr>
            <w:tcW w:w="1442" w:type="dxa"/>
            <w:vAlign w:val="center"/>
          </w:tcPr>
          <w:p w14:paraId="0DF1920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vertAlign w:val="baseline"/>
                <w:lang w:val="en-US"/>
              </w:rPr>
            </w:pPr>
            <w:r>
              <w:rPr>
                <w:rFonts w:hint="default" w:ascii="Times New Roman" w:hAnsi="Times New Roman" w:eastAsia="宋体" w:cs="Times New Roman"/>
                <w:color w:val="auto"/>
                <w:kern w:val="0"/>
                <w:sz w:val="21"/>
                <w:szCs w:val="21"/>
                <w:lang w:val="en-US" w:eastAsia="zh-CN" w:bidi="ar"/>
              </w:rPr>
              <w:t>不开展土壤环境评价</w:t>
            </w:r>
          </w:p>
        </w:tc>
      </w:tr>
    </w:tbl>
    <w:p w14:paraId="2C74DFC0">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根据评价工作等级，确定拟建公路环境影响评价范围，见表2.5-2</w:t>
      </w:r>
      <w:r>
        <w:rPr>
          <w:rFonts w:hint="default" w:ascii="Times New Roman" w:hAnsi="Times New Roman" w:cs="Times New Roman"/>
          <w:color w:val="auto"/>
          <w:kern w:val="0"/>
          <w:sz w:val="24"/>
          <w:szCs w:val="24"/>
          <w:lang w:val="en-US" w:eastAsia="zh-CN" w:bidi="ar"/>
        </w:rPr>
        <w:t>，本项目</w:t>
      </w:r>
      <w:r>
        <w:rPr>
          <w:rFonts w:hint="default" w:ascii="Times New Roman" w:hAnsi="Times New Roman" w:eastAsia="宋体" w:cs="Times New Roman"/>
          <w:color w:val="auto"/>
          <w:kern w:val="0"/>
          <w:sz w:val="24"/>
          <w:szCs w:val="24"/>
          <w:lang w:val="en-US" w:eastAsia="zh-CN" w:bidi="ar"/>
        </w:rPr>
        <w:t>评价范围见图2.</w:t>
      </w:r>
      <w:r>
        <w:rPr>
          <w:rFonts w:hint="default" w:ascii="Times New Roman" w:hAnsi="Times New Roman" w:cs="Times New Roman"/>
          <w:color w:val="auto"/>
          <w:kern w:val="0"/>
          <w:sz w:val="24"/>
          <w:szCs w:val="24"/>
          <w:lang w:val="en-US" w:eastAsia="zh-CN" w:bidi="ar"/>
        </w:rPr>
        <w:t>5</w:t>
      </w:r>
      <w:r>
        <w:rPr>
          <w:rFonts w:hint="default" w:ascii="Times New Roman" w:hAnsi="Times New Roman" w:eastAsia="宋体" w:cs="Times New Roman"/>
          <w:color w:val="auto"/>
          <w:kern w:val="0"/>
          <w:sz w:val="24"/>
          <w:szCs w:val="24"/>
          <w:lang w:val="en-US" w:eastAsia="zh-CN" w:bidi="ar"/>
        </w:rPr>
        <w:t>-1。</w:t>
      </w:r>
    </w:p>
    <w:p w14:paraId="6490D251">
      <w:pPr>
        <w:keepNext w:val="0"/>
        <w:keepLines w:val="0"/>
        <w:widowControl/>
        <w:suppressLineNumbers w:val="0"/>
        <w:spacing w:line="240" w:lineRule="auto"/>
        <w:jc w:val="center"/>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
        </w:rPr>
        <w:t>表2.5-2 环境影响评价范围一览表</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7"/>
        <w:gridCol w:w="1341"/>
        <w:gridCol w:w="6478"/>
      </w:tblGrid>
      <w:tr w14:paraId="465A5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vAlign w:val="center"/>
          </w:tcPr>
          <w:p w14:paraId="2C7FFE6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vertAlign w:val="baseline"/>
              </w:rPr>
            </w:pPr>
            <w:r>
              <w:rPr>
                <w:rFonts w:hint="default" w:ascii="Times New Roman" w:hAnsi="Times New Roman" w:eastAsia="宋体" w:cs="Times New Roman"/>
                <w:b/>
                <w:bCs/>
                <w:color w:val="auto"/>
                <w:kern w:val="0"/>
                <w:sz w:val="21"/>
                <w:szCs w:val="21"/>
                <w:lang w:val="en-US" w:eastAsia="zh-CN" w:bidi="ar"/>
              </w:rPr>
              <w:t>序号</w:t>
            </w:r>
          </w:p>
        </w:tc>
        <w:tc>
          <w:tcPr>
            <w:tcW w:w="1341" w:type="dxa"/>
            <w:vAlign w:val="center"/>
          </w:tcPr>
          <w:p w14:paraId="47645C7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vertAlign w:val="baseline"/>
              </w:rPr>
            </w:pPr>
            <w:r>
              <w:rPr>
                <w:rFonts w:hint="default" w:ascii="Times New Roman" w:hAnsi="Times New Roman" w:eastAsia="宋体" w:cs="Times New Roman"/>
                <w:b/>
                <w:bCs/>
                <w:color w:val="auto"/>
                <w:kern w:val="0"/>
                <w:sz w:val="21"/>
                <w:szCs w:val="21"/>
                <w:lang w:val="en-US" w:eastAsia="zh-CN" w:bidi="ar"/>
              </w:rPr>
              <w:t>环境要素</w:t>
            </w:r>
          </w:p>
        </w:tc>
        <w:tc>
          <w:tcPr>
            <w:tcW w:w="6478" w:type="dxa"/>
            <w:vAlign w:val="center"/>
          </w:tcPr>
          <w:p w14:paraId="3898485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vertAlign w:val="baseline"/>
              </w:rPr>
            </w:pPr>
            <w:r>
              <w:rPr>
                <w:rFonts w:hint="default" w:ascii="Times New Roman" w:hAnsi="Times New Roman" w:eastAsia="宋体" w:cs="Times New Roman"/>
                <w:b/>
                <w:bCs/>
                <w:color w:val="auto"/>
                <w:kern w:val="0"/>
                <w:sz w:val="21"/>
                <w:szCs w:val="21"/>
                <w:lang w:val="en-US" w:eastAsia="zh-CN" w:bidi="ar"/>
              </w:rPr>
              <w:t>评价范围</w:t>
            </w:r>
          </w:p>
        </w:tc>
      </w:tr>
      <w:tr w14:paraId="0CEE8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vAlign w:val="center"/>
          </w:tcPr>
          <w:p w14:paraId="5261C8E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1</w:t>
            </w:r>
          </w:p>
        </w:tc>
        <w:tc>
          <w:tcPr>
            <w:tcW w:w="1341" w:type="dxa"/>
            <w:vAlign w:val="center"/>
          </w:tcPr>
          <w:p w14:paraId="25FB7C8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生态环境</w:t>
            </w:r>
          </w:p>
        </w:tc>
        <w:tc>
          <w:tcPr>
            <w:tcW w:w="6478" w:type="dxa"/>
            <w:vAlign w:val="center"/>
          </w:tcPr>
          <w:p w14:paraId="3A37B37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评价范围为公路中心线两侧各300m以内的区域；</w:t>
            </w:r>
          </w:p>
          <w:p w14:paraId="0F5E4FE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Cs/>
                <w:color w:val="auto"/>
                <w:sz w:val="21"/>
                <w:szCs w:val="21"/>
                <w:vertAlign w:val="baseline"/>
                <w:lang w:val="en-US"/>
              </w:rPr>
            </w:pPr>
            <w:r>
              <w:rPr>
                <w:rFonts w:hint="default" w:ascii="Times New Roman" w:hAnsi="Times New Roman" w:eastAsia="宋体" w:cs="Times New Roman"/>
                <w:color w:val="auto"/>
                <w:kern w:val="0"/>
                <w:sz w:val="21"/>
                <w:szCs w:val="21"/>
                <w:lang w:val="en-US" w:eastAsia="zh-CN" w:bidi="ar"/>
              </w:rPr>
              <w:t>取土场、弃渣场、临时堆土场、施工生产生活区、施工便道等临时用地外扩200m</w:t>
            </w:r>
          </w:p>
        </w:tc>
      </w:tr>
      <w:tr w14:paraId="57556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vAlign w:val="center"/>
          </w:tcPr>
          <w:p w14:paraId="74A31CE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2</w:t>
            </w:r>
          </w:p>
        </w:tc>
        <w:tc>
          <w:tcPr>
            <w:tcW w:w="1341" w:type="dxa"/>
            <w:vAlign w:val="center"/>
          </w:tcPr>
          <w:p w14:paraId="7094AFA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声环境</w:t>
            </w:r>
          </w:p>
        </w:tc>
        <w:tc>
          <w:tcPr>
            <w:tcW w:w="6478" w:type="dxa"/>
            <w:vAlign w:val="center"/>
          </w:tcPr>
          <w:p w14:paraId="67EA695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Cs/>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拟建公路中心线两侧各200m以内区域</w:t>
            </w:r>
          </w:p>
        </w:tc>
      </w:tr>
    </w:tbl>
    <w:p w14:paraId="1A5A61F2">
      <w:pPr>
        <w:pStyle w:val="3"/>
        <w:keepNext/>
        <w:keepLines/>
        <w:pageBreakBefore w:val="0"/>
        <w:widowControl w:val="0"/>
        <w:numPr>
          <w:ilvl w:val="1"/>
          <w:numId w:val="0"/>
        </w:numPr>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rPr>
      </w:pPr>
      <w:bookmarkStart w:id="712" w:name="_Toc5449"/>
      <w:bookmarkStart w:id="713" w:name="_Toc8667"/>
      <w:bookmarkStart w:id="714" w:name="_Toc30920"/>
      <w:bookmarkStart w:id="715" w:name="_Toc30259"/>
      <w:bookmarkStart w:id="716" w:name="_Toc29511"/>
      <w:bookmarkStart w:id="717" w:name="_Toc25321"/>
      <w:bookmarkStart w:id="718" w:name="_Toc17279"/>
      <w:bookmarkStart w:id="719" w:name="_Toc20332"/>
      <w:bookmarkStart w:id="720" w:name="_Toc1012"/>
      <w:bookmarkStart w:id="721" w:name="_Toc14871"/>
      <w:r>
        <w:rPr>
          <w:rFonts w:hint="default" w:ascii="Times New Roman" w:hAnsi="Times New Roman" w:cs="Times New Roman"/>
          <w:color w:val="auto"/>
          <w:lang w:val="en-US" w:eastAsia="zh-CN"/>
        </w:rPr>
        <w:t>2.6 环境保护目标</w:t>
      </w:r>
      <w:bookmarkEnd w:id="712"/>
      <w:bookmarkEnd w:id="713"/>
      <w:bookmarkEnd w:id="714"/>
      <w:bookmarkEnd w:id="715"/>
      <w:bookmarkEnd w:id="716"/>
      <w:bookmarkEnd w:id="717"/>
      <w:bookmarkEnd w:id="718"/>
      <w:bookmarkEnd w:id="719"/>
      <w:bookmarkEnd w:id="720"/>
      <w:bookmarkEnd w:id="721"/>
    </w:p>
    <w:p w14:paraId="08890AE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本项目全长</w:t>
      </w:r>
      <w:r>
        <w:rPr>
          <w:rFonts w:hint="default" w:ascii="Times New Roman" w:hAnsi="Times New Roman" w:cs="Times New Roman"/>
          <w:color w:val="auto"/>
          <w:kern w:val="0"/>
          <w:sz w:val="24"/>
          <w:szCs w:val="24"/>
          <w:lang w:val="en-US" w:eastAsia="zh-CN" w:bidi="ar"/>
        </w:rPr>
        <w:t>5.385</w:t>
      </w:r>
      <w:r>
        <w:rPr>
          <w:rFonts w:hint="default" w:ascii="Times New Roman" w:hAnsi="Times New Roman" w:eastAsia="宋体" w:cs="Times New Roman"/>
          <w:color w:val="auto"/>
          <w:kern w:val="0"/>
          <w:sz w:val="24"/>
          <w:szCs w:val="24"/>
          <w:lang w:val="en-US" w:eastAsia="zh-CN" w:bidi="ar"/>
        </w:rPr>
        <w:t>km，根据现状调查和资料收集，确定本项目的敏感目标如下</w:t>
      </w:r>
      <w:r>
        <w:rPr>
          <w:rFonts w:hint="eastAsia" w:cs="Times New Roman"/>
          <w:color w:val="auto"/>
          <w:kern w:val="0"/>
          <w:sz w:val="24"/>
          <w:szCs w:val="24"/>
          <w:lang w:val="en-US" w:eastAsia="zh-CN" w:bidi="ar"/>
        </w:rPr>
        <w:t>：</w:t>
      </w:r>
    </w:p>
    <w:p w14:paraId="65E8CD43">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2.6.1 生态环境保护目标</w:t>
      </w:r>
    </w:p>
    <w:p w14:paraId="20C285C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项目沿线主要的生态保护目标见表2.6-1。</w:t>
      </w:r>
    </w:p>
    <w:p w14:paraId="53BB4F3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
        </w:rPr>
        <w:t>表2.6-1 线路生态环境保护目标</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1"/>
        <w:gridCol w:w="2190"/>
        <w:gridCol w:w="1170"/>
        <w:gridCol w:w="2535"/>
        <w:gridCol w:w="1910"/>
      </w:tblGrid>
      <w:tr w14:paraId="095AA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1" w:type="dxa"/>
            <w:vAlign w:val="center"/>
          </w:tcPr>
          <w:p w14:paraId="06BA3FB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序号</w:t>
            </w:r>
          </w:p>
        </w:tc>
        <w:tc>
          <w:tcPr>
            <w:tcW w:w="2190" w:type="dxa"/>
            <w:vAlign w:val="center"/>
          </w:tcPr>
          <w:p w14:paraId="72A0F2C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保护目标</w:t>
            </w:r>
          </w:p>
        </w:tc>
        <w:tc>
          <w:tcPr>
            <w:tcW w:w="1170" w:type="dxa"/>
            <w:vAlign w:val="center"/>
          </w:tcPr>
          <w:p w14:paraId="549C0AE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保护级别</w:t>
            </w:r>
          </w:p>
        </w:tc>
        <w:tc>
          <w:tcPr>
            <w:tcW w:w="2535" w:type="dxa"/>
            <w:vAlign w:val="center"/>
          </w:tcPr>
          <w:p w14:paraId="13458C1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主要保护对象</w:t>
            </w:r>
          </w:p>
        </w:tc>
        <w:tc>
          <w:tcPr>
            <w:tcW w:w="1910" w:type="dxa"/>
            <w:vAlign w:val="center"/>
          </w:tcPr>
          <w:p w14:paraId="72A988D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本项目与其位置关系</w:t>
            </w:r>
          </w:p>
        </w:tc>
      </w:tr>
      <w:tr w14:paraId="6B9AD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1" w:type="dxa"/>
            <w:vAlign w:val="center"/>
          </w:tcPr>
          <w:p w14:paraId="1383AA5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1</w:t>
            </w:r>
          </w:p>
        </w:tc>
        <w:tc>
          <w:tcPr>
            <w:tcW w:w="2190" w:type="dxa"/>
            <w:vAlign w:val="center"/>
          </w:tcPr>
          <w:p w14:paraId="18DCCB1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水土流失重点治理区</w:t>
            </w:r>
          </w:p>
        </w:tc>
        <w:tc>
          <w:tcPr>
            <w:tcW w:w="1170" w:type="dxa"/>
            <w:vAlign w:val="center"/>
          </w:tcPr>
          <w:p w14:paraId="0FECA75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自治区级</w:t>
            </w:r>
          </w:p>
        </w:tc>
        <w:tc>
          <w:tcPr>
            <w:tcW w:w="2535" w:type="dxa"/>
            <w:vAlign w:val="center"/>
          </w:tcPr>
          <w:p w14:paraId="76A2D59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防止</w:t>
            </w:r>
            <w:r>
              <w:rPr>
                <w:rFonts w:hint="eastAsia" w:cs="Times New Roman"/>
                <w:color w:val="auto"/>
                <w:kern w:val="0"/>
                <w:sz w:val="21"/>
                <w:szCs w:val="21"/>
                <w:lang w:val="en-US" w:eastAsia="zh-CN" w:bidi="ar"/>
              </w:rPr>
              <w:t>水土流失</w:t>
            </w:r>
          </w:p>
        </w:tc>
        <w:tc>
          <w:tcPr>
            <w:tcW w:w="1910" w:type="dxa"/>
            <w:vAlign w:val="center"/>
          </w:tcPr>
          <w:p w14:paraId="5173D00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II3 塔里木河流域重点治理区</w:t>
            </w:r>
          </w:p>
        </w:tc>
      </w:tr>
      <w:tr w14:paraId="24940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1" w:type="dxa"/>
            <w:vAlign w:val="center"/>
          </w:tcPr>
          <w:p w14:paraId="6E4CC26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2</w:t>
            </w:r>
          </w:p>
        </w:tc>
        <w:tc>
          <w:tcPr>
            <w:tcW w:w="2190" w:type="dxa"/>
            <w:vAlign w:val="center"/>
          </w:tcPr>
          <w:p w14:paraId="6B45E29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kern w:val="0"/>
                <w:sz w:val="21"/>
                <w:szCs w:val="21"/>
                <w:highlight w:val="none"/>
                <w:lang w:val="en-US" w:eastAsia="zh-CN" w:bidi="ar"/>
              </w:rPr>
              <w:t>集体农用地</w:t>
            </w:r>
          </w:p>
        </w:tc>
        <w:tc>
          <w:tcPr>
            <w:tcW w:w="1170" w:type="dxa"/>
            <w:vAlign w:val="center"/>
          </w:tcPr>
          <w:p w14:paraId="3BDEE2C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kern w:val="0"/>
                <w:sz w:val="21"/>
                <w:szCs w:val="21"/>
                <w:highlight w:val="none"/>
                <w:lang w:val="en-US" w:eastAsia="zh-CN" w:bidi="ar"/>
              </w:rPr>
              <w:t>农用地</w:t>
            </w:r>
          </w:p>
        </w:tc>
        <w:tc>
          <w:tcPr>
            <w:tcW w:w="2535" w:type="dxa"/>
            <w:vAlign w:val="center"/>
          </w:tcPr>
          <w:p w14:paraId="0FFD27B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kern w:val="0"/>
                <w:sz w:val="21"/>
                <w:szCs w:val="21"/>
                <w:highlight w:val="none"/>
                <w:lang w:val="en-US" w:eastAsia="zh-CN" w:bidi="ar"/>
              </w:rPr>
              <w:t>果园等</w:t>
            </w:r>
          </w:p>
        </w:tc>
        <w:tc>
          <w:tcPr>
            <w:tcW w:w="1910" w:type="dxa"/>
            <w:vAlign w:val="center"/>
          </w:tcPr>
          <w:p w14:paraId="3E908D3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占用</w:t>
            </w:r>
            <w:r>
              <w:rPr>
                <w:rFonts w:hint="eastAsia" w:ascii="Times New Roman" w:hAnsi="Times New Roman" w:cs="Times New Roman"/>
                <w:color w:val="auto"/>
                <w:kern w:val="0"/>
                <w:sz w:val="21"/>
                <w:szCs w:val="21"/>
                <w:highlight w:val="none"/>
                <w:lang w:val="en-US" w:eastAsia="zh-CN" w:bidi="ar"/>
              </w:rPr>
              <w:t>集体农用地</w:t>
            </w:r>
            <w:r>
              <w:rPr>
                <w:rFonts w:hint="default" w:ascii="Times New Roman" w:hAnsi="Times New Roman" w:cs="Times New Roman"/>
                <w:color w:val="auto"/>
                <w:kern w:val="0"/>
                <w:sz w:val="21"/>
                <w:szCs w:val="21"/>
                <w:highlight w:val="none"/>
                <w:lang w:val="en-US" w:eastAsia="zh-CN" w:bidi="ar"/>
              </w:rPr>
              <w:t>1</w:t>
            </w:r>
            <w:r>
              <w:rPr>
                <w:rFonts w:hint="eastAsia" w:ascii="Times New Roman" w:hAnsi="Times New Roman" w:cs="Times New Roman"/>
                <w:color w:val="auto"/>
                <w:kern w:val="0"/>
                <w:sz w:val="21"/>
                <w:szCs w:val="21"/>
                <w:highlight w:val="none"/>
                <w:lang w:val="en-US" w:eastAsia="zh-CN" w:bidi="ar"/>
              </w:rPr>
              <w:t>.22h</w:t>
            </w:r>
            <w:r>
              <w:rPr>
                <w:rFonts w:hint="default" w:ascii="Times New Roman" w:hAnsi="Times New Roman" w:cs="Times New Roman"/>
                <w:color w:val="auto"/>
                <w:kern w:val="0"/>
                <w:sz w:val="21"/>
                <w:szCs w:val="21"/>
                <w:highlight w:val="none"/>
                <w:lang w:val="en-US" w:eastAsia="zh-CN" w:bidi="ar"/>
              </w:rPr>
              <w:t>m</w:t>
            </w:r>
            <w:r>
              <w:rPr>
                <w:rFonts w:hint="default" w:ascii="Times New Roman" w:hAnsi="Times New Roman" w:cs="Times New Roman"/>
                <w:color w:val="auto"/>
                <w:kern w:val="0"/>
                <w:sz w:val="21"/>
                <w:szCs w:val="21"/>
                <w:highlight w:val="none"/>
                <w:vertAlign w:val="superscript"/>
                <w:lang w:val="en-US" w:eastAsia="zh-CN" w:bidi="ar"/>
              </w:rPr>
              <w:t>2</w:t>
            </w:r>
          </w:p>
        </w:tc>
      </w:tr>
      <w:tr w14:paraId="584DD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1" w:type="dxa"/>
            <w:vAlign w:val="center"/>
          </w:tcPr>
          <w:p w14:paraId="02C77DD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3</w:t>
            </w:r>
          </w:p>
        </w:tc>
        <w:tc>
          <w:tcPr>
            <w:tcW w:w="2190" w:type="dxa"/>
            <w:shd w:val="clear" w:color="auto" w:fill="auto"/>
            <w:vAlign w:val="center"/>
          </w:tcPr>
          <w:p w14:paraId="3AF2413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自然植被</w:t>
            </w:r>
          </w:p>
        </w:tc>
        <w:tc>
          <w:tcPr>
            <w:tcW w:w="1170" w:type="dxa"/>
            <w:shd w:val="clear" w:color="auto" w:fill="auto"/>
            <w:vAlign w:val="center"/>
          </w:tcPr>
          <w:p w14:paraId="4744EA8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w:t>
            </w:r>
          </w:p>
        </w:tc>
        <w:tc>
          <w:tcPr>
            <w:tcW w:w="2535" w:type="dxa"/>
            <w:shd w:val="clear" w:color="auto" w:fill="auto"/>
            <w:vAlign w:val="center"/>
          </w:tcPr>
          <w:p w14:paraId="35403F2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自然植被的数量和生物多样性</w:t>
            </w:r>
          </w:p>
        </w:tc>
        <w:tc>
          <w:tcPr>
            <w:tcW w:w="1910" w:type="dxa"/>
            <w:shd w:val="clear" w:color="auto" w:fill="auto"/>
            <w:vAlign w:val="center"/>
          </w:tcPr>
          <w:p w14:paraId="453352B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全线</w:t>
            </w:r>
          </w:p>
        </w:tc>
      </w:tr>
      <w:tr w14:paraId="260EB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1" w:type="dxa"/>
            <w:vAlign w:val="center"/>
          </w:tcPr>
          <w:p w14:paraId="2358375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4</w:t>
            </w:r>
          </w:p>
        </w:tc>
        <w:tc>
          <w:tcPr>
            <w:tcW w:w="2190" w:type="dxa"/>
            <w:shd w:val="clear" w:color="auto" w:fill="auto"/>
            <w:vAlign w:val="center"/>
          </w:tcPr>
          <w:p w14:paraId="05D8555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野生动植物</w:t>
            </w:r>
          </w:p>
        </w:tc>
        <w:tc>
          <w:tcPr>
            <w:tcW w:w="1170" w:type="dxa"/>
            <w:shd w:val="clear" w:color="auto" w:fill="auto"/>
            <w:vAlign w:val="center"/>
          </w:tcPr>
          <w:p w14:paraId="5FF8FB4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w:t>
            </w:r>
          </w:p>
        </w:tc>
        <w:tc>
          <w:tcPr>
            <w:tcW w:w="2535" w:type="dxa"/>
            <w:shd w:val="clear" w:color="auto" w:fill="auto"/>
            <w:vAlign w:val="center"/>
          </w:tcPr>
          <w:p w14:paraId="48CB6E7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野生动植物的数量及生境</w:t>
            </w:r>
          </w:p>
        </w:tc>
        <w:tc>
          <w:tcPr>
            <w:tcW w:w="1910" w:type="dxa"/>
            <w:shd w:val="clear" w:color="auto" w:fill="auto"/>
            <w:vAlign w:val="center"/>
          </w:tcPr>
          <w:p w14:paraId="1FEC2D5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全线</w:t>
            </w:r>
          </w:p>
        </w:tc>
      </w:tr>
    </w:tbl>
    <w:p w14:paraId="38E62567">
      <w:pPr>
        <w:pStyle w:val="4"/>
        <w:keepNext/>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2.6.2 声环境、空气环境保护目标</w:t>
      </w:r>
    </w:p>
    <w:p w14:paraId="50A9C110">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本工程为新建工程，在选线过程中，从环境保护的角度已经尽量</w:t>
      </w:r>
      <w:r>
        <w:rPr>
          <w:rFonts w:hint="eastAsia" w:cs="Times New Roman"/>
          <w:color w:val="auto"/>
          <w:kern w:val="0"/>
          <w:sz w:val="24"/>
          <w:szCs w:val="24"/>
          <w:lang w:val="en-US" w:eastAsia="zh-CN" w:bidi="ar"/>
        </w:rPr>
        <w:t>避开</w:t>
      </w:r>
      <w:r>
        <w:rPr>
          <w:rFonts w:hint="default" w:ascii="Times New Roman" w:hAnsi="Times New Roman" w:eastAsia="宋体" w:cs="Times New Roman"/>
          <w:color w:val="auto"/>
          <w:kern w:val="0"/>
          <w:sz w:val="24"/>
          <w:szCs w:val="24"/>
          <w:lang w:val="en-US" w:eastAsia="zh-CN" w:bidi="ar"/>
        </w:rPr>
        <w:t>了居住稠密区、医院、学校等环境敏感受体。根据现场踏勘，</w:t>
      </w:r>
      <w:r>
        <w:rPr>
          <w:rFonts w:hint="eastAsia" w:ascii="Times New Roman" w:hAnsi="Times New Roman" w:cs="Times New Roman"/>
          <w:color w:val="auto"/>
          <w:kern w:val="0"/>
          <w:sz w:val="24"/>
          <w:szCs w:val="24"/>
          <w:lang w:val="en-US" w:eastAsia="zh-CN" w:bidi="ar"/>
        </w:rPr>
        <w:t>本</w:t>
      </w:r>
      <w:r>
        <w:rPr>
          <w:rFonts w:hint="default" w:ascii="Times New Roman" w:hAnsi="Times New Roman" w:eastAsia="宋体" w:cs="Times New Roman"/>
          <w:color w:val="auto"/>
          <w:kern w:val="0"/>
          <w:sz w:val="24"/>
          <w:szCs w:val="24"/>
          <w:lang w:val="en-US" w:eastAsia="zh-CN" w:bidi="ar"/>
        </w:rPr>
        <w:t>项目评价范围内</w:t>
      </w:r>
      <w:r>
        <w:rPr>
          <w:rFonts w:hint="eastAsia" w:ascii="Times New Roman" w:hAnsi="Times New Roman" w:cs="Times New Roman"/>
          <w:color w:val="auto"/>
          <w:kern w:val="0"/>
          <w:sz w:val="24"/>
          <w:szCs w:val="24"/>
          <w:lang w:val="en-US" w:eastAsia="zh-CN" w:bidi="ar"/>
        </w:rPr>
        <w:t>不涉及</w:t>
      </w:r>
      <w:r>
        <w:rPr>
          <w:rFonts w:hint="default" w:ascii="Times New Roman" w:hAnsi="Times New Roman" w:eastAsia="宋体" w:cs="Times New Roman"/>
          <w:color w:val="auto"/>
          <w:kern w:val="0"/>
          <w:sz w:val="24"/>
          <w:szCs w:val="24"/>
          <w:lang w:val="en-US" w:eastAsia="zh-CN" w:bidi="ar"/>
        </w:rPr>
        <w:t>声环境、环境空气敏感点。</w:t>
      </w:r>
    </w:p>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91"/>
    <w:bookmarkEnd w:id="692"/>
    <w:bookmarkEnd w:id="693"/>
    <w:bookmarkEnd w:id="694"/>
    <w:bookmarkEnd w:id="695"/>
    <w:bookmarkEnd w:id="696"/>
    <w:bookmarkEnd w:id="697"/>
    <w:bookmarkEnd w:id="698"/>
    <w:bookmarkEnd w:id="699"/>
    <w:bookmarkEnd w:id="700"/>
    <w:bookmarkEnd w:id="701"/>
    <w:p w14:paraId="79529017">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2.6.3 水环境保护目标</w:t>
      </w:r>
    </w:p>
    <w:p w14:paraId="3E2BA774">
      <w:pPr>
        <w:keepNext w:val="0"/>
        <w:keepLines w:val="0"/>
        <w:widowControl/>
        <w:suppressLineNumbers w:val="0"/>
        <w:jc w:val="left"/>
        <w:rPr>
          <w:rFonts w:hint="default" w:ascii="Times New Roman" w:hAnsi="Times New Roman" w:eastAsia="宋体" w:cs="Times New Roman"/>
          <w:color w:val="auto"/>
          <w:lang w:eastAsia="zh-CN"/>
        </w:rPr>
      </w:pPr>
      <w:r>
        <w:rPr>
          <w:rFonts w:hint="default" w:ascii="Times New Roman" w:hAnsi="Times New Roman" w:cs="Times New Roman"/>
          <w:color w:val="auto"/>
          <w:kern w:val="0"/>
          <w:sz w:val="24"/>
          <w:szCs w:val="24"/>
          <w:lang w:val="en-US" w:eastAsia="zh-CN" w:bidi="ar"/>
        </w:rPr>
        <w:t>经核实，</w:t>
      </w:r>
      <w:r>
        <w:rPr>
          <w:rFonts w:hint="default" w:ascii="Times New Roman" w:hAnsi="Times New Roman" w:eastAsia="宋体" w:cs="Times New Roman"/>
          <w:color w:val="auto"/>
          <w:kern w:val="0"/>
          <w:sz w:val="24"/>
          <w:szCs w:val="24"/>
          <w:lang w:val="en-US" w:eastAsia="zh-CN" w:bidi="ar"/>
        </w:rPr>
        <w:t>本工程</w:t>
      </w:r>
      <w:r>
        <w:rPr>
          <w:rFonts w:hint="default" w:ascii="Times New Roman" w:hAnsi="Times New Roman" w:cs="Times New Roman"/>
          <w:color w:val="auto"/>
          <w:kern w:val="0"/>
          <w:sz w:val="24"/>
          <w:szCs w:val="24"/>
          <w:lang w:val="en-US" w:eastAsia="zh-CN" w:bidi="ar"/>
        </w:rPr>
        <w:t>不涉及</w:t>
      </w:r>
      <w:r>
        <w:rPr>
          <w:rFonts w:hint="default" w:ascii="Times New Roman" w:hAnsi="Times New Roman" w:eastAsia="宋体" w:cs="Times New Roman"/>
          <w:color w:val="auto"/>
        </w:rPr>
        <w:t>饮用水水源保护区</w:t>
      </w:r>
      <w:r>
        <w:rPr>
          <w:rFonts w:hint="default" w:ascii="Times New Roman" w:hAnsi="Times New Roman" w:eastAsia="宋体" w:cs="Times New Roman"/>
          <w:color w:val="auto"/>
          <w:lang w:val="en-US" w:eastAsia="zh-CN"/>
        </w:rPr>
        <w:t>等各级地表水、地下水水源保护区</w:t>
      </w:r>
      <w:r>
        <w:rPr>
          <w:rFonts w:hint="default" w:ascii="Times New Roman" w:hAnsi="Times New Roman" w:cs="Times New Roman"/>
          <w:color w:val="auto"/>
          <w:lang w:eastAsia="zh-CN"/>
        </w:rPr>
        <w:t>，</w:t>
      </w:r>
      <w:r>
        <w:rPr>
          <w:rFonts w:hint="default" w:ascii="Times New Roman" w:hAnsi="Times New Roman" w:eastAsia="宋体" w:cs="Times New Roman"/>
          <w:color w:val="auto"/>
        </w:rPr>
        <w:t>评价范围内不涉及地表水体，距离最近的地表水为恰克马克河，位于路线起点北侧约2.7km，其水环境功能区划为Ⅱ类水体</w:t>
      </w:r>
      <w:r>
        <w:rPr>
          <w:rFonts w:hint="default" w:ascii="Times New Roman" w:hAnsi="Times New Roman" w:cs="Times New Roman"/>
          <w:color w:val="auto"/>
          <w:lang w:eastAsia="zh-CN"/>
        </w:rPr>
        <w:t>。</w:t>
      </w:r>
    </w:p>
    <w:p w14:paraId="299F8F5B">
      <w:pPr>
        <w:pStyle w:val="3"/>
        <w:keepNext/>
        <w:keepLines/>
        <w:pageBreakBefore w:val="0"/>
        <w:widowControl w:val="0"/>
        <w:numPr>
          <w:ilvl w:val="1"/>
          <w:numId w:val="0"/>
        </w:numPr>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rPr>
      </w:pPr>
      <w:bookmarkStart w:id="722" w:name="_Toc9452"/>
      <w:bookmarkStart w:id="723" w:name="_Toc23177"/>
      <w:bookmarkStart w:id="724" w:name="_Toc24678"/>
      <w:bookmarkStart w:id="725" w:name="_Toc768"/>
      <w:bookmarkStart w:id="726" w:name="_Toc27308"/>
      <w:bookmarkStart w:id="727" w:name="_Toc28541"/>
      <w:bookmarkStart w:id="728" w:name="_Toc16778"/>
      <w:bookmarkStart w:id="729" w:name="_Toc20421"/>
      <w:bookmarkStart w:id="730" w:name="_Toc8947"/>
      <w:bookmarkStart w:id="731" w:name="_Toc19274"/>
      <w:bookmarkStart w:id="732" w:name="_Toc20516"/>
      <w:bookmarkStart w:id="733" w:name="_Toc27717"/>
      <w:r>
        <w:rPr>
          <w:rFonts w:hint="default" w:ascii="Times New Roman" w:hAnsi="Times New Roman" w:cs="Times New Roman"/>
          <w:color w:val="auto"/>
          <w:lang w:val="en-US" w:eastAsia="zh-CN"/>
        </w:rPr>
        <w:t>2.7 评价时段和方法</w:t>
      </w:r>
      <w:bookmarkEnd w:id="722"/>
      <w:bookmarkEnd w:id="723"/>
      <w:bookmarkEnd w:id="724"/>
      <w:bookmarkEnd w:id="725"/>
      <w:bookmarkEnd w:id="726"/>
      <w:bookmarkEnd w:id="727"/>
      <w:bookmarkEnd w:id="728"/>
      <w:bookmarkEnd w:id="729"/>
      <w:bookmarkEnd w:id="730"/>
      <w:bookmarkEnd w:id="731"/>
      <w:bookmarkEnd w:id="732"/>
      <w:bookmarkEnd w:id="733"/>
    </w:p>
    <w:p w14:paraId="6F9B26F0">
      <w:pPr>
        <w:keepNext w:val="0"/>
        <w:keepLines w:val="0"/>
        <w:widowControl/>
        <w:suppressLineNumbers w:val="0"/>
        <w:jc w:val="left"/>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lang w:val="en-US" w:eastAsia="zh-CN" w:bidi="ar"/>
        </w:rPr>
        <w:t>评价时段考虑施工期和营运期。施工期为</w:t>
      </w:r>
      <w:r>
        <w:rPr>
          <w:rFonts w:hint="default" w:ascii="Times New Roman" w:hAnsi="Times New Roman" w:eastAsia="宋体" w:cs="Times New Roman"/>
          <w:color w:val="auto"/>
          <w:kern w:val="0"/>
          <w:sz w:val="24"/>
          <w:szCs w:val="24"/>
          <w:highlight w:val="none"/>
          <w:lang w:val="en-US" w:eastAsia="zh-CN" w:bidi="ar"/>
        </w:rPr>
        <w:t>202</w:t>
      </w:r>
      <w:r>
        <w:rPr>
          <w:rFonts w:hint="default" w:ascii="Times New Roman" w:hAnsi="Times New Roman" w:cs="Times New Roman"/>
          <w:color w:val="auto"/>
          <w:kern w:val="0"/>
          <w:sz w:val="24"/>
          <w:szCs w:val="24"/>
          <w:highlight w:val="none"/>
          <w:lang w:val="en-US" w:eastAsia="zh-CN" w:bidi="ar"/>
        </w:rPr>
        <w:t>6.4</w:t>
      </w:r>
      <w:r>
        <w:rPr>
          <w:rFonts w:hint="default" w:ascii="Times New Roman" w:hAnsi="Times New Roman" w:eastAsia="宋体" w:cs="Times New Roman"/>
          <w:color w:val="auto"/>
          <w:kern w:val="0"/>
          <w:sz w:val="24"/>
          <w:szCs w:val="24"/>
          <w:highlight w:val="none"/>
          <w:lang w:val="en-US" w:eastAsia="zh-CN" w:bidi="ar"/>
        </w:rPr>
        <w:t>-20</w:t>
      </w:r>
      <w:r>
        <w:rPr>
          <w:rFonts w:hint="default" w:ascii="Times New Roman" w:hAnsi="Times New Roman" w:cs="Times New Roman"/>
          <w:color w:val="auto"/>
          <w:kern w:val="0"/>
          <w:sz w:val="24"/>
          <w:szCs w:val="24"/>
          <w:highlight w:val="none"/>
          <w:lang w:val="en-US" w:eastAsia="zh-CN" w:bidi="ar"/>
        </w:rPr>
        <w:t>2</w:t>
      </w:r>
      <w:r>
        <w:rPr>
          <w:rFonts w:hint="eastAsia" w:cs="Times New Roman"/>
          <w:color w:val="auto"/>
          <w:kern w:val="0"/>
          <w:sz w:val="24"/>
          <w:szCs w:val="24"/>
          <w:highlight w:val="none"/>
          <w:lang w:val="en-US" w:eastAsia="zh-CN" w:bidi="ar"/>
        </w:rPr>
        <w:t>8</w:t>
      </w:r>
      <w:r>
        <w:rPr>
          <w:rFonts w:hint="default" w:ascii="Times New Roman" w:hAnsi="Times New Roman" w:cs="Times New Roman"/>
          <w:color w:val="auto"/>
          <w:kern w:val="0"/>
          <w:sz w:val="24"/>
          <w:szCs w:val="24"/>
          <w:highlight w:val="none"/>
          <w:lang w:val="en-US" w:eastAsia="zh-CN" w:bidi="ar"/>
        </w:rPr>
        <w:t>.4</w:t>
      </w:r>
      <w:r>
        <w:rPr>
          <w:rFonts w:hint="default" w:ascii="Times New Roman" w:hAnsi="Times New Roman" w:eastAsia="宋体" w:cs="Times New Roman"/>
          <w:color w:val="auto"/>
          <w:kern w:val="0"/>
          <w:sz w:val="24"/>
          <w:szCs w:val="24"/>
          <w:highlight w:val="none"/>
          <w:lang w:val="en-US" w:eastAsia="zh-CN" w:bidi="ar"/>
        </w:rPr>
        <w:t>年；营运期评价年份选择近期202</w:t>
      </w:r>
      <w:r>
        <w:rPr>
          <w:rFonts w:hint="default" w:ascii="Times New Roman" w:hAnsi="Times New Roman" w:cs="Times New Roman"/>
          <w:color w:val="auto"/>
          <w:kern w:val="0"/>
          <w:sz w:val="24"/>
          <w:szCs w:val="24"/>
          <w:highlight w:val="none"/>
          <w:lang w:val="en-US" w:eastAsia="zh-CN" w:bidi="ar"/>
        </w:rPr>
        <w:t>8</w:t>
      </w:r>
      <w:r>
        <w:rPr>
          <w:rFonts w:hint="default" w:ascii="Times New Roman" w:hAnsi="Times New Roman" w:eastAsia="宋体" w:cs="Times New Roman"/>
          <w:color w:val="auto"/>
          <w:kern w:val="0"/>
          <w:sz w:val="24"/>
          <w:szCs w:val="24"/>
          <w:highlight w:val="none"/>
          <w:lang w:val="en-US" w:eastAsia="zh-CN" w:bidi="ar"/>
        </w:rPr>
        <w:t>年、中期20</w:t>
      </w:r>
      <w:r>
        <w:rPr>
          <w:rFonts w:hint="eastAsia" w:cs="Times New Roman"/>
          <w:color w:val="auto"/>
          <w:kern w:val="0"/>
          <w:sz w:val="24"/>
          <w:szCs w:val="24"/>
          <w:highlight w:val="none"/>
          <w:lang w:val="en-US" w:eastAsia="zh-CN" w:bidi="ar"/>
        </w:rPr>
        <w:t>34</w:t>
      </w:r>
      <w:r>
        <w:rPr>
          <w:rFonts w:hint="default" w:ascii="Times New Roman" w:hAnsi="Times New Roman" w:eastAsia="宋体" w:cs="Times New Roman"/>
          <w:color w:val="auto"/>
          <w:kern w:val="0"/>
          <w:sz w:val="24"/>
          <w:szCs w:val="24"/>
          <w:highlight w:val="none"/>
          <w:lang w:val="en-US" w:eastAsia="zh-CN" w:bidi="ar"/>
        </w:rPr>
        <w:t>年和远期20</w:t>
      </w:r>
      <w:r>
        <w:rPr>
          <w:rFonts w:hint="eastAsia" w:cs="Times New Roman"/>
          <w:color w:val="auto"/>
          <w:kern w:val="0"/>
          <w:sz w:val="24"/>
          <w:szCs w:val="24"/>
          <w:highlight w:val="none"/>
          <w:lang w:val="en-US" w:eastAsia="zh-CN" w:bidi="ar"/>
        </w:rPr>
        <w:t>42</w:t>
      </w:r>
      <w:r>
        <w:rPr>
          <w:rFonts w:hint="default" w:ascii="Times New Roman" w:hAnsi="Times New Roman" w:eastAsia="宋体" w:cs="Times New Roman"/>
          <w:color w:val="auto"/>
          <w:kern w:val="0"/>
          <w:sz w:val="24"/>
          <w:szCs w:val="24"/>
          <w:highlight w:val="none"/>
          <w:lang w:val="en-US" w:eastAsia="zh-CN" w:bidi="ar"/>
        </w:rPr>
        <w:t>年。</w:t>
      </w:r>
    </w:p>
    <w:p w14:paraId="7E8626F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本次评价采用“以点为主，点段结合，反馈全线”的评价方法。各个专题的具体评价方法见表2.</w:t>
      </w:r>
      <w:r>
        <w:rPr>
          <w:rFonts w:hint="default" w:ascii="Times New Roman" w:hAnsi="Times New Roman" w:cs="Times New Roman"/>
          <w:color w:val="auto"/>
          <w:kern w:val="0"/>
          <w:sz w:val="24"/>
          <w:szCs w:val="24"/>
          <w:lang w:val="en-US" w:eastAsia="zh-CN" w:bidi="ar"/>
        </w:rPr>
        <w:t>7</w:t>
      </w:r>
      <w:r>
        <w:rPr>
          <w:rFonts w:hint="default" w:ascii="Times New Roman" w:hAnsi="Times New Roman" w:eastAsia="宋体" w:cs="Times New Roman"/>
          <w:color w:val="auto"/>
          <w:kern w:val="0"/>
          <w:sz w:val="24"/>
          <w:szCs w:val="24"/>
          <w:lang w:val="en-US" w:eastAsia="zh-CN" w:bidi="ar"/>
        </w:rPr>
        <w:t>-1。</w:t>
      </w:r>
    </w:p>
    <w:p w14:paraId="3D72BB1A">
      <w:pPr>
        <w:keepNext w:val="0"/>
        <w:keepLines w:val="0"/>
        <w:widowControl/>
        <w:suppressLineNumbers w:val="0"/>
        <w:spacing w:line="240" w:lineRule="auto"/>
        <w:jc w:val="center"/>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eastAsia="宋体" w:cs="Times New Roman"/>
          <w:b/>
          <w:color w:val="auto"/>
          <w:kern w:val="2"/>
          <w:sz w:val="21"/>
          <w:szCs w:val="21"/>
          <w:lang w:val="en-US" w:eastAsia="zh-CN" w:bidi="ar-SA"/>
        </w:rPr>
        <w:t>表2.</w:t>
      </w:r>
      <w:r>
        <w:rPr>
          <w:rFonts w:hint="default" w:ascii="Times New Roman" w:hAnsi="Times New Roman" w:cs="Times New Roman"/>
          <w:b/>
          <w:color w:val="auto"/>
          <w:kern w:val="2"/>
          <w:sz w:val="21"/>
          <w:szCs w:val="21"/>
          <w:lang w:val="en-US" w:eastAsia="zh-CN" w:bidi="ar-SA"/>
        </w:rPr>
        <w:t>7</w:t>
      </w:r>
      <w:r>
        <w:rPr>
          <w:rFonts w:hint="default" w:ascii="Times New Roman" w:hAnsi="Times New Roman" w:eastAsia="宋体" w:cs="Times New Roman"/>
          <w:b/>
          <w:color w:val="auto"/>
          <w:kern w:val="2"/>
          <w:sz w:val="21"/>
          <w:szCs w:val="21"/>
          <w:lang w:val="en-US" w:eastAsia="zh-CN" w:bidi="ar-SA"/>
        </w:rPr>
        <w:t>-1 环境影响评价方法一览表</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38"/>
        <w:gridCol w:w="2839"/>
        <w:gridCol w:w="2839"/>
      </w:tblGrid>
      <w:tr w14:paraId="22046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38" w:type="dxa"/>
            <w:vAlign w:val="center"/>
          </w:tcPr>
          <w:p w14:paraId="4CA7096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专题</w:t>
            </w:r>
          </w:p>
        </w:tc>
        <w:tc>
          <w:tcPr>
            <w:tcW w:w="2839" w:type="dxa"/>
            <w:vAlign w:val="center"/>
          </w:tcPr>
          <w:p w14:paraId="5421B61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现状评价</w:t>
            </w:r>
          </w:p>
        </w:tc>
        <w:tc>
          <w:tcPr>
            <w:tcW w:w="2839" w:type="dxa"/>
            <w:vAlign w:val="center"/>
          </w:tcPr>
          <w:p w14:paraId="30C8861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预测评价</w:t>
            </w:r>
          </w:p>
        </w:tc>
      </w:tr>
      <w:tr w14:paraId="4DB06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38" w:type="dxa"/>
            <w:vAlign w:val="center"/>
          </w:tcPr>
          <w:p w14:paraId="00EDCDD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社会环境影响评价</w:t>
            </w:r>
          </w:p>
        </w:tc>
        <w:tc>
          <w:tcPr>
            <w:tcW w:w="5678" w:type="dxa"/>
            <w:gridSpan w:val="2"/>
            <w:vAlign w:val="center"/>
          </w:tcPr>
          <w:p w14:paraId="568CFC9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资料收集、调查分析</w:t>
            </w:r>
          </w:p>
        </w:tc>
      </w:tr>
      <w:tr w14:paraId="7AAA9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38" w:type="dxa"/>
            <w:vAlign w:val="center"/>
          </w:tcPr>
          <w:p w14:paraId="42EF453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生态环境影响评价</w:t>
            </w:r>
          </w:p>
        </w:tc>
        <w:tc>
          <w:tcPr>
            <w:tcW w:w="2839" w:type="dxa"/>
            <w:vAlign w:val="center"/>
          </w:tcPr>
          <w:p w14:paraId="16BAF6E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资料收集、现状调查</w:t>
            </w:r>
          </w:p>
        </w:tc>
        <w:tc>
          <w:tcPr>
            <w:tcW w:w="2839" w:type="dxa"/>
            <w:vAlign w:val="center"/>
          </w:tcPr>
          <w:p w14:paraId="64A6666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资料调查与分析</w:t>
            </w:r>
          </w:p>
        </w:tc>
      </w:tr>
      <w:tr w14:paraId="03B3B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38" w:type="dxa"/>
            <w:vAlign w:val="center"/>
          </w:tcPr>
          <w:p w14:paraId="54E2C63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声环境影响评价</w:t>
            </w:r>
          </w:p>
        </w:tc>
        <w:tc>
          <w:tcPr>
            <w:tcW w:w="2839" w:type="dxa"/>
            <w:vAlign w:val="center"/>
          </w:tcPr>
          <w:p w14:paraId="1984365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资料收集、现状监测</w:t>
            </w:r>
          </w:p>
        </w:tc>
        <w:tc>
          <w:tcPr>
            <w:tcW w:w="2839" w:type="dxa"/>
            <w:vAlign w:val="center"/>
          </w:tcPr>
          <w:p w14:paraId="430529F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模式计算、类比分析</w:t>
            </w:r>
          </w:p>
        </w:tc>
      </w:tr>
      <w:tr w14:paraId="24BBF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38" w:type="dxa"/>
            <w:vAlign w:val="center"/>
          </w:tcPr>
          <w:p w14:paraId="58E72EA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地表水环境影响评价</w:t>
            </w:r>
          </w:p>
        </w:tc>
        <w:tc>
          <w:tcPr>
            <w:tcW w:w="2839" w:type="dxa"/>
            <w:vAlign w:val="center"/>
          </w:tcPr>
          <w:p w14:paraId="3EEF41A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资料收集、现状监测</w:t>
            </w:r>
          </w:p>
        </w:tc>
        <w:tc>
          <w:tcPr>
            <w:tcW w:w="2839" w:type="dxa"/>
            <w:vAlign w:val="center"/>
          </w:tcPr>
          <w:p w14:paraId="6B9E0D8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类比与计算相结合</w:t>
            </w:r>
          </w:p>
        </w:tc>
      </w:tr>
    </w:tbl>
    <w:p w14:paraId="2BAF2953">
      <w:pPr>
        <w:bidi w:val="0"/>
        <w:rPr>
          <w:rFonts w:hint="default" w:ascii="Times New Roman" w:hAnsi="Times New Roman" w:cs="Times New Roman"/>
          <w:color w:val="auto"/>
        </w:rPr>
      </w:pPr>
    </w:p>
    <w:p w14:paraId="7242458A">
      <w:pPr>
        <w:bidi w:val="0"/>
        <w:rPr>
          <w:rFonts w:hint="default" w:ascii="Times New Roman" w:hAnsi="Times New Roman" w:cs="Times New Roman"/>
          <w:color w:val="auto"/>
        </w:rPr>
      </w:pPr>
    </w:p>
    <w:p w14:paraId="7AF3291A">
      <w:pPr>
        <w:bidi w:val="0"/>
        <w:rPr>
          <w:rFonts w:hint="default" w:ascii="Times New Roman" w:hAnsi="Times New Roman" w:cs="Times New Roman"/>
          <w:color w:val="auto"/>
        </w:rPr>
      </w:pPr>
    </w:p>
    <w:p w14:paraId="1CEC7A70">
      <w:pPr>
        <w:pStyle w:val="45"/>
        <w:rPr>
          <w:rFonts w:hint="default" w:ascii="Times New Roman" w:hAnsi="Times New Roman" w:cs="Times New Roman"/>
          <w:color w:val="auto"/>
        </w:rPr>
      </w:pPr>
    </w:p>
    <w:p w14:paraId="3D00ABF8">
      <w:pPr>
        <w:pStyle w:val="45"/>
        <w:rPr>
          <w:rFonts w:hint="default" w:ascii="Times New Roman" w:hAnsi="Times New Roman" w:cs="Times New Roman"/>
          <w:color w:val="auto"/>
        </w:rPr>
      </w:pPr>
    </w:p>
    <w:bookmarkEnd w:id="406"/>
    <w:bookmarkEnd w:id="407"/>
    <w:p w14:paraId="1CDF9E96">
      <w:pPr>
        <w:pStyle w:val="9"/>
        <w:spacing w:line="360" w:lineRule="auto"/>
        <w:ind w:firstLine="480" w:firstLineChars="200"/>
        <w:rPr>
          <w:rFonts w:hint="default" w:ascii="Times New Roman" w:hAnsi="Times New Roman" w:cs="Times New Roman"/>
          <w:color w:val="auto"/>
          <w:sz w:val="24"/>
        </w:rPr>
        <w:sectPr>
          <w:headerReference r:id="rId8" w:type="default"/>
          <w:footerReference r:id="rId9" w:type="default"/>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3A1563E0">
      <w:pPr>
        <w:pStyle w:val="2"/>
        <w:bidi w:val="0"/>
        <w:rPr>
          <w:rFonts w:hint="default" w:ascii="Times New Roman" w:hAnsi="Times New Roman" w:cs="Times New Roman"/>
          <w:color w:val="auto"/>
        </w:rPr>
      </w:pPr>
      <w:bookmarkStart w:id="734" w:name="_Toc27072"/>
      <w:bookmarkStart w:id="735" w:name="_Toc20998"/>
      <w:bookmarkStart w:id="736" w:name="_Toc11671"/>
      <w:bookmarkStart w:id="737" w:name="_Toc22106"/>
      <w:bookmarkStart w:id="738" w:name="_Toc1872"/>
      <w:bookmarkStart w:id="739" w:name="_Toc16250"/>
      <w:bookmarkStart w:id="740" w:name="_Toc14638"/>
      <w:bookmarkStart w:id="741" w:name="_Toc13734"/>
      <w:bookmarkStart w:id="742" w:name="_Toc26536"/>
      <w:bookmarkStart w:id="743" w:name="_Toc15724"/>
      <w:bookmarkStart w:id="744" w:name="_Toc16821"/>
      <w:bookmarkStart w:id="745" w:name="_Toc9013"/>
      <w:bookmarkStart w:id="746" w:name="_Toc8156"/>
      <w:bookmarkStart w:id="747" w:name="_Toc8929"/>
      <w:bookmarkStart w:id="748" w:name="_Toc17166"/>
      <w:bookmarkStart w:id="749" w:name="_Toc535783366"/>
      <w:bookmarkStart w:id="750" w:name="_Toc11822"/>
      <w:bookmarkStart w:id="751" w:name="_Toc4956"/>
      <w:bookmarkStart w:id="752" w:name="_Toc8418"/>
      <w:bookmarkStart w:id="753" w:name="_Toc31394"/>
      <w:bookmarkStart w:id="754" w:name="_Toc18287"/>
      <w:bookmarkStart w:id="755" w:name="_Toc22971"/>
      <w:bookmarkStart w:id="756" w:name="_Toc1380"/>
      <w:bookmarkStart w:id="757" w:name="_Toc5571"/>
      <w:bookmarkStart w:id="758" w:name="_Toc1792"/>
      <w:r>
        <w:rPr>
          <w:rFonts w:hint="default" w:ascii="Times New Roman" w:hAnsi="Times New Roman" w:cs="Times New Roman"/>
          <w:color w:val="auto"/>
        </w:rPr>
        <w:t>3</w:t>
      </w:r>
      <w:r>
        <w:rPr>
          <w:rFonts w:hint="default" w:ascii="Times New Roman" w:hAnsi="Times New Roman" w:cs="Times New Roman"/>
          <w:color w:val="auto"/>
          <w:lang w:val="en-US" w:eastAsia="zh-CN"/>
        </w:rPr>
        <w:t xml:space="preserve"> 工程</w:t>
      </w:r>
      <w:r>
        <w:rPr>
          <w:rFonts w:hint="default" w:ascii="Times New Roman" w:hAnsi="Times New Roman" w:cs="Times New Roman"/>
          <w:color w:val="auto"/>
        </w:rPr>
        <w:t>概况和工程分析</w:t>
      </w:r>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p>
    <w:p w14:paraId="170AA627">
      <w:pPr>
        <w:pStyle w:val="3"/>
        <w:numPr>
          <w:ilvl w:val="1"/>
          <w:numId w:val="0"/>
        </w:numPr>
        <w:bidi w:val="0"/>
        <w:rPr>
          <w:rFonts w:hint="default" w:ascii="Times New Roman" w:hAnsi="Times New Roman" w:cs="Times New Roman"/>
          <w:color w:val="auto"/>
        </w:rPr>
      </w:pPr>
      <w:bookmarkStart w:id="759" w:name="_Toc2285"/>
      <w:bookmarkStart w:id="760" w:name="_Toc6069"/>
      <w:bookmarkStart w:id="761" w:name="_Toc20196"/>
      <w:bookmarkStart w:id="762" w:name="_Toc10796"/>
      <w:bookmarkStart w:id="763" w:name="_Toc24048"/>
      <w:bookmarkStart w:id="764" w:name="_Toc6199"/>
      <w:bookmarkStart w:id="765" w:name="_Toc6746"/>
      <w:bookmarkStart w:id="766" w:name="_Toc4091"/>
      <w:bookmarkStart w:id="767" w:name="_Toc21728"/>
      <w:bookmarkStart w:id="768" w:name="_Toc28400"/>
      <w:bookmarkStart w:id="769" w:name="_Toc11062"/>
      <w:bookmarkStart w:id="770" w:name="_Toc15967"/>
      <w:bookmarkStart w:id="771" w:name="_Toc19993"/>
      <w:bookmarkStart w:id="772" w:name="_Toc30241"/>
      <w:bookmarkStart w:id="773" w:name="_Toc3516"/>
      <w:bookmarkStart w:id="774" w:name="_Toc24996"/>
      <w:bookmarkStart w:id="775" w:name="_Toc17984"/>
      <w:bookmarkStart w:id="776" w:name="_Toc4960"/>
      <w:bookmarkStart w:id="777" w:name="_Toc10969"/>
      <w:bookmarkStart w:id="778" w:name="_Toc2855"/>
      <w:bookmarkStart w:id="779" w:name="_Toc19316"/>
      <w:bookmarkStart w:id="780" w:name="_Toc21704"/>
      <w:bookmarkStart w:id="781" w:name="_Toc1907"/>
      <w:bookmarkStart w:id="782" w:name="_Toc27953"/>
      <w:bookmarkStart w:id="783" w:name="_Toc30530"/>
      <w:bookmarkStart w:id="784" w:name="_Toc14141"/>
      <w:bookmarkStart w:id="785" w:name="_Toc7740"/>
      <w:bookmarkStart w:id="786" w:name="_Toc9440"/>
      <w:bookmarkStart w:id="787" w:name="_Toc18719"/>
      <w:bookmarkStart w:id="788" w:name="_Toc3424"/>
      <w:bookmarkStart w:id="789" w:name="_Toc3269"/>
      <w:bookmarkStart w:id="790" w:name="_Toc13717"/>
      <w:bookmarkStart w:id="791" w:name="_Toc807"/>
      <w:bookmarkStart w:id="792" w:name="_Toc27188"/>
      <w:bookmarkStart w:id="793" w:name="_Toc20644"/>
      <w:bookmarkStart w:id="794" w:name="_Toc15739"/>
      <w:bookmarkStart w:id="795" w:name="_Toc15506"/>
      <w:bookmarkStart w:id="796" w:name="_Toc22205"/>
      <w:bookmarkStart w:id="797" w:name="_Toc17054"/>
      <w:bookmarkStart w:id="798" w:name="_Toc7033"/>
      <w:bookmarkStart w:id="799" w:name="_Toc29337"/>
      <w:bookmarkStart w:id="800" w:name="_Toc30071"/>
      <w:bookmarkStart w:id="801" w:name="_Toc7516"/>
      <w:bookmarkStart w:id="802" w:name="_Toc13040"/>
      <w:bookmarkStart w:id="803" w:name="_Toc997"/>
      <w:bookmarkStart w:id="804" w:name="_Toc236"/>
      <w:bookmarkStart w:id="805" w:name="_Toc6166"/>
      <w:bookmarkStart w:id="806" w:name="_Toc2228"/>
      <w:bookmarkStart w:id="807" w:name="_Toc10497"/>
      <w:bookmarkStart w:id="808" w:name="_Toc30489"/>
      <w:bookmarkStart w:id="809" w:name="_Toc4099"/>
      <w:bookmarkStart w:id="810" w:name="_Toc14065"/>
      <w:bookmarkStart w:id="811" w:name="_Toc23859"/>
      <w:bookmarkStart w:id="812" w:name="_Toc21997"/>
      <w:bookmarkStart w:id="813" w:name="_Toc9588"/>
      <w:bookmarkStart w:id="814" w:name="_Toc22202"/>
      <w:bookmarkStart w:id="815" w:name="_Toc17728"/>
      <w:r>
        <w:rPr>
          <w:rFonts w:hint="default" w:ascii="Times New Roman" w:hAnsi="Times New Roman" w:cs="Times New Roman"/>
          <w:color w:val="auto"/>
          <w:lang w:val="en-US" w:eastAsia="zh-CN"/>
        </w:rPr>
        <w:t>3.1 选址选线方案环境比选</w:t>
      </w:r>
      <w:bookmarkEnd w:id="759"/>
      <w:bookmarkEnd w:id="760"/>
    </w:p>
    <w:p w14:paraId="6C418308">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3.1.1 项目走廊带论证</w:t>
      </w:r>
    </w:p>
    <w:p w14:paraId="1F78A851">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3.1.1.1 走廊带选择主要影响因素</w:t>
      </w:r>
    </w:p>
    <w:p w14:paraId="5693386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（1）功能定位 本项目定位为连接区域两个重要城市阿图什市与喀什市城市间的干线公路，是区域路网中的次要干线公路，建成后，对于改善阿图什市与喀什市</w:t>
      </w:r>
      <w:r>
        <w:rPr>
          <w:rFonts w:hint="eastAsia" w:cs="Times New Roman"/>
          <w:color w:val="auto"/>
          <w:kern w:val="0"/>
          <w:sz w:val="24"/>
          <w:szCs w:val="24"/>
          <w:lang w:val="en-US" w:eastAsia="zh-CN" w:bidi="ar"/>
        </w:rPr>
        <w:t>的交通</w:t>
      </w:r>
      <w:r>
        <w:rPr>
          <w:rFonts w:hint="default" w:ascii="Times New Roman" w:hAnsi="Times New Roman" w:eastAsia="宋体" w:cs="Times New Roman"/>
          <w:color w:val="auto"/>
          <w:kern w:val="0"/>
          <w:sz w:val="24"/>
          <w:szCs w:val="24"/>
          <w:lang w:val="en-US" w:eastAsia="zh-CN" w:bidi="ar"/>
        </w:rPr>
        <w:t>出行条件，加强阿图什市、喀什市以及沿线经济开发区、工业园区与全疆全国高速公路网络的衔接、促进阿图什、喀什两市中心城区的迅速融合、提升两地经济产业合作及城市集群化程度发挥重要作用。同时，是对区域干线公路网的</w:t>
      </w:r>
      <w:r>
        <w:rPr>
          <w:rFonts w:hint="eastAsia" w:cs="Times New Roman"/>
          <w:color w:val="auto"/>
          <w:kern w:val="0"/>
          <w:sz w:val="24"/>
          <w:szCs w:val="24"/>
          <w:lang w:val="en-US" w:eastAsia="zh-CN" w:bidi="ar"/>
        </w:rPr>
        <w:t>有力</w:t>
      </w:r>
      <w:r>
        <w:rPr>
          <w:rFonts w:hint="default" w:ascii="Times New Roman" w:hAnsi="Times New Roman" w:eastAsia="宋体" w:cs="Times New Roman"/>
          <w:color w:val="auto"/>
          <w:kern w:val="0"/>
          <w:sz w:val="24"/>
          <w:szCs w:val="24"/>
          <w:lang w:val="en-US" w:eastAsia="zh-CN" w:bidi="ar"/>
        </w:rPr>
        <w:t>补充，大大缓解现状G3012高速公路、G314国道的交通压力。</w:t>
      </w:r>
    </w:p>
    <w:p w14:paraId="22A1C869">
      <w:pPr>
        <w:keepNext w:val="0"/>
        <w:keepLines w:val="0"/>
        <w:widowControl/>
        <w:suppressLineNumbers w:val="0"/>
        <w:ind w:left="0" w:leftChars="0" w:firstLine="0" w:firstLineChars="0"/>
        <w:jc w:val="left"/>
        <w:rPr>
          <w:rFonts w:hint="default" w:ascii="Times New Roman" w:hAnsi="Times New Roman" w:eastAsia="宋体" w:cs="Times New Roman"/>
          <w:color w:val="auto"/>
          <w:kern w:val="0"/>
          <w:sz w:val="24"/>
          <w:szCs w:val="24"/>
          <w:lang w:val="en-US" w:eastAsia="zh-CN" w:bidi="ar"/>
        </w:rPr>
      </w:pPr>
      <w:r>
        <w:rPr>
          <w:color w:val="auto"/>
        </w:rPr>
        <w:drawing>
          <wp:inline distT="0" distB="0" distL="114300" distR="114300">
            <wp:extent cx="5269230" cy="5908040"/>
            <wp:effectExtent l="0" t="0" r="7620" b="16510"/>
            <wp:docPr id="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
                    <pic:cNvPicPr>
                      <a:picLocks noChangeAspect="1"/>
                    </pic:cNvPicPr>
                  </pic:nvPicPr>
                  <pic:blipFill>
                    <a:blip r:embed="rId16"/>
                    <a:stretch>
                      <a:fillRect/>
                    </a:stretch>
                  </pic:blipFill>
                  <pic:spPr>
                    <a:xfrm>
                      <a:off x="0" y="0"/>
                      <a:ext cx="5269230" cy="5908040"/>
                    </a:xfrm>
                    <a:prstGeom prst="rect">
                      <a:avLst/>
                    </a:prstGeom>
                    <a:noFill/>
                    <a:ln>
                      <a:noFill/>
                    </a:ln>
                  </pic:spPr>
                </pic:pic>
              </a:graphicData>
            </a:graphic>
          </wp:inline>
        </w:drawing>
      </w:r>
    </w:p>
    <w:p w14:paraId="4CB024E6">
      <w:pPr>
        <w:pStyle w:val="39"/>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图3.1-1   与现有主要道路布局关系图</w:t>
      </w:r>
    </w:p>
    <w:p w14:paraId="600EF6D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（2）路网布局及规划</w:t>
      </w:r>
    </w:p>
    <w:p w14:paraId="58E1C95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从路网角度，目前阿图什市与喀什市的公路联系通道仅有G314和G3012。通过G314、G3012往返喀什地区存在过多的绕行，不仅造成出行时长的增加，同时交通流过于集中，G314、G3012交通压力大、交通效率低下。干线路网不完善、干线公路密度低、通行效率低下是制约区域经济社会发展的重要因素。路线走廊带选择应结合现状路网规划、有利于路网结构优化，充分提升路网效率。</w:t>
      </w:r>
    </w:p>
    <w:p w14:paraId="1B35698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（3）地形条件</w:t>
      </w:r>
    </w:p>
    <w:p w14:paraId="7A7E896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从地形条件分析，横亘在阿图什市与喀什市间的兰干塔格山是影响区域路网布局、经济社会融合、一体化发展的重要因素，打通兰干塔格山中部交通通道对区域经济社会发展意义重大。</w:t>
      </w:r>
    </w:p>
    <w:p w14:paraId="2846A0C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（4）城镇规划及产业园区规划</w:t>
      </w:r>
    </w:p>
    <w:p w14:paraId="5B85E6D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交通条件的改善对于城镇发展、项目沿线产业发展具有重要的推动作用，因此，本项目走廊带选择应充分结合区域城镇规划及相关产业规划，最大程度发挥本项目对沿线产业经济的带动作用。</w:t>
      </w:r>
    </w:p>
    <w:p w14:paraId="7E7FECDB">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3.1.1.2 备选走廊带</w:t>
      </w:r>
    </w:p>
    <w:p w14:paraId="403B3E6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根据阿图什市与喀什市城市空间布局、地形因素、产业布局等两城市间存在的主要走廊带有三个，分别为：由兰干塔格山西侧绕行、东侧绕行和中部穿越兰干塔格山。从路网功能、经济发展因素等方面进行比选：</w:t>
      </w:r>
    </w:p>
    <w:p w14:paraId="2744BA6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（1）路网功能</w:t>
      </w:r>
    </w:p>
    <w:p w14:paraId="09938C5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三个走廊带均可实现阿图什市与喀什市的衔接，但两城市间现有的交通干线公路G3012和G314都由西侧绕行，因此如采用由兰干塔格山西侧绕行，则三条干线公路在同一走廊带，通道单一，路网布局不合理的问题。兰干塔格山东侧绕行的走廊带，目前已有新规划的G314，如本项目也采用此走廊带，则与新G314同走廊，也不利于路网优化，同时，上述两个走廊带均连接阿图什市老城区，不利于改善阿图什市新城区向喀什市的通行条件；而采用由兰干塔格山中部穿越的走廊带，有利于形成东、中、西三条干线走廊通道，有利于完善路网结构，同时有利于带动阿图什市新区发展，因此，从路网功能的角度，从中部穿越兰干塔格山的走廊带最为有利。</w:t>
      </w:r>
    </w:p>
    <w:p w14:paraId="4D7F2CC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（2）经济发展</w:t>
      </w:r>
    </w:p>
    <w:p w14:paraId="49BEE3A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兰干塔格山中部南北两侧分别分布了喀什市经济技术开发区、中欧物流港、阿图什轻工业园区、江苏工业园等两市的重要经济开发区及工业园区，因此，由兰干山中部打通一条快速通道，有利于改善南北两市经济开发区及园区的交通运输条件，有利于带动片区的经济发展，而兰干山东侧走廊带和西侧走廊带，对于两市的经济园区，均存在绕行，效率低下，因此，从经济发展角度，从中部穿越兰干塔格山的走廊带优势明显，最有利于发挥本项目串联沿线园区，形成区域连片式、集群式发展格局。</w:t>
      </w:r>
    </w:p>
    <w:p w14:paraId="7A6CAED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综上所述，由兰干塔格山中部穿越的干线公路是最有利于完善区域路网结构的方案，可有效解决两座城市各个区域的快速衔接，全面</w:t>
      </w:r>
      <w:r>
        <w:rPr>
          <w:rFonts w:hint="eastAsia" w:cs="Times New Roman"/>
          <w:color w:val="auto"/>
          <w:kern w:val="0"/>
          <w:sz w:val="24"/>
          <w:szCs w:val="24"/>
          <w:lang w:val="en-US" w:eastAsia="zh-CN" w:bidi="ar"/>
        </w:rPr>
        <w:t>拉近</w:t>
      </w:r>
      <w:r>
        <w:rPr>
          <w:rFonts w:hint="default" w:ascii="Times New Roman" w:hAnsi="Times New Roman" w:eastAsia="宋体" w:cs="Times New Roman"/>
          <w:color w:val="auto"/>
          <w:kern w:val="0"/>
          <w:sz w:val="24"/>
          <w:szCs w:val="24"/>
          <w:lang w:val="en-US" w:eastAsia="zh-CN" w:bidi="ar"/>
        </w:rPr>
        <w:t>两座城市的空间距离，形成阿图什市与喀什市间城镇布局纵向发展轴线上的交通主通道，避免与现状及规划路网功能重复导致路网效率低下，因此，穿越兰干塔格山的中走廊带是最优选择。</w:t>
      </w:r>
    </w:p>
    <w:p w14:paraId="05D229C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上述论证，初拟由阿图什轻工业园以南约3km处的兰干村附近设置隧道穿越兰干塔格山的走廊带，该走廊带向南穿越兰干塔格山后即经过喀什经济开发区进入喀什市，沿线无重要控制因素，可顺直与经济开发区城东大道衔接。但山脉以北阿图什境内，由阿图什市至兰干村存在三个可能的局部走廊带，因此共拟定</w:t>
      </w:r>
      <w:r>
        <w:rPr>
          <w:rFonts w:hint="default" w:ascii="Times New Roman" w:hAnsi="Times New Roman" w:cs="Times New Roman"/>
          <w:color w:val="auto"/>
          <w:kern w:val="0"/>
          <w:sz w:val="24"/>
          <w:szCs w:val="24"/>
          <w:lang w:val="en-US" w:eastAsia="zh-CN" w:bidi="ar"/>
        </w:rPr>
        <w:t>三条</w:t>
      </w:r>
      <w:r>
        <w:rPr>
          <w:rFonts w:hint="default" w:ascii="Times New Roman" w:hAnsi="Times New Roman" w:eastAsia="宋体" w:cs="Times New Roman"/>
          <w:color w:val="auto"/>
          <w:kern w:val="0"/>
          <w:sz w:val="24"/>
          <w:szCs w:val="24"/>
          <w:lang w:val="en-US" w:eastAsia="zh-CN" w:bidi="ar"/>
        </w:rPr>
        <w:t>走廊带进行比选。</w:t>
      </w:r>
    </w:p>
    <w:p w14:paraId="55A344B2">
      <w:pPr>
        <w:keepNext w:val="0"/>
        <w:keepLines w:val="0"/>
        <w:widowControl/>
        <w:suppressLineNumbers w:val="0"/>
        <w:jc w:val="left"/>
        <w:rPr>
          <w:rFonts w:hint="default" w:ascii="Times New Roman" w:hAnsi="Times New Roman" w:cs="Times New Roman"/>
          <w:color w:val="auto"/>
        </w:rPr>
      </w:pPr>
    </w:p>
    <w:p w14:paraId="03413789">
      <w:pPr>
        <w:bidi w:val="0"/>
        <w:ind w:left="0" w:leftChars="0"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rPr>
        <w:drawing>
          <wp:inline distT="0" distB="0" distL="114300" distR="114300">
            <wp:extent cx="5266690" cy="3824605"/>
            <wp:effectExtent l="0" t="0" r="10160" b="4445"/>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17"/>
                    <a:stretch>
                      <a:fillRect/>
                    </a:stretch>
                  </pic:blipFill>
                  <pic:spPr>
                    <a:xfrm>
                      <a:off x="0" y="0"/>
                      <a:ext cx="5266690" cy="3824605"/>
                    </a:xfrm>
                    <a:prstGeom prst="rect">
                      <a:avLst/>
                    </a:prstGeom>
                    <a:noFill/>
                    <a:ln>
                      <a:noFill/>
                    </a:ln>
                  </pic:spPr>
                </pic:pic>
              </a:graphicData>
            </a:graphic>
          </wp:inline>
        </w:drawing>
      </w:r>
    </w:p>
    <w:p w14:paraId="017C8198">
      <w:pPr>
        <w:pStyle w:val="39"/>
        <w:bidi w:val="0"/>
        <w:rPr>
          <w:rFonts w:hint="default" w:ascii="Times New Roman" w:hAnsi="Times New Roman" w:cs="Times New Roman"/>
          <w:color w:val="auto"/>
        </w:rPr>
      </w:pPr>
      <w:r>
        <w:rPr>
          <w:rFonts w:hint="default" w:ascii="Times New Roman" w:hAnsi="Times New Roman" w:cs="Times New Roman"/>
          <w:color w:val="auto"/>
          <w:lang w:val="en-US" w:eastAsia="zh-CN"/>
        </w:rPr>
        <w:t>图3.1-</w:t>
      </w:r>
      <w:r>
        <w:rPr>
          <w:rFonts w:hint="eastAsia" w:cs="Times New Roman"/>
          <w:color w:val="auto"/>
          <w:lang w:val="en-US" w:eastAsia="zh-CN"/>
        </w:rPr>
        <w:t>2</w:t>
      </w:r>
      <w:r>
        <w:rPr>
          <w:rFonts w:hint="default" w:ascii="Times New Roman" w:hAnsi="Times New Roman" w:cs="Times New Roman"/>
          <w:color w:val="auto"/>
          <w:lang w:val="en-US" w:eastAsia="zh-CN"/>
        </w:rPr>
        <w:t xml:space="preserve"> 项目走廊带示意图</w:t>
      </w:r>
    </w:p>
    <w:p w14:paraId="2EEB1F2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b/>
          <w:bCs/>
          <w:color w:val="auto"/>
          <w:kern w:val="0"/>
          <w:sz w:val="24"/>
          <w:szCs w:val="24"/>
          <w:lang w:val="en-US" w:eastAsia="zh-CN" w:bidi="ar"/>
        </w:rPr>
        <w:t>走廊带一：</w:t>
      </w:r>
      <w:r>
        <w:rPr>
          <w:rFonts w:hint="default" w:ascii="Times New Roman" w:hAnsi="Times New Roman" w:eastAsia="宋体" w:cs="Times New Roman"/>
          <w:color w:val="auto"/>
          <w:kern w:val="0"/>
          <w:sz w:val="24"/>
          <w:szCs w:val="24"/>
          <w:lang w:val="en-US" w:eastAsia="zh-CN" w:bidi="ar"/>
        </w:rPr>
        <w:t>即G3012高速公路+乡道Y024走廊带。阿图什至G3012阿扎克互通立交段可与既有G3012高速公路共线，之后利用既有阿扎克互通向南至阿图什新区，阿图什新区可沿既有乡道Y024公路走廊带布设至兰干村，之后设置隧道穿越兰干塔格山进入喀什境内，在喀什经济开发区可接入通过开发区主干线城东大道衔接喀什市城市路网。</w:t>
      </w:r>
    </w:p>
    <w:p w14:paraId="4CAF05A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b/>
          <w:bCs/>
          <w:color w:val="auto"/>
          <w:kern w:val="0"/>
          <w:sz w:val="24"/>
          <w:szCs w:val="24"/>
          <w:lang w:val="en-US" w:eastAsia="zh-CN" w:bidi="ar"/>
        </w:rPr>
        <w:t>走廊带二：</w:t>
      </w:r>
      <w:r>
        <w:rPr>
          <w:rFonts w:hint="default" w:ascii="Times New Roman" w:hAnsi="Times New Roman" w:eastAsia="宋体" w:cs="Times New Roman"/>
          <w:color w:val="auto"/>
          <w:kern w:val="0"/>
          <w:sz w:val="24"/>
          <w:szCs w:val="24"/>
          <w:lang w:val="en-US" w:eastAsia="zh-CN" w:bidi="ar"/>
        </w:rPr>
        <w:t>起点位于阿图什市环城东路（G314改线)，向西跨越博古孜河及恰克马克河北支后沿规划南环路至阿图什新区，之后走向与走廊带一相同，向南经兰干村设置隧道穿越兰干塔格山，经喀什经济开发区至喀什市，连接城东大道。</w:t>
      </w:r>
    </w:p>
    <w:p w14:paraId="269B018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b/>
          <w:bCs/>
          <w:color w:val="auto"/>
          <w:kern w:val="0"/>
          <w:sz w:val="24"/>
          <w:szCs w:val="24"/>
          <w:lang w:val="en-US" w:eastAsia="zh-CN" w:bidi="ar"/>
        </w:rPr>
        <w:t>走廊带三：</w:t>
      </w:r>
      <w:r>
        <w:rPr>
          <w:rFonts w:hint="default" w:ascii="Times New Roman" w:hAnsi="Times New Roman" w:eastAsia="宋体" w:cs="Times New Roman"/>
          <w:color w:val="auto"/>
          <w:kern w:val="0"/>
          <w:sz w:val="24"/>
          <w:szCs w:val="24"/>
          <w:lang w:val="en-US" w:eastAsia="zh-CN" w:bidi="ar"/>
        </w:rPr>
        <w:t>起点位于阿图什市环城东路</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G314改线</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，向南至兰干塔格山北侧X379，再沿X379向西至阿图什轻工业园，然后向南穿越兰干塔格山，终点位于喀什市城东大道。</w:t>
      </w:r>
    </w:p>
    <w:p w14:paraId="15E7CAB9">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3.1.1.3 走廊带比选论证</w:t>
      </w:r>
    </w:p>
    <w:p w14:paraId="7B91ECB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（1）路网衔接</w:t>
      </w:r>
    </w:p>
    <w:p w14:paraId="1452910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走廊带一通过G3012与阿图什城市路网衔接，走廊带二全线新建与阿图什市城市路网及G314衔接，走廊带三在兰干塔什山东北方向通过与规划G314共线约6km后与阿图什市衔接，从路网衔接角度，走廊带一与高速公路的衔接最为便捷，有利于区域交通快速接入全疆高速路网。</w:t>
      </w:r>
    </w:p>
    <w:p w14:paraId="7D4D783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（2）与产业规划区关系</w:t>
      </w:r>
    </w:p>
    <w:p w14:paraId="0BE52CB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走廊带一、走廊带二串联阿图什工业园区、江苏产业园等，有利于改善新区及园区交通条件，有利于各园区与喀什经济技术开</w:t>
      </w:r>
      <w:r>
        <w:rPr>
          <w:rFonts w:hint="default" w:ascii="Times New Roman" w:hAnsi="Times New Roman" w:cs="Times New Roman"/>
          <w:color w:val="auto"/>
          <w:kern w:val="0"/>
          <w:sz w:val="24"/>
          <w:szCs w:val="24"/>
          <w:lang w:val="en-US" w:eastAsia="zh-CN" w:bidi="ar"/>
        </w:rPr>
        <w:t>发区</w:t>
      </w:r>
      <w:r>
        <w:rPr>
          <w:rFonts w:hint="default" w:ascii="Times New Roman" w:hAnsi="Times New Roman" w:eastAsia="宋体" w:cs="Times New Roman"/>
          <w:color w:val="auto"/>
          <w:kern w:val="0"/>
          <w:sz w:val="24"/>
          <w:szCs w:val="24"/>
          <w:lang w:val="en-US" w:eastAsia="zh-CN" w:bidi="ar"/>
        </w:rPr>
        <w:t>间的联系，形成连片式发展，而走廊带三沿兰干塔格山山脚布设，远离园区，不利于带动新区及各园区发展。从与产业规划区关系角度，走廊带一优势明显。</w:t>
      </w:r>
    </w:p>
    <w:p w14:paraId="6733BB9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（3）经济效益</w:t>
      </w:r>
    </w:p>
    <w:p w14:paraId="54F3361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从路网角度，</w:t>
      </w:r>
      <w:r>
        <w:rPr>
          <w:rFonts w:hint="default" w:ascii="Times New Roman" w:hAnsi="Times New Roman" w:cs="Times New Roman"/>
          <w:color w:val="auto"/>
          <w:kern w:val="0"/>
          <w:sz w:val="24"/>
          <w:szCs w:val="24"/>
          <w:lang w:val="en-US" w:eastAsia="zh-CN" w:bidi="ar"/>
        </w:rPr>
        <w:t>三条</w:t>
      </w:r>
      <w:r>
        <w:rPr>
          <w:rFonts w:hint="default" w:ascii="Times New Roman" w:hAnsi="Times New Roman" w:eastAsia="宋体" w:cs="Times New Roman"/>
          <w:color w:val="auto"/>
          <w:kern w:val="0"/>
          <w:sz w:val="24"/>
          <w:szCs w:val="24"/>
          <w:lang w:val="en-US" w:eastAsia="zh-CN" w:bidi="ar"/>
        </w:rPr>
        <w:t>走廊带均不同程度</w:t>
      </w:r>
      <w:r>
        <w:rPr>
          <w:rFonts w:hint="default" w:ascii="Times New Roman" w:hAnsi="Times New Roman" w:cs="Times New Roman"/>
          <w:color w:val="auto"/>
          <w:kern w:val="0"/>
          <w:sz w:val="24"/>
          <w:szCs w:val="24"/>
          <w:lang w:val="en-US" w:eastAsia="zh-CN" w:bidi="ar"/>
        </w:rPr>
        <w:t>于</w:t>
      </w:r>
      <w:r>
        <w:rPr>
          <w:rFonts w:hint="default" w:ascii="Times New Roman" w:hAnsi="Times New Roman" w:eastAsia="宋体" w:cs="Times New Roman"/>
          <w:color w:val="auto"/>
          <w:kern w:val="0"/>
          <w:sz w:val="24"/>
          <w:szCs w:val="24"/>
          <w:lang w:val="en-US" w:eastAsia="zh-CN" w:bidi="ar"/>
        </w:rPr>
        <w:t>路网结构的完善，均有建设的必要性，但从经济效益角度，方案一串联阿图什轻工业园区、江苏产业园等，对带动区域经济发展作用显著，同时，走廊带一约9.7km与G3012高速公路共线，仅需建设阿扎克互通至喀什市城东大道段约10.5km，建设里程最短，投资最小，其他两个走廊带带动经济功能较弱，建设里程长，对于克州地方财政收入有限的情况下，该走廊带一在近期建设的效益最好，走廊带二和走廊带三可在远期进行建设，以完善路网。</w:t>
      </w:r>
    </w:p>
    <w:p w14:paraId="1C8AD16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（4）征地拆迁</w:t>
      </w:r>
    </w:p>
    <w:p w14:paraId="4FF8012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走廊带一与走廊带二均经过乡镇农田区，走廊带一穿越乡镇及农耕区长度约3km，走廊带二穿越乡镇及农耕区长度约13km，走廊带三靠近山脚，远离乡镇，因此，走廊带三对农业生产生活影响较小，走廊带一次之，走廊带二占用耕地、拆迁民房最多，对农业生产生活影响较大。</w:t>
      </w:r>
    </w:p>
    <w:p w14:paraId="59D4D88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（5）地形地质条件</w:t>
      </w:r>
    </w:p>
    <w:p w14:paraId="4D8898B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走廊带三沿山布设，地形地质条件相对较差，山侧汇水易形成水毁、泥石流等病害，走廊带一和走廊带二位于平原区，地形地质条件相对较好。</w:t>
      </w:r>
    </w:p>
    <w:p w14:paraId="0268472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以上分析，走廊带三远离城镇，对沿线城镇生产生活影响较小，但同时也远离各经济园区，对沿线经济及社会发展带动作用弱，与交通基础设施为经济发展服务的原则符合性差，劣势明显。走廊带一在此方面优势明显，且与高速路网的衔接最为便捷，经济效益最为显著。</w:t>
      </w:r>
    </w:p>
    <w:p w14:paraId="586A114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综上所述，本项目推荐走廊带一方案，建议走廊带二和走廊带三在远期作为区域路网中的集散公路进行建设。</w:t>
      </w:r>
    </w:p>
    <w:p w14:paraId="78F6294D">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3.1.</w:t>
      </w:r>
      <w:r>
        <w:rPr>
          <w:rFonts w:hint="eastAsia" w:cs="Times New Roman"/>
          <w:color w:val="auto"/>
          <w:lang w:val="en-US" w:eastAsia="zh-CN"/>
        </w:rPr>
        <w:t>2</w:t>
      </w:r>
      <w:r>
        <w:rPr>
          <w:rFonts w:hint="default" w:ascii="Times New Roman" w:hAnsi="Times New Roman" w:cs="Times New Roman"/>
          <w:color w:val="auto"/>
          <w:lang w:val="en-US" w:eastAsia="zh-CN"/>
        </w:rPr>
        <w:t xml:space="preserve"> 路线方案比选论证</w:t>
      </w:r>
    </w:p>
    <w:p w14:paraId="4C75A35C">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3.1.</w:t>
      </w:r>
      <w:r>
        <w:rPr>
          <w:rFonts w:hint="eastAsia" w:cs="Times New Roman"/>
          <w:color w:val="auto"/>
          <w:lang w:val="en-US" w:eastAsia="zh-CN"/>
        </w:rPr>
        <w:t>2</w:t>
      </w:r>
      <w:r>
        <w:rPr>
          <w:rFonts w:hint="default" w:ascii="Times New Roman" w:hAnsi="Times New Roman" w:cs="Times New Roman"/>
          <w:color w:val="auto"/>
          <w:lang w:val="en-US" w:eastAsia="zh-CN"/>
        </w:rPr>
        <w:t>.1 路线方案拟定基本原则</w:t>
      </w:r>
    </w:p>
    <w:p w14:paraId="0F129B9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次路线方案选定的思路，是在对项目功能定位、区域路网结构、沿线区域自然地理条件、城镇总体规划及产业布局分析研究的基础上，首先确定路线总体走向，然后从经济、环保等方面进行全方位、分层次的综合比选，在此基础上最终确定推荐的路线方案。</w:t>
      </w:r>
    </w:p>
    <w:p w14:paraId="52604A5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b/>
          <w:bCs/>
          <w:color w:val="auto"/>
          <w:kern w:val="0"/>
          <w:sz w:val="24"/>
          <w:szCs w:val="24"/>
          <w:lang w:val="en-US" w:eastAsia="zh-CN" w:bidi="ar"/>
        </w:rPr>
        <w:t>跨越兰干塔格山的方案是本项目路线方案的重点，因为路线比选段落跨两个项目范围，因此，方案比选按公路全线范围进行比选。</w:t>
      </w:r>
      <w:r>
        <w:rPr>
          <w:rFonts w:hint="default" w:ascii="Times New Roman" w:hAnsi="Times New Roman" w:eastAsia="宋体" w:cs="Times New Roman"/>
          <w:color w:val="auto"/>
          <w:kern w:val="0"/>
          <w:sz w:val="24"/>
          <w:szCs w:val="24"/>
          <w:lang w:val="en-US" w:eastAsia="zh-CN" w:bidi="ar"/>
        </w:rPr>
        <w:t>具体选线时应遵循以下主要原则：</w:t>
      </w:r>
    </w:p>
    <w:p w14:paraId="12D33E4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（1）遵循功能定位指导路线方案选择的原则，方案制定时应明确其主要的服务对象，满足主要的交通要求，实现路线方案与其功能定位相协调的目标。</w:t>
      </w:r>
    </w:p>
    <w:p w14:paraId="2737388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（2）应符合新疆克州规划布局总体要求，满足本项目所承担的路网功能，协调处理好与其他道路及其他运输方式的关系，促进综合运输体系的有效构成和作用发挥。</w:t>
      </w:r>
    </w:p>
    <w:p w14:paraId="31CE639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贯穿地形选线、地质选线和环境选线的思路，路线布设顺应地形、避免高填深挖，并注意避让各类地质病害点及环境敏感区域，力求技术可行、经济合理，同时能最大限度地减少对自然环境的破坏，合理利用地形，少占耕地、林地，多用荒地，实现可持续发展。</w:t>
      </w:r>
    </w:p>
    <w:p w14:paraId="0C60549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（4）应做到与区域城镇发展总体规划和产业布局规划相协调的要求，更好地体现为区域经济、社会发展服务的目的。同时，在拉动沿线经济发展的前提下，尽量减少对沿线乡镇、村庄发展的相互干扰。</w:t>
      </w:r>
    </w:p>
    <w:p w14:paraId="4E34404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5）坚持集约型、可持续发展的科学发展观，与沿线的生态环境及建设条件相协调，因地制宜，灵活选用指标，力求线形连续均衡，组合得当，减少对沿线环境敏感点的影响，尽可能节约土地资源和其他不可再生资源。</w:t>
      </w:r>
    </w:p>
    <w:p w14:paraId="7CC7980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（6）贯彻安全选线、经济（促进社会经济发展）选线、地质选线、地形选线和环保选线的原则，重视全寿命周期成本控制，应以获得促进可持续发展为最佳方案。</w:t>
      </w:r>
    </w:p>
    <w:p w14:paraId="265F8EE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（7）路线穿越村镇路段，充分考虑沿线群众生产生活出行需求，处理好与旧路、房屋拆迁、群众出行等的关系。</w:t>
      </w:r>
    </w:p>
    <w:p w14:paraId="3953DBE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（8）处理好与既有道路交叉关系，合理选择交叉位置和角度。</w:t>
      </w:r>
    </w:p>
    <w:p w14:paraId="3DAF37A6">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3.1.</w:t>
      </w:r>
      <w:r>
        <w:rPr>
          <w:rFonts w:hint="eastAsia" w:cs="Times New Roman"/>
          <w:color w:val="auto"/>
          <w:lang w:val="en-US" w:eastAsia="zh-CN"/>
        </w:rPr>
        <w:t>2</w:t>
      </w:r>
      <w:r>
        <w:rPr>
          <w:rFonts w:hint="default" w:ascii="Times New Roman" w:hAnsi="Times New Roman" w:cs="Times New Roman"/>
          <w:color w:val="auto"/>
          <w:lang w:val="en-US" w:eastAsia="zh-CN"/>
        </w:rPr>
        <w:t>.2 影响路线方案布设的主要控制因素分析</w:t>
      </w:r>
    </w:p>
    <w:p w14:paraId="26E952B2">
      <w:pPr>
        <w:bidi w:val="0"/>
        <w:rPr>
          <w:rFonts w:hint="default" w:ascii="Times New Roman" w:hAnsi="Times New Roman" w:cs="Times New Roman"/>
          <w:color w:val="auto"/>
        </w:rPr>
      </w:pPr>
      <w:r>
        <w:rPr>
          <w:rFonts w:hint="default" w:ascii="Times New Roman" w:hAnsi="Times New Roman" w:cs="Times New Roman"/>
          <w:color w:val="auto"/>
          <w:lang w:val="en-US" w:eastAsia="zh-CN"/>
        </w:rPr>
        <w:t>根据项目的功能定位，以及使用任务和性质的要求，通过现场踏勘调查并结合对收集资料的研究分析，本项目路线走廊方案选择的主要控制因素应重点考虑如下方面：</w:t>
      </w:r>
    </w:p>
    <w:p w14:paraId="12A63065">
      <w:pPr>
        <w:bidi w:val="0"/>
        <w:rPr>
          <w:rFonts w:hint="default" w:ascii="Times New Roman" w:hAnsi="Times New Roman" w:cs="Times New Roman"/>
          <w:color w:val="auto"/>
        </w:rPr>
      </w:pPr>
      <w:r>
        <w:rPr>
          <w:rFonts w:hint="default" w:ascii="Times New Roman" w:hAnsi="Times New Roman" w:cs="Times New Roman"/>
          <w:color w:val="auto"/>
          <w:lang w:val="en-US" w:eastAsia="zh-CN"/>
        </w:rPr>
        <w:t>（1）地形、地貌、地质、水文等控制因素</w:t>
      </w:r>
    </w:p>
    <w:p w14:paraId="3EC16034">
      <w:pPr>
        <w:bidi w:val="0"/>
        <w:rPr>
          <w:rFonts w:hint="default" w:ascii="Times New Roman" w:hAnsi="Times New Roman" w:cs="Times New Roman"/>
          <w:color w:val="auto"/>
        </w:rPr>
      </w:pPr>
      <w:r>
        <w:rPr>
          <w:rFonts w:hint="default" w:ascii="Times New Roman" w:hAnsi="Times New Roman" w:cs="Times New Roman"/>
          <w:color w:val="auto"/>
          <w:lang w:val="en-US" w:eastAsia="zh-CN"/>
        </w:rPr>
        <w:t>1）地形、地貌</w:t>
      </w:r>
    </w:p>
    <w:p w14:paraId="1EEE802B">
      <w:pPr>
        <w:bidi w:val="0"/>
        <w:rPr>
          <w:rFonts w:hint="default" w:ascii="Times New Roman" w:hAnsi="Times New Roman" w:cs="Times New Roman"/>
          <w:color w:val="auto"/>
        </w:rPr>
      </w:pPr>
      <w:r>
        <w:rPr>
          <w:rFonts w:hint="default" w:ascii="Times New Roman" w:hAnsi="Times New Roman" w:cs="Times New Roman"/>
          <w:color w:val="auto"/>
          <w:lang w:val="en-US" w:eastAsia="zh-CN"/>
        </w:rPr>
        <w:t>路线范围涉及阿图什市、喀什市，穿过兰干塔格山，上跨喀什绕城高</w:t>
      </w:r>
      <w:r>
        <w:rPr>
          <w:rFonts w:hint="eastAsia" w:cs="Times New Roman"/>
          <w:color w:val="auto"/>
          <w:lang w:val="en-US" w:eastAsia="zh-CN"/>
        </w:rPr>
        <w:t>速公</w:t>
      </w:r>
      <w:r>
        <w:rPr>
          <w:rFonts w:hint="default" w:ascii="Times New Roman" w:hAnsi="Times New Roman" w:cs="Times New Roman"/>
          <w:color w:val="auto"/>
          <w:lang w:val="en-US" w:eastAsia="zh-CN"/>
        </w:rPr>
        <w:t>路，终点接喀什经济开发区城东大道。线路穿越山前洪积扇平原（Ⅰ）、兰干塔格山低山区（Ⅱ）及兰干塔格山南坡山前洪积扇平原（Ⅲ）三个地貌区。</w:t>
      </w:r>
    </w:p>
    <w:p w14:paraId="74D1A1BA">
      <w:pPr>
        <w:bidi w:val="0"/>
        <w:rPr>
          <w:rFonts w:hint="default" w:ascii="Times New Roman" w:hAnsi="Times New Roman" w:cs="Times New Roman"/>
          <w:color w:val="auto"/>
        </w:rPr>
      </w:pPr>
      <w:r>
        <w:rPr>
          <w:rFonts w:hint="default" w:ascii="Times New Roman" w:hAnsi="Times New Roman" w:cs="Times New Roman"/>
          <w:color w:val="auto"/>
          <w:lang w:val="en-US" w:eastAsia="zh-CN"/>
        </w:rPr>
        <w:t>洪积扇平原区地形开阔、平缓，海拔高程</w:t>
      </w:r>
      <w:r>
        <w:rPr>
          <w:rFonts w:hint="eastAsia" w:cs="Times New Roman"/>
          <w:color w:val="auto"/>
          <w:lang w:val="en-US" w:eastAsia="zh-CN"/>
        </w:rPr>
        <w:t>为</w:t>
      </w:r>
      <w:r>
        <w:rPr>
          <w:rFonts w:hint="default" w:ascii="Times New Roman" w:hAnsi="Times New Roman" w:cs="Times New Roman"/>
          <w:color w:val="auto"/>
          <w:lang w:val="en-US" w:eastAsia="zh-CN"/>
        </w:rPr>
        <w:t>1330～1360m，整体呈南北两端高，中间低，局部区段植被较稀少，不良地质主要为强震区，特殊性岩土主要为盐渍土</w:t>
      </w:r>
      <w:r>
        <w:rPr>
          <w:rFonts w:hint="default" w:ascii="Times New Roman" w:hAnsi="Times New Roman" w:eastAsia="宋体" w:cs="Times New Roman"/>
          <w:color w:val="auto"/>
          <w:kern w:val="0"/>
          <w:szCs w:val="24"/>
          <w:lang w:val="en-US" w:eastAsia="zh-CN" w:bidi="ar"/>
        </w:rPr>
        <w:t>。</w:t>
      </w:r>
    </w:p>
    <w:p w14:paraId="12C8BED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兰干塔格山低山区地形起伏变化较大，沟壑丛生，植被稀少，地表多为第三系地层风化砂土，海拔高程为海拔1350～1500m，不良地质主要为强震区，本项目需设置隧道穿越此山脉。</w:t>
      </w:r>
    </w:p>
    <w:p w14:paraId="5C86675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兰干塔格山南坡山前洪积扇平原区地形开阔、平缓，海拔高程为海拔1300～1400m，整体呈北高南低，局部区段植被较稀少，不良地质主要为强震区，特殊性岩土主要为盐渍土。</w:t>
      </w:r>
    </w:p>
    <w:p w14:paraId="176C232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2）工程地质条件</w:t>
      </w:r>
    </w:p>
    <w:p w14:paraId="522F493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洪积扇平原区地形开阔、平缓，海拔高程为海拔1330～1360m，整体呈南北两端高，中间低，局部区段植被较稀少。地层以第四系洪积物粉土、圆砾、卵石为主，沿线分布有农田及民居。</w:t>
      </w:r>
    </w:p>
    <w:p w14:paraId="2F29D57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兰干塔格山低山区地形起伏变化较大，沟壑丛生，植被稀少，地表多为第三系地层风化砂土，海拔高程为海拔1350～1500m。地层以第三系砂岩为主，较为破碎。</w:t>
      </w:r>
    </w:p>
    <w:p w14:paraId="3B8F478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本项目推荐走廊带需设置隧道穿越兰干塔格山低山区，经本阶段地质调查及勘察，隧道围岩级别为Ⅴ级，地质条件相对较差，应加强隧道结构</w:t>
      </w:r>
      <w:r>
        <w:rPr>
          <w:rFonts w:hint="eastAsia" w:cs="Times New Roman"/>
          <w:color w:val="auto"/>
          <w:kern w:val="0"/>
          <w:sz w:val="24"/>
          <w:szCs w:val="24"/>
          <w:lang w:val="en-US" w:eastAsia="zh-CN" w:bidi="ar"/>
        </w:rPr>
        <w:t>及</w:t>
      </w:r>
      <w:r>
        <w:rPr>
          <w:rFonts w:hint="default" w:ascii="Times New Roman" w:hAnsi="Times New Roman" w:eastAsia="宋体" w:cs="Times New Roman"/>
          <w:color w:val="auto"/>
          <w:kern w:val="0"/>
          <w:sz w:val="24"/>
          <w:szCs w:val="24"/>
          <w:lang w:val="en-US" w:eastAsia="zh-CN" w:bidi="ar"/>
        </w:rPr>
        <w:t>支护防护相关设计。</w:t>
      </w:r>
    </w:p>
    <w:p w14:paraId="7582F32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兰干塔格山南坡山前洪积扇平原区地形开阔、平缓，海拔高程</w:t>
      </w:r>
      <w:r>
        <w:rPr>
          <w:rFonts w:hint="eastAsia" w:cs="Times New Roman"/>
          <w:color w:val="auto"/>
          <w:kern w:val="0"/>
          <w:sz w:val="24"/>
          <w:szCs w:val="24"/>
          <w:lang w:val="en-US" w:eastAsia="zh-CN" w:bidi="ar"/>
        </w:rPr>
        <w:t>为</w:t>
      </w:r>
      <w:r>
        <w:rPr>
          <w:rFonts w:hint="default" w:ascii="Times New Roman" w:hAnsi="Times New Roman" w:eastAsia="宋体" w:cs="Times New Roman"/>
          <w:color w:val="auto"/>
          <w:kern w:val="0"/>
          <w:sz w:val="24"/>
          <w:szCs w:val="24"/>
          <w:lang w:val="en-US" w:eastAsia="zh-CN" w:bidi="ar"/>
        </w:rPr>
        <w:t>1340～1360m，整体呈北高南低，局部区段植被较稀少，地层以粉土、卵石为主，分布有荒地、农田。</w:t>
      </w:r>
    </w:p>
    <w:p w14:paraId="2FE9B51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3）水文条件</w:t>
      </w:r>
    </w:p>
    <w:p w14:paraId="1408121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项目区地表水主要为恰克马克河及支流，</w:t>
      </w:r>
      <w:r>
        <w:rPr>
          <w:rFonts w:hint="default" w:ascii="Times New Roman" w:hAnsi="Times New Roman" w:cs="Times New Roman"/>
          <w:color w:val="auto"/>
          <w:kern w:val="0"/>
          <w:sz w:val="24"/>
          <w:szCs w:val="24"/>
          <w:lang w:val="en-US" w:eastAsia="zh-CN" w:bidi="ar"/>
        </w:rPr>
        <w:t>S227</w:t>
      </w:r>
      <w:r>
        <w:rPr>
          <w:rFonts w:hint="default" w:ascii="Times New Roman" w:hAnsi="Times New Roman" w:eastAsia="宋体" w:cs="Times New Roman"/>
          <w:color w:val="auto"/>
          <w:kern w:val="0"/>
          <w:sz w:val="24"/>
          <w:szCs w:val="24"/>
          <w:lang w:val="en-US" w:eastAsia="zh-CN" w:bidi="ar"/>
        </w:rPr>
        <w:t>走廊带需跨越恰克马克河，本项目路线</w:t>
      </w:r>
      <w:r>
        <w:rPr>
          <w:rFonts w:hint="eastAsia" w:cs="Times New Roman"/>
          <w:color w:val="auto"/>
          <w:kern w:val="0"/>
          <w:sz w:val="24"/>
          <w:szCs w:val="24"/>
          <w:lang w:val="en-US" w:eastAsia="zh-CN" w:bidi="ar"/>
        </w:rPr>
        <w:t>方案</w:t>
      </w:r>
      <w:r>
        <w:rPr>
          <w:rFonts w:hint="default" w:ascii="Times New Roman" w:hAnsi="Times New Roman" w:eastAsia="宋体" w:cs="Times New Roman"/>
          <w:color w:val="auto"/>
          <w:kern w:val="0"/>
          <w:sz w:val="24"/>
          <w:szCs w:val="24"/>
          <w:lang w:val="en-US" w:eastAsia="zh-CN" w:bidi="ar"/>
        </w:rPr>
        <w:t>起点位于兰干塔格山北侧（兰干隧道进口处），顺接S227阿图什至喀什公路新建工程项目终点，采用隧道结合明线形式穿越兰干塔格山后进入喀什经济开发区，终位于喀什市经济开发区城东大道与横一路(规划)交叉路口</w:t>
      </w:r>
      <w:r>
        <w:rPr>
          <w:rFonts w:hint="default" w:ascii="Times New Roman" w:hAnsi="Times New Roman" w:cs="Times New Roman"/>
          <w:color w:val="auto"/>
          <w:kern w:val="0"/>
          <w:sz w:val="24"/>
          <w:szCs w:val="24"/>
          <w:lang w:val="en-US" w:eastAsia="zh-CN" w:bidi="ar"/>
        </w:rPr>
        <w:t>。因此</w:t>
      </w:r>
      <w:r>
        <w:rPr>
          <w:rFonts w:hint="default" w:ascii="Times New Roman" w:hAnsi="Times New Roman" w:eastAsia="宋体" w:cs="Times New Roman"/>
          <w:color w:val="auto"/>
          <w:kern w:val="0"/>
          <w:sz w:val="24"/>
          <w:szCs w:val="24"/>
          <w:lang w:val="en-US" w:eastAsia="zh-CN" w:bidi="ar"/>
        </w:rPr>
        <w:t>本项目</w:t>
      </w:r>
      <w:r>
        <w:rPr>
          <w:rFonts w:hint="eastAsia" w:cs="Times New Roman"/>
          <w:color w:val="auto"/>
          <w:kern w:val="0"/>
          <w:sz w:val="24"/>
          <w:szCs w:val="24"/>
          <w:lang w:val="en-US" w:eastAsia="zh-CN" w:bidi="ar"/>
        </w:rPr>
        <w:t>（隧道段）</w:t>
      </w:r>
      <w:r>
        <w:rPr>
          <w:rFonts w:hint="default" w:ascii="Times New Roman" w:hAnsi="Times New Roman" w:cs="Times New Roman"/>
          <w:color w:val="auto"/>
          <w:kern w:val="0"/>
          <w:sz w:val="24"/>
          <w:szCs w:val="24"/>
          <w:lang w:val="en-US" w:eastAsia="zh-CN" w:bidi="ar"/>
        </w:rPr>
        <w:t>不涉及跨越恰克马克河</w:t>
      </w:r>
      <w:r>
        <w:rPr>
          <w:rFonts w:hint="default" w:ascii="Times New Roman" w:hAnsi="Times New Roman" w:eastAsia="宋体" w:cs="Times New Roman"/>
          <w:color w:val="auto"/>
          <w:kern w:val="0"/>
          <w:sz w:val="24"/>
          <w:szCs w:val="24"/>
          <w:lang w:val="en-US" w:eastAsia="zh-CN" w:bidi="ar"/>
        </w:rPr>
        <w:t>。</w:t>
      </w:r>
    </w:p>
    <w:p w14:paraId="0DDFA0B1">
      <w:pPr>
        <w:keepNext w:val="0"/>
        <w:keepLines w:val="0"/>
        <w:widowControl/>
        <w:suppressLineNumbers w:val="0"/>
        <w:ind w:left="0" w:leftChars="0" w:firstLine="0" w:firstLineChars="0"/>
        <w:jc w:val="left"/>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271135" cy="3256280"/>
            <wp:effectExtent l="0" t="0" r="5715" b="1270"/>
            <wp:docPr id="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
                    <pic:cNvPicPr>
                      <a:picLocks noChangeAspect="1"/>
                    </pic:cNvPicPr>
                  </pic:nvPicPr>
                  <pic:blipFill>
                    <a:blip r:embed="rId18"/>
                    <a:stretch>
                      <a:fillRect/>
                    </a:stretch>
                  </pic:blipFill>
                  <pic:spPr>
                    <a:xfrm>
                      <a:off x="0" y="0"/>
                      <a:ext cx="5271135" cy="3256280"/>
                    </a:xfrm>
                    <a:prstGeom prst="rect">
                      <a:avLst/>
                    </a:prstGeom>
                    <a:noFill/>
                    <a:ln>
                      <a:noFill/>
                    </a:ln>
                  </pic:spPr>
                </pic:pic>
              </a:graphicData>
            </a:graphic>
          </wp:inline>
        </w:drawing>
      </w:r>
    </w:p>
    <w:p w14:paraId="0BF9C76C">
      <w:pPr>
        <w:pStyle w:val="39"/>
        <w:bidi w:val="0"/>
        <w:rPr>
          <w:rFonts w:hint="default" w:ascii="Times New Roman" w:hAnsi="Times New Roman" w:cs="Times New Roman"/>
          <w:color w:val="auto"/>
        </w:rPr>
      </w:pPr>
      <w:r>
        <w:rPr>
          <w:rFonts w:hint="default" w:ascii="Times New Roman" w:hAnsi="Times New Roman" w:cs="Times New Roman"/>
          <w:color w:val="auto"/>
          <w:lang w:val="en-US" w:eastAsia="zh-CN"/>
        </w:rPr>
        <w:t>图3.1-</w:t>
      </w:r>
      <w:r>
        <w:rPr>
          <w:rFonts w:hint="eastAsia" w:cs="Times New Roman"/>
          <w:color w:val="auto"/>
          <w:lang w:val="en-US" w:eastAsia="zh-CN"/>
        </w:rPr>
        <w:t>3</w:t>
      </w:r>
      <w:r>
        <w:rPr>
          <w:rFonts w:hint="default" w:ascii="Times New Roman" w:hAnsi="Times New Roman" w:cs="Times New Roman"/>
          <w:color w:val="auto"/>
          <w:lang w:val="en-US" w:eastAsia="zh-CN"/>
        </w:rPr>
        <w:t xml:space="preserve"> 项目区域水系图</w:t>
      </w:r>
    </w:p>
    <w:p w14:paraId="7BA4722A">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（2）沿线城镇规划及产业园区规划</w:t>
      </w:r>
    </w:p>
    <w:p w14:paraId="050F31F6">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推荐走廊带起点至终点分别经阿图什新区、轻工业园区及喀什经济开发区，路线方案的选择需符合各园区相关规划，有利于改善各园区交通通行条件，避免对园区发展造成不利影响。</w:t>
      </w:r>
    </w:p>
    <w:p w14:paraId="245CB925">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（3）既有道路</w:t>
      </w:r>
    </w:p>
    <w:p w14:paraId="02FB6668">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走廊带内的既有道路为 Y024，起点位于阿扎克互通收费站以南250m处与G314交叉口处，终点位于兰干塔格山北侧山脚的兰干村与X379呈T型交叉，全长约4.4km，与本项目推荐走廊带走向一致，因此，是否利用既有道路是本项目路线方案布设需考虑重要因素。</w:t>
      </w:r>
    </w:p>
    <w:p w14:paraId="3F17AB05">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（4）环境、资源分布、文物等控制因素</w:t>
      </w:r>
    </w:p>
    <w:p w14:paraId="57FC375F">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1）基本农田及耕地</w:t>
      </w:r>
    </w:p>
    <w:p w14:paraId="15ABB76A">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根据向阿图什市自然资源局</w:t>
      </w:r>
      <w:r>
        <w:rPr>
          <w:rFonts w:hint="eastAsia" w:cs="Times New Roman"/>
          <w:color w:val="auto"/>
          <w:kern w:val="0"/>
          <w:sz w:val="24"/>
          <w:szCs w:val="24"/>
          <w:lang w:val="en-US" w:eastAsia="zh-CN" w:bidi="ar"/>
        </w:rPr>
        <w:t>查询落图</w:t>
      </w:r>
      <w:r>
        <w:rPr>
          <w:rFonts w:hint="default" w:ascii="Times New Roman" w:hAnsi="Times New Roman" w:eastAsia="宋体" w:cs="Times New Roman"/>
          <w:color w:val="auto"/>
          <w:kern w:val="0"/>
          <w:sz w:val="24"/>
          <w:szCs w:val="24"/>
          <w:lang w:val="en-US" w:eastAsia="zh-CN" w:bidi="ar"/>
        </w:rPr>
        <w:t>，本项目不占用基本农田，不可避免占用少量耕地，项目选线应尽量少占耕地、少占良田。</w:t>
      </w:r>
    </w:p>
    <w:p w14:paraId="03765618">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2）征地拆迁</w:t>
      </w:r>
    </w:p>
    <w:p w14:paraId="5CCC645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本项目路线</w:t>
      </w:r>
      <w:r>
        <w:rPr>
          <w:rFonts w:hint="eastAsia" w:cs="Times New Roman"/>
          <w:color w:val="auto"/>
          <w:kern w:val="0"/>
          <w:sz w:val="24"/>
          <w:szCs w:val="24"/>
          <w:lang w:val="en-US" w:eastAsia="zh-CN" w:bidi="ar"/>
        </w:rPr>
        <w:t>方案</w:t>
      </w:r>
      <w:r>
        <w:rPr>
          <w:rFonts w:hint="default" w:ascii="Times New Roman" w:hAnsi="Times New Roman" w:eastAsia="宋体" w:cs="Times New Roman"/>
          <w:color w:val="auto"/>
          <w:kern w:val="0"/>
          <w:sz w:val="24"/>
          <w:szCs w:val="24"/>
          <w:lang w:val="en-US" w:eastAsia="zh-CN" w:bidi="ar"/>
        </w:rPr>
        <w:t>起点位于兰干塔格山北侧（兰干隧道进口处），顺接S227阿图什至喀什公路新建工程项目终点，采用隧道结合明线形式穿越兰干塔格山后进入喀什经济开发区，终位于喀什市经济开发区城东大道与横一路(规划)交叉路口。</w:t>
      </w:r>
      <w:r>
        <w:rPr>
          <w:rFonts w:hint="default" w:ascii="Times New Roman" w:hAnsi="Times New Roman" w:cs="Times New Roman"/>
          <w:color w:val="auto"/>
          <w:kern w:val="0"/>
          <w:sz w:val="24"/>
          <w:szCs w:val="24"/>
          <w:lang w:val="en-US" w:eastAsia="zh-CN" w:bidi="ar"/>
        </w:rPr>
        <w:t>因此本项目不涉及拆迁</w:t>
      </w:r>
      <w:r>
        <w:rPr>
          <w:rFonts w:hint="default" w:ascii="Times New Roman" w:hAnsi="Times New Roman" w:eastAsia="宋体" w:cs="Times New Roman"/>
          <w:color w:val="auto"/>
          <w:kern w:val="0"/>
          <w:sz w:val="24"/>
          <w:szCs w:val="24"/>
          <w:lang w:val="en-US" w:eastAsia="zh-CN" w:bidi="ar"/>
        </w:rPr>
        <w:t>。</w:t>
      </w:r>
    </w:p>
    <w:p w14:paraId="6BFB717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3）矿产及文物</w:t>
      </w:r>
    </w:p>
    <w:p w14:paraId="73250E7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经向阿图什市、喀什市自然资源局及文旅局落图查询，项目推荐走廊带内无矿产分布及文物。</w:t>
      </w:r>
    </w:p>
    <w:p w14:paraId="3E282DC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4）燃气管线</w:t>
      </w:r>
    </w:p>
    <w:p w14:paraId="372BAEE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kern w:val="0"/>
          <w:sz w:val="24"/>
          <w:szCs w:val="24"/>
          <w:lang w:val="en-US" w:eastAsia="zh-CN" w:bidi="ar"/>
        </w:rPr>
        <w:t>本项目不涉及</w:t>
      </w:r>
      <w:r>
        <w:rPr>
          <w:rFonts w:hint="default" w:ascii="Times New Roman" w:hAnsi="Times New Roman" w:eastAsia="宋体" w:cs="Times New Roman"/>
          <w:color w:val="auto"/>
          <w:kern w:val="0"/>
          <w:sz w:val="24"/>
          <w:szCs w:val="24"/>
          <w:lang w:val="en-US" w:eastAsia="zh-CN" w:bidi="ar"/>
        </w:rPr>
        <w:t>。</w:t>
      </w:r>
    </w:p>
    <w:p w14:paraId="4F7C336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5）电力电讯设施</w:t>
      </w:r>
    </w:p>
    <w:p w14:paraId="194DFE5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kern w:val="0"/>
          <w:sz w:val="24"/>
          <w:szCs w:val="24"/>
          <w:lang w:val="en-US" w:eastAsia="zh-CN" w:bidi="ar"/>
        </w:rPr>
        <w:t>本项目不涉及</w:t>
      </w:r>
      <w:r>
        <w:rPr>
          <w:rFonts w:hint="default" w:ascii="Times New Roman" w:hAnsi="Times New Roman" w:eastAsia="宋体" w:cs="Times New Roman"/>
          <w:color w:val="auto"/>
          <w:kern w:val="0"/>
          <w:sz w:val="24"/>
          <w:szCs w:val="24"/>
          <w:lang w:val="en-US" w:eastAsia="zh-CN" w:bidi="ar"/>
        </w:rPr>
        <w:t>。</w:t>
      </w:r>
    </w:p>
    <w:p w14:paraId="3C0B45E2">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3.1.</w:t>
      </w:r>
      <w:r>
        <w:rPr>
          <w:rFonts w:hint="eastAsia" w:cs="Times New Roman"/>
          <w:color w:val="auto"/>
          <w:lang w:val="en-US" w:eastAsia="zh-CN"/>
        </w:rPr>
        <w:t>2</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3</w:t>
      </w:r>
      <w:r>
        <w:rPr>
          <w:rFonts w:hint="default" w:ascii="Times New Roman" w:hAnsi="Times New Roman" w:cs="Times New Roman"/>
          <w:color w:val="auto"/>
          <w:lang w:val="en-US" w:eastAsia="zh-CN"/>
        </w:rPr>
        <w:t xml:space="preserve"> 备选方案</w:t>
      </w:r>
    </w:p>
    <w:p w14:paraId="00EFF0A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根据建设单位对S227阿图什至喀什公路项目的建设计划安排，</w:t>
      </w:r>
      <w:r>
        <w:rPr>
          <w:rFonts w:hint="default" w:ascii="Times New Roman" w:hAnsi="Times New Roman" w:cs="Times New Roman"/>
          <w:color w:val="auto"/>
          <w:kern w:val="0"/>
          <w:sz w:val="24"/>
          <w:szCs w:val="24"/>
          <w:lang w:val="en-US" w:eastAsia="zh-CN" w:bidi="ar"/>
        </w:rPr>
        <w:t>S227线</w:t>
      </w:r>
      <w:r>
        <w:rPr>
          <w:rFonts w:hint="default" w:ascii="Times New Roman" w:hAnsi="Times New Roman" w:eastAsia="宋体" w:cs="Times New Roman"/>
          <w:color w:val="auto"/>
          <w:kern w:val="0"/>
          <w:sz w:val="24"/>
          <w:szCs w:val="24"/>
          <w:lang w:val="en-US" w:eastAsia="zh-CN" w:bidi="ar"/>
        </w:rPr>
        <w:t>分两段分别立项实施，第一段位于阿图什境内，主要为道路工程，第二段</w:t>
      </w:r>
      <w:r>
        <w:rPr>
          <w:rFonts w:hint="default" w:ascii="Times New Roman" w:hAnsi="Times New Roman" w:cs="Times New Roman"/>
          <w:color w:val="auto"/>
          <w:kern w:val="0"/>
          <w:sz w:val="24"/>
          <w:szCs w:val="24"/>
          <w:lang w:val="en-US" w:eastAsia="zh-CN" w:bidi="ar"/>
        </w:rPr>
        <w:t>（本项目）</w:t>
      </w:r>
      <w:r>
        <w:rPr>
          <w:rFonts w:hint="default" w:ascii="Times New Roman" w:hAnsi="Times New Roman" w:eastAsia="宋体" w:cs="Times New Roman"/>
          <w:color w:val="auto"/>
          <w:kern w:val="0"/>
          <w:sz w:val="24"/>
          <w:szCs w:val="24"/>
          <w:lang w:val="en-US" w:eastAsia="zh-CN" w:bidi="ar"/>
        </w:rPr>
        <w:t>主要为阿图什市与喀什市间的隧道和喀什一侧引道组成。通过前面走廊带论证，兰干塔格山是本项目建设的主要控制因素，因此，本项目方案布设的重点是兰干隧道的设置，隧道段路线方案布设必然影响前后两段路线方案的布设，因此，本次工可研究对备选路线方案研究及比选论证，将两个项目作为一个整体进行研究，但在工程量划分上，推荐方案按两个项目分别计量。</w:t>
      </w:r>
    </w:p>
    <w:p w14:paraId="410ADC7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（1）备选方案</w:t>
      </w:r>
    </w:p>
    <w:p w14:paraId="572A5E2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通过前面走廊带论证，兰干塔格山是S227公路建设的主要控制因素，其他控制因素主要是既有道路、耕地、基本农田和乡镇的拆迁等，因此本项目路线走向基本明确，根据以上控制因素，工可阶段共提出四条路线方案进行比选论证。四条路线方案在兰干塔格山两侧路线基本一致，主要在穿越兰干塔格山段落采用不同的方案：</w:t>
      </w:r>
    </w:p>
    <w:p w14:paraId="4353484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方案A（直线穿越兰干塔格山，设置特长隧道）：</w:t>
      </w:r>
    </w:p>
    <w:p w14:paraId="526EA69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路线起于阿扎克互通以南250m处创业大道与G314交叉路口，向南沿既有Y024布设，经阿图什工业园区后跨越恰克玛克河（设置5-30m大桥）、之后经麦依、兰干村至兰干塔格山山脚，沿旧路布设约4.5km，后设置特长隧道3300m/1座，短隧道405m/1座穿越兰干塔格山后，设置桥梁跨越G3012高速公路至喀什经济开发区，终点在喀什城东大道与规划横一路交叉路口，路线全长9.795km。方案A平纵面指标高，全线仅设一处平曲线，半径1500m，最大纵坡3%，隧道最大纵坡1.45%。</w:t>
      </w:r>
    </w:p>
    <w:p w14:paraId="57DD900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方案B：（明线翻越兰干塔格山）：</w:t>
      </w:r>
    </w:p>
    <w:p w14:paraId="6766248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考虑走廊带内兰干塔格山绝对高度130m左右，因此布设了增加展线距离，抬高路线，采用深挖方型式穿越的明线方案，在兰干山两侧段落路线与方案A一致，仅在兰干山段落较方案K增加展线长度爬坡，采用明挖方式穿越兰干塔格山。方案B路线全长11.905km，最小平曲线半径700m，最大纵坡4.6%。</w:t>
      </w:r>
    </w:p>
    <w:p w14:paraId="0983EE4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方案K和方案C（长隧道结合明线翻越兰干塔格山）：</w:t>
      </w:r>
    </w:p>
    <w:p w14:paraId="6168509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方案A采用直线线形穿越兰干塔格山，设置特长隧道，工程规模高，方案 B通过展线采用明线方案翻越兰干塔格山，不设置隧道，造价低，但路线绕行远，平纵面指标低，因此，本次工可布设了2条线位位于A线和B线中间的方案，适当展线，缩短展线里程，设置较短的隧道结合明线方案穿越兰干塔格山的方案，分别为方案C和方案K。</w:t>
      </w:r>
    </w:p>
    <w:p w14:paraId="693085C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方案C和方案K的主要区别在于隧道进出口位置选择及隧道长度。</w:t>
      </w:r>
    </w:p>
    <w:p w14:paraId="7D7B5B1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方案C：</w:t>
      </w:r>
    </w:p>
    <w:p w14:paraId="5FF8E91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方案C路线全长10.916km，比方案A路线增长1.121km，设置长隧道一座，长1450m，隧道出口至终点段采用明线方案。全线设置4处平曲线，最小平曲线半径700m</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最大纵坡4.6%。长隧道纵坡2.6%。</w:t>
      </w:r>
    </w:p>
    <w:p w14:paraId="04F0FB7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方案K路线全长10.931km，比方案A路线增长1.135km，设置长隧道一座，长1200m，隧道出口至终点段采用明线方案。全线设置6处平曲线，最小平曲线半径700m，最大纵坡4.5%。长隧道纵坡2.6%。</w:t>
      </w:r>
    </w:p>
    <w:p w14:paraId="26CA92B3">
      <w:pPr>
        <w:keepNext w:val="0"/>
        <w:keepLines w:val="0"/>
        <w:widowControl/>
        <w:suppressLineNumbers w:val="0"/>
        <w:ind w:left="0" w:leftChars="0" w:firstLine="0" w:firstLineChars="0"/>
        <w:jc w:val="left"/>
        <w:rPr>
          <w:rFonts w:hint="default" w:ascii="Times New Roman" w:hAnsi="Times New Roman" w:eastAsia="黑体" w:cs="Times New Roman"/>
          <w:color w:val="auto"/>
          <w:kern w:val="0"/>
          <w:sz w:val="24"/>
          <w:szCs w:val="24"/>
          <w:lang w:val="en-US" w:eastAsia="zh-CN" w:bidi="ar"/>
        </w:rPr>
      </w:pPr>
      <w:r>
        <w:rPr>
          <w:rFonts w:hint="default" w:ascii="Times New Roman" w:hAnsi="Times New Roman" w:cs="Times New Roman"/>
          <w:color w:val="auto"/>
        </w:rPr>
        <w:drawing>
          <wp:inline distT="0" distB="0" distL="114300" distR="114300">
            <wp:extent cx="5270500" cy="3520440"/>
            <wp:effectExtent l="0" t="0" r="6350" b="3810"/>
            <wp:docPr id="5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7"/>
                    <pic:cNvPicPr>
                      <a:picLocks noChangeAspect="1"/>
                    </pic:cNvPicPr>
                  </pic:nvPicPr>
                  <pic:blipFill>
                    <a:blip r:embed="rId19"/>
                    <a:stretch>
                      <a:fillRect/>
                    </a:stretch>
                  </pic:blipFill>
                  <pic:spPr>
                    <a:xfrm>
                      <a:off x="0" y="0"/>
                      <a:ext cx="5270500" cy="3520440"/>
                    </a:xfrm>
                    <a:prstGeom prst="rect">
                      <a:avLst/>
                    </a:prstGeom>
                    <a:noFill/>
                    <a:ln>
                      <a:noFill/>
                    </a:ln>
                  </pic:spPr>
                </pic:pic>
              </a:graphicData>
            </a:graphic>
          </wp:inline>
        </w:drawing>
      </w:r>
    </w:p>
    <w:p w14:paraId="7642AC79">
      <w:pPr>
        <w:pStyle w:val="39"/>
        <w:bidi w:val="0"/>
        <w:rPr>
          <w:rFonts w:hint="default" w:ascii="Times New Roman" w:hAnsi="Times New Roman" w:cs="Times New Roman"/>
          <w:color w:val="auto"/>
        </w:rPr>
      </w:pPr>
      <w:r>
        <w:rPr>
          <w:rFonts w:hint="default" w:ascii="Times New Roman" w:hAnsi="Times New Roman" w:cs="Times New Roman"/>
          <w:color w:val="auto"/>
          <w:lang w:val="en-US" w:eastAsia="zh-CN"/>
        </w:rPr>
        <w:t>图3.1-</w:t>
      </w:r>
      <w:r>
        <w:rPr>
          <w:rFonts w:hint="eastAsia" w:cs="Times New Roman"/>
          <w:color w:val="auto"/>
          <w:lang w:val="en-US" w:eastAsia="zh-CN"/>
        </w:rPr>
        <w:t>4</w:t>
      </w:r>
      <w:r>
        <w:rPr>
          <w:rFonts w:hint="default" w:ascii="Times New Roman" w:hAnsi="Times New Roman" w:cs="Times New Roman"/>
          <w:color w:val="auto"/>
          <w:lang w:val="en-US" w:eastAsia="zh-CN"/>
        </w:rPr>
        <w:t xml:space="preserve"> 方案 K、A、B、C 路线比选示意图</w:t>
      </w:r>
    </w:p>
    <w:p w14:paraId="0086FA16">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3.1.</w:t>
      </w:r>
      <w:r>
        <w:rPr>
          <w:rFonts w:hint="eastAsia" w:cs="Times New Roman"/>
          <w:color w:val="auto"/>
          <w:lang w:val="en-US" w:eastAsia="zh-CN"/>
        </w:rPr>
        <w:t>2</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4</w:t>
      </w:r>
      <w:r>
        <w:rPr>
          <w:rFonts w:hint="default" w:ascii="Times New Roman" w:hAnsi="Times New Roman" w:cs="Times New Roman"/>
          <w:color w:val="auto"/>
          <w:lang w:val="en-US" w:eastAsia="zh-CN"/>
        </w:rPr>
        <w:t xml:space="preserve"> 方案</w:t>
      </w:r>
      <w:r>
        <w:rPr>
          <w:rFonts w:hint="eastAsia" w:cs="Times New Roman"/>
          <w:color w:val="auto"/>
          <w:lang w:val="en-US" w:eastAsia="zh-CN"/>
        </w:rPr>
        <w:t>工程</w:t>
      </w:r>
      <w:r>
        <w:rPr>
          <w:rFonts w:hint="default" w:ascii="Times New Roman" w:hAnsi="Times New Roman" w:cs="Times New Roman"/>
          <w:color w:val="auto"/>
          <w:lang w:val="en-US" w:eastAsia="zh-CN"/>
        </w:rPr>
        <w:t>比选</w:t>
      </w:r>
    </w:p>
    <w:p w14:paraId="00BEE54D">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工可阶段，从技术指标、工程规模、地形地质条件，征地拆迁、项目运营收益等方面对各方案比选如下：</w:t>
      </w:r>
    </w:p>
    <w:p w14:paraId="764ED1BD">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cs="Times New Roman"/>
          <w:color w:val="auto"/>
          <w:kern w:val="0"/>
          <w:sz w:val="24"/>
          <w:szCs w:val="24"/>
          <w:lang w:val="en-US" w:eastAsia="zh-CN" w:bidi="ar"/>
        </w:rPr>
        <w:t>（1）</w:t>
      </w:r>
      <w:r>
        <w:rPr>
          <w:rFonts w:hint="default" w:ascii="Times New Roman" w:hAnsi="Times New Roman" w:eastAsia="宋体" w:cs="Times New Roman"/>
          <w:color w:val="auto"/>
          <w:kern w:val="0"/>
          <w:sz w:val="24"/>
          <w:szCs w:val="24"/>
          <w:lang w:val="en-US" w:eastAsia="zh-CN" w:bidi="ar"/>
        </w:rPr>
        <w:t>路线长度及平纵面指标</w:t>
      </w:r>
    </w:p>
    <w:p w14:paraId="211EE22A">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方案A采用直线形式穿越兰干塔格山，路线最为</w:t>
      </w:r>
      <w:r>
        <w:rPr>
          <w:rFonts w:hint="eastAsia" w:cs="Times New Roman"/>
          <w:color w:val="auto"/>
          <w:kern w:val="0"/>
          <w:sz w:val="24"/>
          <w:szCs w:val="24"/>
          <w:lang w:val="en-US" w:eastAsia="zh-CN" w:bidi="ar"/>
        </w:rPr>
        <w:t>直接</w:t>
      </w:r>
      <w:r>
        <w:rPr>
          <w:rFonts w:hint="default" w:ascii="Times New Roman" w:hAnsi="Times New Roman" w:eastAsia="宋体" w:cs="Times New Roman"/>
          <w:color w:val="auto"/>
          <w:kern w:val="0"/>
          <w:sz w:val="24"/>
          <w:szCs w:val="24"/>
          <w:lang w:val="en-US" w:eastAsia="zh-CN" w:bidi="ar"/>
        </w:rPr>
        <w:t>，路线长度9.795km，共设置一处平曲线半径，平纵面指标较高。最小圆曲线半径1500m，全线最大纵坡3%。</w:t>
      </w:r>
    </w:p>
    <w:p w14:paraId="564B4540">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方案B通过绕行展线，采用明线方案翻越兰干塔格山，路线绕行里程长，路线全长11.905km，平纵面指标相对较低，全线最小平曲线半径700m，最大纵坡4.6%。</w:t>
      </w:r>
    </w:p>
    <w:p w14:paraId="6C5747FB">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方案K与方案C路线布设于方案 A 和方案 B 之间，适当展线，绕行相对于方案B短约0.6km，路线长度分别为10.931km和10.916km。两方案平纵面指标相当，最小平曲线半径均为700m，最大纵坡分别为4.5%和4.6%。</w:t>
      </w:r>
    </w:p>
    <w:p w14:paraId="577DA239">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从路线主要技术指标比选，方案A路线最为</w:t>
      </w:r>
      <w:r>
        <w:rPr>
          <w:rFonts w:hint="eastAsia" w:cs="Times New Roman"/>
          <w:color w:val="auto"/>
          <w:kern w:val="0"/>
          <w:sz w:val="24"/>
          <w:szCs w:val="24"/>
          <w:lang w:val="en-US" w:eastAsia="zh-CN" w:bidi="ar"/>
        </w:rPr>
        <w:t>直接</w:t>
      </w:r>
      <w:r>
        <w:rPr>
          <w:rFonts w:hint="default" w:ascii="Times New Roman" w:hAnsi="Times New Roman" w:eastAsia="宋体" w:cs="Times New Roman"/>
          <w:color w:val="auto"/>
          <w:kern w:val="0"/>
          <w:sz w:val="24"/>
          <w:szCs w:val="24"/>
          <w:lang w:val="en-US" w:eastAsia="zh-CN" w:bidi="ar"/>
        </w:rPr>
        <w:t>，平纵面指标最高，方案K、方案B、方案C三个方案平纵面指标相当，但方案B绕行较远，指标略差，方案K和方案C指标适中。</w:t>
      </w:r>
    </w:p>
    <w:p w14:paraId="449DC030">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地形地质</w:t>
      </w:r>
    </w:p>
    <w:p w14:paraId="618AC720">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各方案穿越兰干塔格山地形地质条件相当，均为低山区，地层岩性以砾岩、泥岩、砂岩为主，地形地质条件较差，不论是隧道方案还是明线路基方案，地形地质条件均较差，方案K、A、B隧道围岩等级均为V级，而方案C、方案 K、方案A均存在长段落高填深挖</w:t>
      </w:r>
      <w:r>
        <w:rPr>
          <w:rFonts w:hint="eastAsia" w:cs="Times New Roman"/>
          <w:color w:val="auto"/>
          <w:kern w:val="0"/>
          <w:sz w:val="24"/>
          <w:szCs w:val="24"/>
          <w:lang w:val="en-US" w:eastAsia="zh-CN" w:bidi="ar"/>
        </w:rPr>
        <w:t>路段</w:t>
      </w:r>
      <w:r>
        <w:rPr>
          <w:rFonts w:hint="default" w:ascii="Times New Roman" w:hAnsi="Times New Roman" w:eastAsia="宋体" w:cs="Times New Roman"/>
          <w:color w:val="auto"/>
          <w:kern w:val="0"/>
          <w:sz w:val="24"/>
          <w:szCs w:val="24"/>
          <w:lang w:val="en-US" w:eastAsia="zh-CN" w:bidi="ar"/>
        </w:rPr>
        <w:t>，隧道及路基设计中需采取相应措施保障安全。</w:t>
      </w:r>
    </w:p>
    <w:p w14:paraId="3C5B0124">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2）方案K和方案C隧道进出口地形地质条件比较</w:t>
      </w:r>
    </w:p>
    <w:p w14:paraId="725AED55">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方案K和方案C路线长度及平纵面指标相当，方案C比方案K少设置两处平曲线，平面指标略好，隧道长度略长于方案K，但从地形地质比较，方案C隧道进口由于路线展线不足，隧道进口位于山区冲积平原，隧道进口以外的路堑段落靠近冲沟，虽然项目区域干旱少雨，但偶发暴雨，仍存在一定安全风险。而方案K由于路线在隧道进口前展线相对较多，路线在隧道</w:t>
      </w:r>
      <w:r>
        <w:rPr>
          <w:rFonts w:hint="eastAsia" w:cs="Times New Roman"/>
          <w:color w:val="auto"/>
          <w:kern w:val="0"/>
          <w:sz w:val="24"/>
          <w:szCs w:val="24"/>
          <w:lang w:val="en-US" w:eastAsia="zh-CN" w:bidi="ar"/>
        </w:rPr>
        <w:t>进口</w:t>
      </w:r>
      <w:r>
        <w:rPr>
          <w:rFonts w:hint="default" w:ascii="Times New Roman" w:hAnsi="Times New Roman" w:eastAsia="宋体" w:cs="Times New Roman"/>
          <w:color w:val="auto"/>
          <w:kern w:val="0"/>
          <w:sz w:val="24"/>
          <w:szCs w:val="24"/>
          <w:lang w:val="en-US" w:eastAsia="zh-CN" w:bidi="ar"/>
        </w:rPr>
        <w:t>标高较高，采用桥梁方案跨越冲沟，安全性相对较好。</w:t>
      </w:r>
      <w:r>
        <w:rPr>
          <w:rFonts w:hint="eastAsia" w:cs="Times New Roman"/>
          <w:color w:val="auto"/>
          <w:kern w:val="0"/>
          <w:sz w:val="24"/>
          <w:szCs w:val="24"/>
          <w:lang w:val="en-US" w:eastAsia="zh-CN" w:bidi="ar"/>
        </w:rPr>
        <w:t>对隧道</w:t>
      </w:r>
      <w:r>
        <w:rPr>
          <w:rFonts w:hint="default" w:ascii="Times New Roman" w:hAnsi="Times New Roman" w:eastAsia="宋体" w:cs="Times New Roman"/>
          <w:color w:val="auto"/>
          <w:kern w:val="0"/>
          <w:sz w:val="24"/>
          <w:szCs w:val="24"/>
          <w:lang w:val="en-US" w:eastAsia="zh-CN" w:bidi="ar"/>
        </w:rPr>
        <w:t>出口地形地质进行比较，方案K处山体完整性较好，破碎坍塌等情况较少，而方案C出口位于冲沟处，洞口附近山体坍塌严重，地形地质条件较差，不利于施工安全。</w:t>
      </w:r>
    </w:p>
    <w:p w14:paraId="6C960F12">
      <w:pPr>
        <w:keepNext w:val="0"/>
        <w:keepLines w:val="0"/>
        <w:widowControl/>
        <w:suppressLineNumbers w:val="0"/>
        <w:jc w:val="both"/>
        <w:rPr>
          <w:rFonts w:hint="default" w:ascii="Times New Roman" w:hAnsi="Times New Roman" w:eastAsia="宋体" w:cs="Times New Roman"/>
          <w:b w:val="0"/>
          <w:bCs w:val="0"/>
          <w:color w:val="auto"/>
          <w:sz w:val="24"/>
          <w:szCs w:val="24"/>
        </w:rPr>
      </w:pPr>
      <w:r>
        <w:rPr>
          <w:rFonts w:hint="default" w:ascii="Times New Roman" w:hAnsi="Times New Roman" w:cs="Times New Roman"/>
          <w:b w:val="0"/>
          <w:bCs w:val="0"/>
          <w:color w:val="auto"/>
          <w:kern w:val="0"/>
          <w:sz w:val="24"/>
          <w:szCs w:val="24"/>
          <w:lang w:val="en-US" w:eastAsia="zh-CN" w:bidi="ar"/>
        </w:rPr>
        <w:t>（3）</w:t>
      </w:r>
      <w:r>
        <w:rPr>
          <w:rFonts w:hint="default" w:ascii="Times New Roman" w:hAnsi="Times New Roman" w:eastAsia="宋体" w:cs="Times New Roman"/>
          <w:b w:val="0"/>
          <w:bCs w:val="0"/>
          <w:color w:val="auto"/>
          <w:kern w:val="0"/>
          <w:sz w:val="24"/>
          <w:szCs w:val="24"/>
          <w:lang w:val="en-US" w:eastAsia="zh-CN" w:bidi="ar"/>
        </w:rPr>
        <w:t>工程规模</w:t>
      </w:r>
    </w:p>
    <w:p w14:paraId="36A02AFB">
      <w:pPr>
        <w:keepNext w:val="0"/>
        <w:keepLines w:val="0"/>
        <w:widowControl/>
        <w:suppressLineNumbers w:val="0"/>
        <w:jc w:val="both"/>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kern w:val="0"/>
          <w:sz w:val="24"/>
          <w:szCs w:val="24"/>
          <w:lang w:val="en-US" w:eastAsia="zh-CN" w:bidi="ar"/>
        </w:rPr>
        <w:t>从工程规模来看，方案A隧道总长3705m，工程规模及造价最高，方案B采用明线方案，不设置隧道，造价最低。方案K和方案C采用长隧道结合明线方案，造价适中，方案C隧道较方案K长250m，造价高于方案K。</w:t>
      </w:r>
    </w:p>
    <w:p w14:paraId="7DC2872A">
      <w:pPr>
        <w:keepNext w:val="0"/>
        <w:keepLines w:val="0"/>
        <w:widowControl/>
        <w:suppressLineNumbers w:val="0"/>
        <w:jc w:val="both"/>
        <w:rPr>
          <w:rFonts w:hint="default" w:ascii="Times New Roman" w:hAnsi="Times New Roman" w:eastAsia="宋体" w:cs="Times New Roman"/>
          <w:b w:val="0"/>
          <w:bCs w:val="0"/>
          <w:color w:val="auto"/>
          <w:sz w:val="24"/>
          <w:szCs w:val="24"/>
        </w:rPr>
      </w:pPr>
      <w:r>
        <w:rPr>
          <w:rFonts w:hint="default" w:ascii="Times New Roman" w:hAnsi="Times New Roman" w:cs="Times New Roman"/>
          <w:b w:val="0"/>
          <w:bCs w:val="0"/>
          <w:color w:val="auto"/>
          <w:kern w:val="0"/>
          <w:sz w:val="24"/>
          <w:szCs w:val="24"/>
          <w:lang w:val="en-US" w:eastAsia="zh-CN" w:bidi="ar"/>
        </w:rPr>
        <w:t>（4）</w:t>
      </w:r>
      <w:r>
        <w:rPr>
          <w:rFonts w:hint="default" w:ascii="Times New Roman" w:hAnsi="Times New Roman" w:eastAsia="宋体" w:cs="Times New Roman"/>
          <w:b w:val="0"/>
          <w:bCs w:val="0"/>
          <w:color w:val="auto"/>
          <w:kern w:val="0"/>
          <w:sz w:val="24"/>
          <w:szCs w:val="24"/>
          <w:lang w:val="en-US" w:eastAsia="zh-CN" w:bidi="ar"/>
        </w:rPr>
        <w:t>占用土地及拆迁情况</w:t>
      </w:r>
    </w:p>
    <w:p w14:paraId="11DC3D2E">
      <w:pPr>
        <w:keepNext w:val="0"/>
        <w:keepLines w:val="0"/>
        <w:widowControl/>
        <w:suppressLineNumbers w:val="0"/>
        <w:jc w:val="both"/>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kern w:val="0"/>
          <w:sz w:val="24"/>
          <w:szCs w:val="24"/>
          <w:lang w:val="en-US" w:eastAsia="zh-CN" w:bidi="ar"/>
        </w:rPr>
        <w:t>方案K共占用土地1012.9亩，其中旧路54.8亩，林地105亩，草地853.1亩，拆迁房屋30678.6m</w:t>
      </w:r>
      <w:r>
        <w:rPr>
          <w:rFonts w:hint="default" w:ascii="Times New Roman" w:hAnsi="Times New Roman" w:eastAsia="宋体" w:cs="Times New Roman"/>
          <w:b w:val="0"/>
          <w:bCs w:val="0"/>
          <w:color w:val="auto"/>
          <w:kern w:val="0"/>
          <w:sz w:val="24"/>
          <w:szCs w:val="24"/>
          <w:vertAlign w:val="superscript"/>
          <w:lang w:val="en-US" w:eastAsia="zh-CN" w:bidi="ar"/>
        </w:rPr>
        <w:t>2</w:t>
      </w:r>
      <w:r>
        <w:rPr>
          <w:rFonts w:hint="default" w:ascii="Times New Roman" w:hAnsi="Times New Roman" w:eastAsia="宋体" w:cs="Times New Roman"/>
          <w:b w:val="0"/>
          <w:bCs w:val="0"/>
          <w:color w:val="auto"/>
          <w:kern w:val="0"/>
          <w:sz w:val="24"/>
          <w:szCs w:val="24"/>
          <w:lang w:val="en-US" w:eastAsia="zh-CN" w:bidi="ar"/>
        </w:rPr>
        <w:t>。</w:t>
      </w:r>
    </w:p>
    <w:p w14:paraId="6E1998BD">
      <w:pPr>
        <w:keepNext w:val="0"/>
        <w:keepLines w:val="0"/>
        <w:widowControl/>
        <w:suppressLineNumbers w:val="0"/>
        <w:jc w:val="both"/>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kern w:val="0"/>
          <w:sz w:val="24"/>
          <w:szCs w:val="24"/>
          <w:lang w:val="en-US" w:eastAsia="zh-CN" w:bidi="ar"/>
        </w:rPr>
        <w:t>方案A共占用土地486.8亩，其中旧路54.9亩，林地102亩，草地329.9亩，拆迁房屋30665.3m</w:t>
      </w:r>
      <w:r>
        <w:rPr>
          <w:rFonts w:hint="default" w:ascii="Times New Roman" w:hAnsi="Times New Roman" w:eastAsia="宋体" w:cs="Times New Roman"/>
          <w:b w:val="0"/>
          <w:bCs w:val="0"/>
          <w:color w:val="auto"/>
          <w:kern w:val="0"/>
          <w:sz w:val="24"/>
          <w:szCs w:val="24"/>
          <w:vertAlign w:val="superscript"/>
          <w:lang w:val="en-US" w:eastAsia="zh-CN" w:bidi="ar"/>
        </w:rPr>
        <w:t>2</w:t>
      </w:r>
      <w:r>
        <w:rPr>
          <w:rFonts w:hint="default" w:ascii="Times New Roman" w:hAnsi="Times New Roman" w:eastAsia="宋体" w:cs="Times New Roman"/>
          <w:b w:val="0"/>
          <w:bCs w:val="0"/>
          <w:color w:val="auto"/>
          <w:kern w:val="0"/>
          <w:sz w:val="24"/>
          <w:szCs w:val="24"/>
          <w:lang w:val="en-US" w:eastAsia="zh-CN" w:bidi="ar"/>
        </w:rPr>
        <w:t>。</w:t>
      </w:r>
    </w:p>
    <w:p w14:paraId="546D7F93">
      <w:pPr>
        <w:keepNext w:val="0"/>
        <w:keepLines w:val="0"/>
        <w:widowControl/>
        <w:suppressLineNumbers w:val="0"/>
        <w:jc w:val="both"/>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kern w:val="0"/>
          <w:sz w:val="24"/>
          <w:szCs w:val="24"/>
          <w:lang w:val="en-US" w:eastAsia="zh-CN" w:bidi="ar"/>
        </w:rPr>
        <w:t>方案B共占用土地1049.6亩，其中旧路53.2亩，林地159.5亩，草地836.9亩，拆迁房屋30665.3m</w:t>
      </w:r>
      <w:r>
        <w:rPr>
          <w:rFonts w:hint="default" w:ascii="Times New Roman" w:hAnsi="Times New Roman" w:eastAsia="宋体" w:cs="Times New Roman"/>
          <w:b w:val="0"/>
          <w:bCs w:val="0"/>
          <w:color w:val="auto"/>
          <w:kern w:val="0"/>
          <w:sz w:val="24"/>
          <w:szCs w:val="24"/>
          <w:vertAlign w:val="superscript"/>
          <w:lang w:val="en-US" w:eastAsia="zh-CN" w:bidi="ar"/>
        </w:rPr>
        <w:t>2</w:t>
      </w:r>
      <w:r>
        <w:rPr>
          <w:rFonts w:hint="default" w:ascii="Times New Roman" w:hAnsi="Times New Roman" w:eastAsia="宋体" w:cs="Times New Roman"/>
          <w:b w:val="0"/>
          <w:bCs w:val="0"/>
          <w:color w:val="auto"/>
          <w:kern w:val="0"/>
          <w:sz w:val="24"/>
          <w:szCs w:val="24"/>
          <w:lang w:val="en-US" w:eastAsia="zh-CN" w:bidi="ar"/>
        </w:rPr>
        <w:t>。</w:t>
      </w:r>
    </w:p>
    <w:p w14:paraId="21F06D9C">
      <w:pPr>
        <w:keepNext w:val="0"/>
        <w:keepLines w:val="0"/>
        <w:widowControl/>
        <w:suppressLineNumbers w:val="0"/>
        <w:jc w:val="both"/>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kern w:val="0"/>
          <w:sz w:val="24"/>
          <w:szCs w:val="24"/>
          <w:lang w:val="en-US" w:eastAsia="zh-CN" w:bidi="ar"/>
        </w:rPr>
        <w:t>方案C共占用土地851亩，其中旧路54.7亩，林地102亩，草地694.3亩，拆迁房屋30655.2m</w:t>
      </w:r>
      <w:r>
        <w:rPr>
          <w:rFonts w:hint="default" w:ascii="Times New Roman" w:hAnsi="Times New Roman" w:eastAsia="宋体" w:cs="Times New Roman"/>
          <w:b w:val="0"/>
          <w:bCs w:val="0"/>
          <w:color w:val="auto"/>
          <w:kern w:val="0"/>
          <w:sz w:val="24"/>
          <w:szCs w:val="24"/>
          <w:vertAlign w:val="superscript"/>
          <w:lang w:val="en-US" w:eastAsia="zh-CN" w:bidi="ar"/>
        </w:rPr>
        <w:t>2</w:t>
      </w:r>
      <w:r>
        <w:rPr>
          <w:rFonts w:hint="default" w:ascii="Times New Roman" w:hAnsi="Times New Roman" w:eastAsia="宋体" w:cs="Times New Roman"/>
          <w:b w:val="0"/>
          <w:bCs w:val="0"/>
          <w:color w:val="auto"/>
          <w:kern w:val="0"/>
          <w:sz w:val="24"/>
          <w:szCs w:val="24"/>
          <w:lang w:val="en-US" w:eastAsia="zh-CN" w:bidi="ar"/>
        </w:rPr>
        <w:t>。</w:t>
      </w:r>
    </w:p>
    <w:p w14:paraId="592F8C77">
      <w:pPr>
        <w:keepNext w:val="0"/>
        <w:keepLines w:val="0"/>
        <w:widowControl/>
        <w:suppressLineNumbers w:val="0"/>
        <w:jc w:val="both"/>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kern w:val="0"/>
          <w:sz w:val="24"/>
          <w:szCs w:val="24"/>
          <w:lang w:val="en-US" w:eastAsia="zh-CN" w:bidi="ar"/>
        </w:rPr>
        <w:t>从征地拆迁</w:t>
      </w:r>
      <w:r>
        <w:rPr>
          <w:rFonts w:hint="eastAsia" w:cs="Times New Roman"/>
          <w:b w:val="0"/>
          <w:bCs w:val="0"/>
          <w:color w:val="auto"/>
          <w:kern w:val="0"/>
          <w:sz w:val="24"/>
          <w:szCs w:val="24"/>
          <w:lang w:val="en-US" w:eastAsia="zh-CN" w:bidi="ar"/>
        </w:rPr>
        <w:t>量比较</w:t>
      </w:r>
      <w:r>
        <w:rPr>
          <w:rFonts w:hint="default" w:ascii="Times New Roman" w:hAnsi="Times New Roman" w:eastAsia="宋体" w:cs="Times New Roman"/>
          <w:b w:val="0"/>
          <w:bCs w:val="0"/>
          <w:color w:val="auto"/>
          <w:kern w:val="0"/>
          <w:sz w:val="24"/>
          <w:szCs w:val="24"/>
          <w:lang w:val="en-US" w:eastAsia="zh-CN" w:bidi="ar"/>
        </w:rPr>
        <w:t>，方案A较</w:t>
      </w:r>
      <w:r>
        <w:rPr>
          <w:rFonts w:hint="eastAsia" w:cs="Times New Roman"/>
          <w:b w:val="0"/>
          <w:bCs w:val="0"/>
          <w:color w:val="auto"/>
          <w:kern w:val="0"/>
          <w:sz w:val="24"/>
          <w:szCs w:val="24"/>
          <w:lang w:val="en-US" w:eastAsia="zh-CN" w:bidi="ar"/>
        </w:rPr>
        <w:t>少</w:t>
      </w:r>
      <w:r>
        <w:rPr>
          <w:rFonts w:hint="default" w:ascii="Times New Roman" w:hAnsi="Times New Roman" w:eastAsia="宋体" w:cs="Times New Roman"/>
          <w:b w:val="0"/>
          <w:bCs w:val="0"/>
          <w:color w:val="auto"/>
          <w:kern w:val="0"/>
          <w:sz w:val="24"/>
          <w:szCs w:val="24"/>
          <w:lang w:val="en-US" w:eastAsia="zh-CN" w:bidi="ar"/>
        </w:rPr>
        <w:t>，方案B</w:t>
      </w:r>
      <w:r>
        <w:rPr>
          <w:rFonts w:hint="eastAsia" w:cs="Times New Roman"/>
          <w:b w:val="0"/>
          <w:bCs w:val="0"/>
          <w:color w:val="auto"/>
          <w:kern w:val="0"/>
          <w:sz w:val="24"/>
          <w:szCs w:val="24"/>
          <w:lang w:val="en-US" w:eastAsia="zh-CN" w:bidi="ar"/>
        </w:rPr>
        <w:t>最多</w:t>
      </w:r>
      <w:r>
        <w:rPr>
          <w:rFonts w:hint="default" w:ascii="Times New Roman" w:hAnsi="Times New Roman" w:eastAsia="宋体" w:cs="Times New Roman"/>
          <w:b w:val="0"/>
          <w:bCs w:val="0"/>
          <w:color w:val="auto"/>
          <w:kern w:val="0"/>
          <w:sz w:val="24"/>
          <w:szCs w:val="24"/>
          <w:lang w:val="en-US" w:eastAsia="zh-CN" w:bidi="ar"/>
        </w:rPr>
        <w:t>。</w:t>
      </w:r>
    </w:p>
    <w:p w14:paraId="48DDA0A4">
      <w:pPr>
        <w:keepNext w:val="0"/>
        <w:keepLines w:val="0"/>
        <w:widowControl/>
        <w:suppressLineNumbers w:val="0"/>
        <w:jc w:val="both"/>
        <w:rPr>
          <w:rFonts w:hint="default" w:ascii="Times New Roman" w:hAnsi="Times New Roman" w:eastAsia="宋体" w:cs="Times New Roman"/>
          <w:b w:val="0"/>
          <w:bCs w:val="0"/>
          <w:color w:val="auto"/>
          <w:sz w:val="24"/>
          <w:szCs w:val="24"/>
        </w:rPr>
      </w:pPr>
      <w:r>
        <w:rPr>
          <w:rFonts w:hint="default" w:ascii="Times New Roman" w:hAnsi="Times New Roman" w:cs="Times New Roman"/>
          <w:b w:val="0"/>
          <w:bCs w:val="0"/>
          <w:color w:val="auto"/>
          <w:kern w:val="0"/>
          <w:sz w:val="24"/>
          <w:szCs w:val="24"/>
          <w:lang w:val="en-US" w:eastAsia="zh-CN" w:bidi="ar"/>
        </w:rPr>
        <w:t>（5）</w:t>
      </w:r>
      <w:r>
        <w:rPr>
          <w:rFonts w:hint="default" w:ascii="Times New Roman" w:hAnsi="Times New Roman" w:eastAsia="宋体" w:cs="Times New Roman"/>
          <w:b w:val="0"/>
          <w:bCs w:val="0"/>
          <w:color w:val="auto"/>
          <w:kern w:val="0"/>
          <w:sz w:val="24"/>
          <w:szCs w:val="24"/>
          <w:lang w:val="en-US" w:eastAsia="zh-CN" w:bidi="ar"/>
        </w:rPr>
        <w:t>投资收益</w:t>
      </w:r>
    </w:p>
    <w:p w14:paraId="296EADEB">
      <w:pPr>
        <w:keepNext w:val="0"/>
        <w:keepLines w:val="0"/>
        <w:widowControl/>
        <w:suppressLineNumbers w:val="0"/>
        <w:jc w:val="both"/>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kern w:val="0"/>
          <w:sz w:val="24"/>
          <w:szCs w:val="24"/>
          <w:lang w:val="en-US" w:eastAsia="zh-CN" w:bidi="ar"/>
        </w:rPr>
        <w:t>根据国家《收费公路管理条例》，长度大于500m隧道可经批准收取车辆通行费，因此方案K、A、C可通过收费来平衡项目建设投资，经本报告测算，方案K的财务内部收益率为6.05%，而方案C隧道的财务内部收益率为-3.19%，低于基本收益率6%。</w:t>
      </w:r>
    </w:p>
    <w:p w14:paraId="21DB9117">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b w:val="0"/>
          <w:bCs w:val="0"/>
          <w:color w:val="auto"/>
          <w:kern w:val="0"/>
          <w:sz w:val="24"/>
          <w:szCs w:val="24"/>
          <w:lang w:val="en-US" w:eastAsia="zh-CN" w:bidi="ar"/>
        </w:rPr>
        <w:t>故方案K优于方案C。而方案A隧道规模大，造价高，财务内部收益率将远低于基准收益率。收益率较差。方案B虽然工程规模小，投资小于其他三个方案，但由于不设置隧道，不能申请收费，因此项目建成后无直接收入，效益同样较差。因此，从投资收益角度比较，方案K和方案C较好，且方案K优于方案C。</w:t>
      </w:r>
    </w:p>
    <w:p w14:paraId="4F9C60F0">
      <w:pPr>
        <w:pStyle w:val="39"/>
        <w:bidi w:val="0"/>
        <w:rPr>
          <w:rFonts w:hint="default" w:ascii="Times New Roman" w:hAnsi="Times New Roman" w:cs="Times New Roman"/>
          <w:color w:val="auto"/>
        </w:rPr>
      </w:pPr>
      <w:r>
        <w:rPr>
          <w:rFonts w:hint="default" w:ascii="Times New Roman" w:hAnsi="Times New Roman" w:cs="Times New Roman"/>
          <w:color w:val="auto"/>
          <w:lang w:val="en-US" w:eastAsia="zh-CN"/>
        </w:rPr>
        <w:t>表3.1-1 主要工程规模对比表</w:t>
      </w:r>
    </w:p>
    <w:tbl>
      <w:tblPr>
        <w:tblStyle w:val="30"/>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06"/>
        <w:gridCol w:w="2352"/>
        <w:gridCol w:w="1336"/>
        <w:gridCol w:w="973"/>
        <w:gridCol w:w="1086"/>
        <w:gridCol w:w="1057"/>
        <w:gridCol w:w="1010"/>
      </w:tblGrid>
      <w:tr w14:paraId="17BDFC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414" w:type="pct"/>
            <w:vMerge w:val="restart"/>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14:paraId="73D22B1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序号</w:t>
            </w:r>
          </w:p>
        </w:tc>
        <w:tc>
          <w:tcPr>
            <w:tcW w:w="138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019019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项目</w:t>
            </w:r>
          </w:p>
        </w:tc>
        <w:tc>
          <w:tcPr>
            <w:tcW w:w="78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9A1961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单位</w:t>
            </w:r>
          </w:p>
        </w:tc>
        <w:tc>
          <w:tcPr>
            <w:tcW w:w="2420"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543965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工程规模</w:t>
            </w:r>
          </w:p>
        </w:tc>
      </w:tr>
      <w:tr w14:paraId="3AECA1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14:paraId="263AABE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138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2E1F2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78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8888F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846FE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方案K</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008CF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方案A</w:t>
            </w:r>
          </w:p>
        </w:tc>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8A9F2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方案B</w:t>
            </w:r>
          </w:p>
        </w:tc>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6C3BD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方案C</w:t>
            </w:r>
          </w:p>
        </w:tc>
      </w:tr>
      <w:tr w14:paraId="1732C5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442D7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w:t>
            </w:r>
          </w:p>
        </w:tc>
        <w:tc>
          <w:tcPr>
            <w:tcW w:w="1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BCBD4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路线长度</w:t>
            </w:r>
          </w:p>
        </w:tc>
        <w:tc>
          <w:tcPr>
            <w:tcW w:w="7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7D648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Km</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F63A8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10.931</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9504D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9.795</w:t>
            </w:r>
          </w:p>
        </w:tc>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DFE4B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11.905</w:t>
            </w:r>
          </w:p>
        </w:tc>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AC9A3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10.916</w:t>
            </w:r>
          </w:p>
        </w:tc>
      </w:tr>
      <w:tr w14:paraId="6969EB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BB99B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w:t>
            </w:r>
          </w:p>
        </w:tc>
        <w:tc>
          <w:tcPr>
            <w:tcW w:w="1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E8E43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最小平曲线半径</w:t>
            </w:r>
          </w:p>
        </w:tc>
        <w:tc>
          <w:tcPr>
            <w:tcW w:w="7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00B6A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m</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A90A7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700</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B69B1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1500</w:t>
            </w:r>
          </w:p>
        </w:tc>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5CE9E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700</w:t>
            </w:r>
          </w:p>
        </w:tc>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093E2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700</w:t>
            </w:r>
          </w:p>
        </w:tc>
      </w:tr>
      <w:tr w14:paraId="0710F1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41DBD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w:t>
            </w:r>
          </w:p>
        </w:tc>
        <w:tc>
          <w:tcPr>
            <w:tcW w:w="1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B5B5C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最大纵坡</w:t>
            </w:r>
          </w:p>
        </w:tc>
        <w:tc>
          <w:tcPr>
            <w:tcW w:w="7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E31BF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F8F55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4.5</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4AFBE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w:t>
            </w:r>
          </w:p>
        </w:tc>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2DBA5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4.6</w:t>
            </w:r>
          </w:p>
        </w:tc>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22A5D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4.6</w:t>
            </w:r>
          </w:p>
        </w:tc>
      </w:tr>
      <w:tr w14:paraId="382F1F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E090B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4</w:t>
            </w:r>
          </w:p>
        </w:tc>
        <w:tc>
          <w:tcPr>
            <w:tcW w:w="1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8BA94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最小凸曲线半径</w:t>
            </w:r>
          </w:p>
        </w:tc>
        <w:tc>
          <w:tcPr>
            <w:tcW w:w="7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84E8D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m</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A270E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12000</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011B8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13100</w:t>
            </w:r>
          </w:p>
        </w:tc>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FDA21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6000</w:t>
            </w:r>
          </w:p>
        </w:tc>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E5C05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10000</w:t>
            </w:r>
          </w:p>
        </w:tc>
      </w:tr>
      <w:tr w14:paraId="01E5D2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8909F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5</w:t>
            </w:r>
          </w:p>
        </w:tc>
        <w:tc>
          <w:tcPr>
            <w:tcW w:w="1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45646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最小凹曲线半径</w:t>
            </w:r>
          </w:p>
        </w:tc>
        <w:tc>
          <w:tcPr>
            <w:tcW w:w="7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CF40E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m</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58194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8000</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93E23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8000</w:t>
            </w:r>
          </w:p>
        </w:tc>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16B9C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4000</w:t>
            </w:r>
          </w:p>
        </w:tc>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08666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7000</w:t>
            </w:r>
          </w:p>
        </w:tc>
      </w:tr>
      <w:tr w14:paraId="7476F8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4D436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6</w:t>
            </w:r>
          </w:p>
        </w:tc>
        <w:tc>
          <w:tcPr>
            <w:tcW w:w="1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9FCC5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路基挖方</w:t>
            </w:r>
          </w:p>
        </w:tc>
        <w:tc>
          <w:tcPr>
            <w:tcW w:w="7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01087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10000m³</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AC17F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219.197</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8E56B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22.728</w:t>
            </w:r>
          </w:p>
        </w:tc>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65152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173.879</w:t>
            </w:r>
          </w:p>
        </w:tc>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2D445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200.546</w:t>
            </w:r>
          </w:p>
        </w:tc>
      </w:tr>
      <w:tr w14:paraId="54A771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E3389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w:t>
            </w:r>
          </w:p>
        </w:tc>
        <w:tc>
          <w:tcPr>
            <w:tcW w:w="1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E06E0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路基填方</w:t>
            </w:r>
          </w:p>
        </w:tc>
        <w:tc>
          <w:tcPr>
            <w:tcW w:w="7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110B8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10000m³</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2B782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122.767</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D4868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148.628</w:t>
            </w:r>
          </w:p>
        </w:tc>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6378A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442.203</w:t>
            </w:r>
          </w:p>
        </w:tc>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00DBF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139.401</w:t>
            </w:r>
          </w:p>
        </w:tc>
      </w:tr>
      <w:tr w14:paraId="70533D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634DD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8</w:t>
            </w:r>
          </w:p>
        </w:tc>
        <w:tc>
          <w:tcPr>
            <w:tcW w:w="1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8B978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特殊路基处理</w:t>
            </w:r>
          </w:p>
        </w:tc>
        <w:tc>
          <w:tcPr>
            <w:tcW w:w="7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8394A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km</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D7AF4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0.26</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2C509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0.26</w:t>
            </w:r>
          </w:p>
        </w:tc>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9E7D6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0.26</w:t>
            </w:r>
          </w:p>
        </w:tc>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7E123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0.26</w:t>
            </w:r>
          </w:p>
        </w:tc>
      </w:tr>
      <w:tr w14:paraId="2B9F9B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8BF0C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9</w:t>
            </w:r>
          </w:p>
        </w:tc>
        <w:tc>
          <w:tcPr>
            <w:tcW w:w="1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8BEC4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排水工程</w:t>
            </w:r>
          </w:p>
        </w:tc>
        <w:tc>
          <w:tcPr>
            <w:tcW w:w="7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44403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km</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164AF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9.048</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BA8EB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5.61</w:t>
            </w:r>
          </w:p>
        </w:tc>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4BE44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9.048</w:t>
            </w:r>
          </w:p>
        </w:tc>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375B2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8.663</w:t>
            </w:r>
          </w:p>
        </w:tc>
      </w:tr>
      <w:tr w14:paraId="4BD361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04E88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10</w:t>
            </w:r>
          </w:p>
        </w:tc>
        <w:tc>
          <w:tcPr>
            <w:tcW w:w="1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8075F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方格网</w:t>
            </w:r>
          </w:p>
        </w:tc>
        <w:tc>
          <w:tcPr>
            <w:tcW w:w="7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C4CBE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km</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5154B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4.434</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83F31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3.612</w:t>
            </w:r>
          </w:p>
        </w:tc>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A52CB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5.524</w:t>
            </w:r>
          </w:p>
        </w:tc>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9BC1F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5.815</w:t>
            </w:r>
          </w:p>
        </w:tc>
      </w:tr>
      <w:tr w14:paraId="04BF87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71A32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11</w:t>
            </w:r>
          </w:p>
        </w:tc>
        <w:tc>
          <w:tcPr>
            <w:tcW w:w="1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C4E78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混凝土护坡</w:t>
            </w:r>
          </w:p>
        </w:tc>
        <w:tc>
          <w:tcPr>
            <w:tcW w:w="7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1ED4A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m</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5FF68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A7ACE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BAB18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1CB79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r w14:paraId="09DD0C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6021C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12</w:t>
            </w:r>
          </w:p>
        </w:tc>
        <w:tc>
          <w:tcPr>
            <w:tcW w:w="1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80E73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沥青混凝土路面</w:t>
            </w:r>
          </w:p>
        </w:tc>
        <w:tc>
          <w:tcPr>
            <w:tcW w:w="7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FCEB4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1000m²</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7A0A1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206.527</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52ABF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129.961</w:t>
            </w:r>
          </w:p>
        </w:tc>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CD520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250.810</w:t>
            </w:r>
          </w:p>
        </w:tc>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0587A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197.629</w:t>
            </w:r>
          </w:p>
        </w:tc>
      </w:tr>
      <w:tr w14:paraId="7B94F8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AE689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13</w:t>
            </w:r>
          </w:p>
        </w:tc>
        <w:tc>
          <w:tcPr>
            <w:tcW w:w="1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93130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涵洞</w:t>
            </w:r>
          </w:p>
        </w:tc>
        <w:tc>
          <w:tcPr>
            <w:tcW w:w="7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84B88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道</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A6584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46</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A3890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25</w:t>
            </w:r>
          </w:p>
        </w:tc>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F7846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54</w:t>
            </w:r>
          </w:p>
        </w:tc>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2D17A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40</w:t>
            </w:r>
          </w:p>
        </w:tc>
      </w:tr>
      <w:tr w14:paraId="01896F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C043F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14</w:t>
            </w:r>
          </w:p>
        </w:tc>
        <w:tc>
          <w:tcPr>
            <w:tcW w:w="1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5F37E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桥梁</w:t>
            </w:r>
          </w:p>
        </w:tc>
        <w:tc>
          <w:tcPr>
            <w:tcW w:w="7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26B8F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m/座</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93267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464m/9</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9F95E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480/8</w:t>
            </w:r>
          </w:p>
        </w:tc>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411E1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638/11</w:t>
            </w:r>
          </w:p>
        </w:tc>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8BE1A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803/10</w:t>
            </w:r>
          </w:p>
        </w:tc>
      </w:tr>
      <w:tr w14:paraId="446A6E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8737D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15</w:t>
            </w:r>
          </w:p>
        </w:tc>
        <w:tc>
          <w:tcPr>
            <w:tcW w:w="1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45120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隧道</w:t>
            </w:r>
          </w:p>
        </w:tc>
        <w:tc>
          <w:tcPr>
            <w:tcW w:w="7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2A52D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m</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32080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1200</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3B5E3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3705</w:t>
            </w:r>
          </w:p>
        </w:tc>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2120F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9F9EB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1450</w:t>
            </w:r>
          </w:p>
        </w:tc>
      </w:tr>
      <w:tr w14:paraId="4952AC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3AC1D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16</w:t>
            </w:r>
          </w:p>
        </w:tc>
        <w:tc>
          <w:tcPr>
            <w:tcW w:w="1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7BA59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拆迁</w:t>
            </w:r>
          </w:p>
        </w:tc>
        <w:tc>
          <w:tcPr>
            <w:tcW w:w="7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FB729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m²</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5B043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30678.6</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B28E6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30678.6</w:t>
            </w:r>
          </w:p>
        </w:tc>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FD118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30678.6</w:t>
            </w:r>
          </w:p>
        </w:tc>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14486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30678.6</w:t>
            </w:r>
          </w:p>
        </w:tc>
      </w:tr>
      <w:tr w14:paraId="7ABF89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4B7EA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17</w:t>
            </w:r>
          </w:p>
        </w:tc>
        <w:tc>
          <w:tcPr>
            <w:tcW w:w="1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453F0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占地总面积</w:t>
            </w:r>
          </w:p>
        </w:tc>
        <w:tc>
          <w:tcPr>
            <w:tcW w:w="7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0D741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亩</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415CC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944.34</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A67F3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486.8</w:t>
            </w:r>
          </w:p>
        </w:tc>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22789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1049.6</w:t>
            </w:r>
          </w:p>
        </w:tc>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B549D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951</w:t>
            </w:r>
          </w:p>
        </w:tc>
      </w:tr>
      <w:tr w14:paraId="27F2A4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DBE0F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18</w:t>
            </w:r>
          </w:p>
        </w:tc>
        <w:tc>
          <w:tcPr>
            <w:tcW w:w="1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3D79A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造价</w:t>
            </w:r>
          </w:p>
        </w:tc>
        <w:tc>
          <w:tcPr>
            <w:tcW w:w="7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D8041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亿元</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FB8F6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8.37</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A3408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11.49</w:t>
            </w:r>
          </w:p>
        </w:tc>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9F95C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6.85</w:t>
            </w:r>
          </w:p>
        </w:tc>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E9D59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8.71</w:t>
            </w:r>
          </w:p>
        </w:tc>
      </w:tr>
      <w:tr w14:paraId="6E82DD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F7326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CABB4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推荐结论</w:t>
            </w:r>
          </w:p>
        </w:tc>
        <w:tc>
          <w:tcPr>
            <w:tcW w:w="7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C2EEF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1D518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推荐</w:t>
            </w:r>
          </w:p>
        </w:tc>
        <w:tc>
          <w:tcPr>
            <w:tcW w:w="6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87963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EFE33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7ED1B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r>
    </w:tbl>
    <w:p w14:paraId="631EA657">
      <w:pPr>
        <w:keepNext w:val="0"/>
        <w:keepLines w:val="0"/>
        <w:pageBreakBefore w:val="0"/>
        <w:widowControl/>
        <w:suppressLineNumbers w:val="0"/>
        <w:kinsoku/>
        <w:wordWrap/>
        <w:overflowPunct/>
        <w:topLinePunct w:val="0"/>
        <w:autoSpaceDE/>
        <w:autoSpaceDN/>
        <w:bidi w:val="0"/>
        <w:adjustRightInd w:val="0"/>
        <w:snapToGrid w:val="0"/>
        <w:spacing w:before="157" w:beforeLines="50"/>
        <w:jc w:val="both"/>
        <w:textAlignment w:val="auto"/>
        <w:rPr>
          <w:rFonts w:hint="eastAsia" w:cs="Times New Roman"/>
          <w:color w:val="auto"/>
          <w:kern w:val="0"/>
          <w:sz w:val="24"/>
          <w:szCs w:val="24"/>
          <w:lang w:val="en-US" w:eastAsia="zh-CN" w:bidi="ar"/>
        </w:rPr>
      </w:pPr>
      <w:r>
        <w:rPr>
          <w:rFonts w:hint="eastAsia" w:cs="Times New Roman"/>
          <w:color w:val="auto"/>
          <w:kern w:val="0"/>
          <w:sz w:val="24"/>
          <w:szCs w:val="24"/>
          <w:lang w:val="en-US" w:eastAsia="zh-CN" w:bidi="ar"/>
        </w:rPr>
        <w:t>综合比选，方案A工程规模大，造价高，投资收益差，劣势明显。方案B虽然工程规模小，造价低，但由于不能采用收费模式建设，无收入，投资需全额由克州政府财政承担，项目实施难度大，方案K和方案C造价适中，可通过收费来平衡隧道建设投入，项目可行性较强，且从工程规模、投资效益、地形地质条件方面，方案K均优于方案C，因此，本报告推荐采用方案K。</w:t>
      </w:r>
    </w:p>
    <w:p w14:paraId="0BBD670B">
      <w:pPr>
        <w:pStyle w:val="5"/>
        <w:bidi w:val="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3.1.</w:t>
      </w:r>
      <w:r>
        <w:rPr>
          <w:rFonts w:hint="eastAsia" w:cs="Times New Roman"/>
          <w:color w:val="auto"/>
          <w:lang w:val="en-US" w:eastAsia="zh-CN"/>
        </w:rPr>
        <w:t>2</w:t>
      </w:r>
      <w:r>
        <w:rPr>
          <w:rFonts w:hint="eastAsia" w:ascii="Times New Roman" w:hAnsi="Times New Roman" w:cs="Times New Roman"/>
          <w:color w:val="auto"/>
          <w:lang w:val="en-US" w:eastAsia="zh-CN"/>
        </w:rPr>
        <w:t>.5环境保护因素比选</w:t>
      </w:r>
    </w:p>
    <w:p w14:paraId="77390D19">
      <w:pPr>
        <w:keepNext w:val="0"/>
        <w:keepLines w:val="0"/>
        <w:pageBreakBefore w:val="0"/>
        <w:widowControl/>
        <w:suppressLineNumbers w:val="0"/>
        <w:kinsoku/>
        <w:wordWrap/>
        <w:overflowPunct/>
        <w:topLinePunct w:val="0"/>
        <w:autoSpaceDE/>
        <w:autoSpaceDN/>
        <w:bidi w:val="0"/>
        <w:adjustRightInd w:val="0"/>
        <w:snapToGrid w:val="0"/>
        <w:spacing w:before="157" w:beforeLines="50"/>
        <w:jc w:val="both"/>
        <w:textAlignment w:val="auto"/>
        <w:rPr>
          <w:rFonts w:hint="default" w:cs="Times New Roman"/>
          <w:color w:val="auto"/>
          <w:kern w:val="0"/>
          <w:sz w:val="24"/>
          <w:szCs w:val="24"/>
          <w:lang w:val="en-US" w:eastAsia="zh-CN" w:bidi="ar"/>
        </w:rPr>
      </w:pPr>
      <w:r>
        <w:rPr>
          <w:rFonts w:hint="eastAsia" w:cs="Times New Roman"/>
          <w:color w:val="auto"/>
          <w:kern w:val="0"/>
          <w:sz w:val="24"/>
          <w:szCs w:val="24"/>
          <w:lang w:val="en-US" w:eastAsia="zh-CN" w:bidi="ar"/>
        </w:rPr>
        <w:t>由于方案K和方案C路线长度及平纵面指标相当，根据隧道出口地形地质进行比较，方案K处山体完整性较好，破碎坍塌等情况较少，而方案C出口位于冲沟处，洞口附近山体坍塌严重，地形地质条件较差，不利于施工安全。因此从环境保护因素不考虑比选方案C，对K线、A线及B线方案进行比选。</w:t>
      </w:r>
    </w:p>
    <w:p w14:paraId="27B2D2DB">
      <w:pPr>
        <w:pStyle w:val="39"/>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表3.1-2   K 线方案、A 线方案及B线方案环境因素比较一览表</w:t>
      </w:r>
    </w:p>
    <w:tbl>
      <w:tblPr>
        <w:tblStyle w:val="125"/>
        <w:tblW w:w="5004"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17"/>
        <w:gridCol w:w="1216"/>
        <w:gridCol w:w="1133"/>
        <w:gridCol w:w="2201"/>
        <w:gridCol w:w="1786"/>
        <w:gridCol w:w="1271"/>
      </w:tblGrid>
      <w:tr w14:paraId="157CA1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7" w:hRule="atLeast"/>
        </w:trPr>
        <w:tc>
          <w:tcPr>
            <w:tcW w:w="431" w:type="pct"/>
            <w:tcBorders>
              <w:tl2br w:val="nil"/>
              <w:tr2bl w:val="nil"/>
            </w:tcBorders>
            <w:vAlign w:val="center"/>
          </w:tcPr>
          <w:p w14:paraId="12F92CF2">
            <w:pPr>
              <w:kinsoku w:val="0"/>
              <w:autoSpaceDE w:val="0"/>
              <w:autoSpaceDN w:val="0"/>
              <w:adjustRightInd w:val="0"/>
              <w:snapToGrid w:val="0"/>
              <w:spacing w:before="56" w:line="228"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rFonts w:ascii="宋体" w:hAnsi="宋体" w:eastAsia="宋体" w:cs="宋体"/>
                <w:b/>
                <w:bCs/>
                <w:snapToGrid w:val="0"/>
                <w:color w:val="auto"/>
                <w:spacing w:val="3"/>
                <w:kern w:val="0"/>
                <w:sz w:val="21"/>
                <w:szCs w:val="21"/>
                <w:lang w:val="en-US" w:eastAsia="en-US" w:bidi="ar-SA"/>
              </w:rPr>
              <w:t>环境</w:t>
            </w:r>
          </w:p>
          <w:p w14:paraId="1DAAF25B">
            <w:pPr>
              <w:kinsoku w:val="0"/>
              <w:autoSpaceDE w:val="0"/>
              <w:autoSpaceDN w:val="0"/>
              <w:adjustRightInd w:val="0"/>
              <w:snapToGrid w:val="0"/>
              <w:spacing w:before="64" w:line="228"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rFonts w:ascii="宋体" w:hAnsi="宋体" w:eastAsia="宋体" w:cs="宋体"/>
                <w:b/>
                <w:bCs/>
                <w:snapToGrid w:val="0"/>
                <w:color w:val="auto"/>
                <w:spacing w:val="3"/>
                <w:kern w:val="0"/>
                <w:sz w:val="21"/>
                <w:szCs w:val="21"/>
                <w:lang w:val="en-US" w:eastAsia="en-US" w:bidi="ar-SA"/>
              </w:rPr>
              <w:t>要素</w:t>
            </w:r>
          </w:p>
        </w:tc>
        <w:tc>
          <w:tcPr>
            <w:tcW w:w="730" w:type="pct"/>
            <w:tcBorders>
              <w:tl2br w:val="nil"/>
              <w:tr2bl w:val="nil"/>
            </w:tcBorders>
            <w:vAlign w:val="center"/>
          </w:tcPr>
          <w:p w14:paraId="33F36C79">
            <w:pPr>
              <w:kinsoku w:val="0"/>
              <w:autoSpaceDE w:val="0"/>
              <w:autoSpaceDN w:val="0"/>
              <w:adjustRightInd w:val="0"/>
              <w:snapToGrid w:val="0"/>
              <w:spacing w:before="212" w:line="228"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rFonts w:ascii="宋体" w:hAnsi="宋体" w:eastAsia="宋体" w:cs="宋体"/>
                <w:b/>
                <w:bCs/>
                <w:snapToGrid w:val="0"/>
                <w:color w:val="auto"/>
                <w:spacing w:val="6"/>
                <w:kern w:val="0"/>
                <w:sz w:val="21"/>
                <w:szCs w:val="21"/>
                <w:lang w:val="en-US" w:eastAsia="en-US" w:bidi="ar-SA"/>
              </w:rPr>
              <w:t>主要指标</w:t>
            </w:r>
          </w:p>
        </w:tc>
        <w:tc>
          <w:tcPr>
            <w:tcW w:w="680" w:type="pct"/>
            <w:tcBorders>
              <w:tl2br w:val="nil"/>
              <w:tr2bl w:val="nil"/>
            </w:tcBorders>
            <w:vAlign w:val="center"/>
          </w:tcPr>
          <w:p w14:paraId="054563AE">
            <w:pPr>
              <w:kinsoku w:val="0"/>
              <w:autoSpaceDE w:val="0"/>
              <w:autoSpaceDN w:val="0"/>
              <w:adjustRightInd w:val="0"/>
              <w:snapToGrid w:val="0"/>
              <w:spacing w:before="212" w:line="228"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rFonts w:ascii="Times New Roman" w:hAnsi="Times New Roman" w:eastAsia="Times New Roman" w:cs="Times New Roman"/>
                <w:b/>
                <w:bCs/>
                <w:snapToGrid w:val="0"/>
                <w:color w:val="auto"/>
                <w:spacing w:val="1"/>
                <w:kern w:val="0"/>
                <w:sz w:val="21"/>
                <w:szCs w:val="21"/>
                <w:lang w:val="en-US" w:eastAsia="en-US" w:bidi="ar-SA"/>
              </w:rPr>
              <w:t>K</w:t>
            </w:r>
            <w:r>
              <w:rPr>
                <w:rFonts w:ascii="宋体" w:hAnsi="宋体" w:eastAsia="宋体" w:cs="宋体"/>
                <w:b/>
                <w:bCs/>
                <w:snapToGrid w:val="0"/>
                <w:color w:val="auto"/>
                <w:spacing w:val="1"/>
                <w:kern w:val="0"/>
                <w:sz w:val="21"/>
                <w:szCs w:val="21"/>
                <w:lang w:val="en-US" w:eastAsia="en-US" w:bidi="ar-SA"/>
              </w:rPr>
              <w:t>线</w:t>
            </w:r>
          </w:p>
        </w:tc>
        <w:tc>
          <w:tcPr>
            <w:tcW w:w="1321" w:type="pct"/>
            <w:tcBorders>
              <w:tl2br w:val="nil"/>
              <w:tr2bl w:val="nil"/>
            </w:tcBorders>
            <w:vAlign w:val="center"/>
          </w:tcPr>
          <w:p w14:paraId="0424CC81">
            <w:pPr>
              <w:kinsoku w:val="0"/>
              <w:autoSpaceDE w:val="0"/>
              <w:autoSpaceDN w:val="0"/>
              <w:adjustRightInd w:val="0"/>
              <w:snapToGrid w:val="0"/>
              <w:spacing w:before="212" w:line="228"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rFonts w:ascii="Times New Roman" w:hAnsi="Times New Roman" w:eastAsia="Times New Roman" w:cs="Times New Roman"/>
                <w:b/>
                <w:bCs/>
                <w:snapToGrid w:val="0"/>
                <w:color w:val="auto"/>
                <w:spacing w:val="1"/>
                <w:kern w:val="0"/>
                <w:sz w:val="21"/>
                <w:szCs w:val="21"/>
                <w:lang w:val="en-US" w:eastAsia="en-US" w:bidi="ar-SA"/>
              </w:rPr>
              <w:t>A</w:t>
            </w:r>
            <w:r>
              <w:rPr>
                <w:rFonts w:ascii="宋体" w:hAnsi="宋体" w:eastAsia="宋体" w:cs="宋体"/>
                <w:b/>
                <w:bCs/>
                <w:snapToGrid w:val="0"/>
                <w:color w:val="auto"/>
                <w:spacing w:val="1"/>
                <w:kern w:val="0"/>
                <w:sz w:val="21"/>
                <w:szCs w:val="21"/>
                <w:lang w:val="en-US" w:eastAsia="en-US" w:bidi="ar-SA"/>
              </w:rPr>
              <w:t>线</w:t>
            </w:r>
          </w:p>
        </w:tc>
        <w:tc>
          <w:tcPr>
            <w:tcW w:w="1072" w:type="pct"/>
            <w:tcBorders>
              <w:tl2br w:val="nil"/>
              <w:tr2bl w:val="nil"/>
            </w:tcBorders>
            <w:vAlign w:val="center"/>
          </w:tcPr>
          <w:p w14:paraId="477DAE83">
            <w:pPr>
              <w:kinsoku w:val="0"/>
              <w:autoSpaceDE w:val="0"/>
              <w:autoSpaceDN w:val="0"/>
              <w:adjustRightInd w:val="0"/>
              <w:snapToGrid w:val="0"/>
              <w:spacing w:before="212" w:line="228"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rFonts w:hint="eastAsia" w:ascii="Times New Roman" w:hAnsi="Times New Roman" w:eastAsia="宋体" w:cs="Times New Roman"/>
                <w:b/>
                <w:bCs/>
                <w:snapToGrid w:val="0"/>
                <w:color w:val="auto"/>
                <w:spacing w:val="-1"/>
                <w:kern w:val="0"/>
                <w:sz w:val="21"/>
                <w:szCs w:val="21"/>
                <w:lang w:val="en-US" w:eastAsia="zh-CN" w:bidi="ar-SA"/>
              </w:rPr>
              <w:t>B</w:t>
            </w:r>
            <w:r>
              <w:rPr>
                <w:rFonts w:ascii="宋体" w:hAnsi="宋体" w:eastAsia="宋体" w:cs="宋体"/>
                <w:b/>
                <w:bCs/>
                <w:snapToGrid w:val="0"/>
                <w:color w:val="auto"/>
                <w:spacing w:val="-1"/>
                <w:kern w:val="0"/>
                <w:sz w:val="21"/>
                <w:szCs w:val="21"/>
                <w:lang w:val="en-US" w:eastAsia="en-US" w:bidi="ar-SA"/>
              </w:rPr>
              <w:t>线</w:t>
            </w:r>
          </w:p>
        </w:tc>
        <w:tc>
          <w:tcPr>
            <w:tcW w:w="763" w:type="pct"/>
            <w:tcBorders>
              <w:tl2br w:val="nil"/>
              <w:tr2bl w:val="nil"/>
            </w:tcBorders>
            <w:vAlign w:val="center"/>
          </w:tcPr>
          <w:p w14:paraId="5DA8CC10">
            <w:pPr>
              <w:kinsoku w:val="0"/>
              <w:autoSpaceDE w:val="0"/>
              <w:autoSpaceDN w:val="0"/>
              <w:adjustRightInd w:val="0"/>
              <w:snapToGrid w:val="0"/>
              <w:spacing w:before="212" w:line="228"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rFonts w:ascii="宋体" w:hAnsi="宋体" w:eastAsia="宋体" w:cs="宋体"/>
                <w:b/>
                <w:bCs/>
                <w:snapToGrid w:val="0"/>
                <w:color w:val="auto"/>
                <w:kern w:val="0"/>
                <w:sz w:val="21"/>
                <w:szCs w:val="21"/>
                <w:lang w:val="en-US" w:eastAsia="en-US" w:bidi="ar-SA"/>
              </w:rPr>
              <w:t>比较结果</w:t>
            </w:r>
          </w:p>
        </w:tc>
      </w:tr>
      <w:tr w14:paraId="1418C6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0" w:hRule="atLeast"/>
        </w:trPr>
        <w:tc>
          <w:tcPr>
            <w:tcW w:w="431" w:type="pct"/>
            <w:vMerge w:val="restart"/>
            <w:tcBorders>
              <w:tl2br w:val="nil"/>
              <w:tr2bl w:val="nil"/>
            </w:tcBorders>
            <w:vAlign w:val="center"/>
          </w:tcPr>
          <w:p w14:paraId="5274B4AF">
            <w:pPr>
              <w:kinsoku w:val="0"/>
              <w:autoSpaceDE w:val="0"/>
              <w:autoSpaceDN w:val="0"/>
              <w:adjustRightInd w:val="0"/>
              <w:snapToGrid w:val="0"/>
              <w:spacing w:before="65" w:line="29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rFonts w:ascii="宋体" w:hAnsi="宋体" w:eastAsia="宋体" w:cs="宋体"/>
                <w:snapToGrid w:val="0"/>
                <w:color w:val="auto"/>
                <w:spacing w:val="3"/>
                <w:kern w:val="0"/>
                <w:sz w:val="21"/>
                <w:szCs w:val="21"/>
                <w:lang w:val="en-US" w:eastAsia="en-US" w:bidi="ar-SA"/>
              </w:rPr>
              <w:t>生态</w:t>
            </w:r>
            <w:r>
              <w:rPr>
                <w:rFonts w:ascii="宋体" w:hAnsi="宋体" w:eastAsia="宋体" w:cs="宋体"/>
                <w:snapToGrid w:val="0"/>
                <w:color w:val="auto"/>
                <w:spacing w:val="4"/>
                <w:kern w:val="0"/>
                <w:sz w:val="21"/>
                <w:szCs w:val="21"/>
                <w:lang w:val="en-US" w:eastAsia="en-US" w:bidi="ar-SA"/>
              </w:rPr>
              <w:t>环境</w:t>
            </w:r>
          </w:p>
        </w:tc>
        <w:tc>
          <w:tcPr>
            <w:tcW w:w="730" w:type="pct"/>
            <w:tcBorders>
              <w:tl2br w:val="nil"/>
              <w:tr2bl w:val="nil"/>
            </w:tcBorders>
            <w:vAlign w:val="center"/>
          </w:tcPr>
          <w:p w14:paraId="0A35DD64">
            <w:pPr>
              <w:kinsoku w:val="0"/>
              <w:autoSpaceDE w:val="0"/>
              <w:autoSpaceDN w:val="0"/>
              <w:adjustRightInd w:val="0"/>
              <w:snapToGrid w:val="0"/>
              <w:spacing w:before="227" w:line="227"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rFonts w:ascii="宋体" w:hAnsi="宋体" w:eastAsia="宋体" w:cs="宋体"/>
                <w:snapToGrid w:val="0"/>
                <w:color w:val="auto"/>
                <w:spacing w:val="7"/>
                <w:kern w:val="0"/>
                <w:sz w:val="21"/>
                <w:szCs w:val="21"/>
                <w:lang w:val="en-US" w:eastAsia="en-US" w:bidi="ar-SA"/>
              </w:rPr>
              <w:t>基本农田</w:t>
            </w:r>
          </w:p>
        </w:tc>
        <w:tc>
          <w:tcPr>
            <w:tcW w:w="680" w:type="pct"/>
            <w:tcBorders>
              <w:tl2br w:val="nil"/>
              <w:tr2bl w:val="nil"/>
            </w:tcBorders>
            <w:vAlign w:val="center"/>
          </w:tcPr>
          <w:p w14:paraId="4763084E">
            <w:pPr>
              <w:kinsoku w:val="0"/>
              <w:autoSpaceDE w:val="0"/>
              <w:autoSpaceDN w:val="0"/>
              <w:adjustRightInd w:val="0"/>
              <w:snapToGrid w:val="0"/>
              <w:spacing w:before="227" w:line="229"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rFonts w:ascii="宋体" w:hAnsi="宋体" w:eastAsia="宋体" w:cs="宋体"/>
                <w:snapToGrid w:val="0"/>
                <w:color w:val="auto"/>
                <w:spacing w:val="5"/>
                <w:kern w:val="0"/>
                <w:sz w:val="21"/>
                <w:szCs w:val="21"/>
                <w:lang w:val="en-US" w:eastAsia="en-US" w:bidi="ar-SA"/>
              </w:rPr>
              <w:t>不占用</w:t>
            </w:r>
          </w:p>
        </w:tc>
        <w:tc>
          <w:tcPr>
            <w:tcW w:w="1321" w:type="pct"/>
            <w:tcBorders>
              <w:tl2br w:val="nil"/>
              <w:tr2bl w:val="nil"/>
            </w:tcBorders>
            <w:vAlign w:val="center"/>
          </w:tcPr>
          <w:p w14:paraId="68FE01C7">
            <w:pPr>
              <w:kinsoku w:val="0"/>
              <w:autoSpaceDE w:val="0"/>
              <w:autoSpaceDN w:val="0"/>
              <w:adjustRightInd w:val="0"/>
              <w:snapToGrid w:val="0"/>
              <w:spacing w:before="227" w:line="229"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不占用</w:t>
            </w:r>
          </w:p>
        </w:tc>
        <w:tc>
          <w:tcPr>
            <w:tcW w:w="1072" w:type="pct"/>
            <w:tcBorders>
              <w:tl2br w:val="nil"/>
              <w:tr2bl w:val="nil"/>
            </w:tcBorders>
            <w:vAlign w:val="center"/>
          </w:tcPr>
          <w:p w14:paraId="6241BA3C">
            <w:pPr>
              <w:kinsoku w:val="0"/>
              <w:autoSpaceDE w:val="0"/>
              <w:autoSpaceDN w:val="0"/>
              <w:adjustRightInd w:val="0"/>
              <w:snapToGrid w:val="0"/>
              <w:spacing w:before="227" w:line="229"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不占用</w:t>
            </w:r>
          </w:p>
        </w:tc>
        <w:tc>
          <w:tcPr>
            <w:tcW w:w="763" w:type="pct"/>
            <w:tcBorders>
              <w:tl2br w:val="nil"/>
              <w:tr2bl w:val="nil"/>
            </w:tcBorders>
            <w:vAlign w:val="center"/>
          </w:tcPr>
          <w:p w14:paraId="5F906BB0">
            <w:pPr>
              <w:kinsoku w:val="0"/>
              <w:autoSpaceDE w:val="0"/>
              <w:autoSpaceDN w:val="0"/>
              <w:adjustRightInd w:val="0"/>
              <w:snapToGrid w:val="0"/>
              <w:spacing w:before="227" w:line="228" w:lineRule="auto"/>
              <w:ind w:left="0" w:leftChars="0" w:right="0" w:rightChars="0" w:firstLine="0" w:firstLineChars="0"/>
              <w:jc w:val="center"/>
              <w:textAlignment w:val="baseline"/>
              <w:rPr>
                <w:rFonts w:hint="eastAsia" w:ascii="宋体" w:hAnsi="宋体" w:eastAsia="宋体" w:cs="宋体"/>
                <w:snapToGrid w:val="0"/>
                <w:color w:val="auto"/>
                <w:kern w:val="0"/>
                <w:sz w:val="21"/>
                <w:szCs w:val="21"/>
                <w:lang w:val="en-US" w:eastAsia="zh-CN" w:bidi="ar-SA"/>
              </w:rPr>
            </w:pPr>
            <w:r>
              <w:rPr>
                <w:rFonts w:hint="eastAsia" w:ascii="Times New Roman" w:hAnsi="Times New Roman" w:eastAsia="宋体" w:cs="Times New Roman"/>
                <w:snapToGrid w:val="0"/>
                <w:color w:val="auto"/>
                <w:spacing w:val="6"/>
                <w:kern w:val="0"/>
                <w:sz w:val="21"/>
                <w:szCs w:val="21"/>
                <w:lang w:val="en-US" w:eastAsia="zh-CN" w:bidi="ar-SA"/>
              </w:rPr>
              <w:t>/</w:t>
            </w:r>
          </w:p>
        </w:tc>
      </w:tr>
      <w:tr w14:paraId="36C998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9" w:hRule="atLeast"/>
        </w:trPr>
        <w:tc>
          <w:tcPr>
            <w:tcW w:w="431" w:type="pct"/>
            <w:vMerge w:val="continue"/>
            <w:tcBorders>
              <w:tl2br w:val="nil"/>
              <w:tr2bl w:val="nil"/>
            </w:tcBorders>
            <w:vAlign w:val="center"/>
          </w:tcPr>
          <w:p w14:paraId="044028F8">
            <w:pPr>
              <w:widowControl/>
              <w:kinsoku w:val="0"/>
              <w:autoSpaceDE w:val="0"/>
              <w:autoSpaceDN w:val="0"/>
              <w:spacing w:line="240" w:lineRule="auto"/>
              <w:ind w:left="0" w:leftChars="0" w:right="0" w:rightChars="0" w:firstLine="0" w:firstLineChars="0"/>
              <w:jc w:val="center"/>
              <w:textAlignment w:val="baseline"/>
              <w:rPr>
                <w:rFonts w:ascii="Arial" w:hAnsi="Arial" w:eastAsia="Arial" w:cs="Arial"/>
                <w:snapToGrid w:val="0"/>
                <w:color w:val="auto"/>
                <w:kern w:val="0"/>
                <w:sz w:val="21"/>
                <w:szCs w:val="21"/>
                <w:lang w:eastAsia="en-US"/>
              </w:rPr>
            </w:pPr>
          </w:p>
        </w:tc>
        <w:tc>
          <w:tcPr>
            <w:tcW w:w="730" w:type="pct"/>
            <w:tcBorders>
              <w:tl2br w:val="nil"/>
              <w:tr2bl w:val="nil"/>
            </w:tcBorders>
            <w:vAlign w:val="center"/>
          </w:tcPr>
          <w:p w14:paraId="0FA0ECC9">
            <w:pPr>
              <w:kinsoku w:val="0"/>
              <w:autoSpaceDE w:val="0"/>
              <w:autoSpaceDN w:val="0"/>
              <w:adjustRightInd w:val="0"/>
              <w:snapToGrid w:val="0"/>
              <w:spacing w:before="75" w:line="26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rFonts w:ascii="宋体" w:hAnsi="宋体" w:eastAsia="宋体" w:cs="宋体"/>
                <w:snapToGrid w:val="0"/>
                <w:color w:val="auto"/>
                <w:spacing w:val="2"/>
                <w:kern w:val="0"/>
                <w:sz w:val="21"/>
                <w:szCs w:val="21"/>
                <w:lang w:val="en-US" w:eastAsia="en-US" w:bidi="ar-SA"/>
              </w:rPr>
              <w:t>国家公益</w:t>
            </w:r>
            <w:r>
              <w:rPr>
                <w:rFonts w:ascii="宋体" w:hAnsi="宋体" w:eastAsia="宋体" w:cs="宋体"/>
                <w:snapToGrid w:val="0"/>
                <w:color w:val="auto"/>
                <w:kern w:val="0"/>
                <w:sz w:val="21"/>
                <w:szCs w:val="21"/>
                <w:lang w:val="en-US" w:eastAsia="en-US" w:bidi="ar-SA"/>
              </w:rPr>
              <w:t>林</w:t>
            </w:r>
          </w:p>
        </w:tc>
        <w:tc>
          <w:tcPr>
            <w:tcW w:w="680" w:type="pct"/>
            <w:tcBorders>
              <w:tl2br w:val="nil"/>
              <w:tr2bl w:val="nil"/>
            </w:tcBorders>
            <w:vAlign w:val="center"/>
          </w:tcPr>
          <w:p w14:paraId="70AB9EA9">
            <w:pPr>
              <w:kinsoku w:val="0"/>
              <w:autoSpaceDE w:val="0"/>
              <w:autoSpaceDN w:val="0"/>
              <w:adjustRightInd w:val="0"/>
              <w:snapToGrid w:val="0"/>
              <w:spacing w:before="232" w:line="229"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rFonts w:ascii="宋体" w:hAnsi="宋体" w:eastAsia="宋体" w:cs="宋体"/>
                <w:snapToGrid w:val="0"/>
                <w:color w:val="auto"/>
                <w:spacing w:val="5"/>
                <w:kern w:val="0"/>
                <w:sz w:val="21"/>
                <w:szCs w:val="21"/>
                <w:lang w:val="en-US" w:eastAsia="en-US" w:bidi="ar-SA"/>
              </w:rPr>
              <w:t>不占用</w:t>
            </w:r>
          </w:p>
        </w:tc>
        <w:tc>
          <w:tcPr>
            <w:tcW w:w="1321" w:type="pct"/>
            <w:tcBorders>
              <w:tl2br w:val="nil"/>
              <w:tr2bl w:val="nil"/>
            </w:tcBorders>
            <w:vAlign w:val="center"/>
          </w:tcPr>
          <w:p w14:paraId="366891BE">
            <w:pPr>
              <w:kinsoku w:val="0"/>
              <w:autoSpaceDE w:val="0"/>
              <w:autoSpaceDN w:val="0"/>
              <w:adjustRightInd w:val="0"/>
              <w:snapToGrid w:val="0"/>
              <w:spacing w:before="232" w:line="229"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占用</w:t>
            </w:r>
          </w:p>
        </w:tc>
        <w:tc>
          <w:tcPr>
            <w:tcW w:w="1072" w:type="pct"/>
            <w:tcBorders>
              <w:tl2br w:val="nil"/>
              <w:tr2bl w:val="nil"/>
            </w:tcBorders>
            <w:vAlign w:val="center"/>
          </w:tcPr>
          <w:p w14:paraId="0C304668">
            <w:pPr>
              <w:kinsoku w:val="0"/>
              <w:autoSpaceDE w:val="0"/>
              <w:autoSpaceDN w:val="0"/>
              <w:adjustRightInd w:val="0"/>
              <w:snapToGrid w:val="0"/>
              <w:spacing w:before="232" w:line="229" w:lineRule="auto"/>
              <w:ind w:left="0" w:leftChars="0" w:right="0" w:rightChars="0" w:firstLine="0" w:firstLineChars="0"/>
              <w:jc w:val="center"/>
              <w:textAlignment w:val="baseline"/>
              <w:rPr>
                <w:rFonts w:hint="eastAsia" w:ascii="宋体" w:hAnsi="宋体" w:eastAsia="宋体" w:cs="宋体"/>
                <w:snapToGrid w:val="0"/>
                <w:color w:val="auto"/>
                <w:kern w:val="0"/>
                <w:sz w:val="21"/>
                <w:szCs w:val="21"/>
                <w:lang w:val="en-US" w:eastAsia="zh-CN" w:bidi="ar-SA"/>
              </w:rPr>
            </w:pPr>
            <w:r>
              <w:rPr>
                <w:rFonts w:hint="eastAsia" w:ascii="宋体" w:hAnsi="宋体" w:eastAsia="宋体" w:cs="宋体"/>
                <w:snapToGrid w:val="0"/>
                <w:color w:val="auto"/>
                <w:kern w:val="0"/>
                <w:sz w:val="21"/>
                <w:szCs w:val="21"/>
                <w:lang w:val="en-US" w:eastAsia="zh-CN" w:bidi="ar-SA"/>
              </w:rPr>
              <w:t>不占用</w:t>
            </w:r>
          </w:p>
        </w:tc>
        <w:tc>
          <w:tcPr>
            <w:tcW w:w="763" w:type="pct"/>
            <w:tcBorders>
              <w:tl2br w:val="nil"/>
              <w:tr2bl w:val="nil"/>
            </w:tcBorders>
            <w:vAlign w:val="center"/>
          </w:tcPr>
          <w:p w14:paraId="67B1233F">
            <w:pPr>
              <w:kinsoku w:val="0"/>
              <w:autoSpaceDE w:val="0"/>
              <w:autoSpaceDN w:val="0"/>
              <w:adjustRightInd w:val="0"/>
              <w:snapToGrid w:val="0"/>
              <w:spacing w:before="75" w:line="26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rFonts w:ascii="Times New Roman" w:hAnsi="Times New Roman" w:eastAsia="Times New Roman" w:cs="Times New Roman"/>
                <w:snapToGrid w:val="0"/>
                <w:color w:val="auto"/>
                <w:spacing w:val="-1"/>
                <w:kern w:val="0"/>
                <w:sz w:val="21"/>
                <w:szCs w:val="21"/>
                <w:lang w:val="en-US" w:eastAsia="en-US" w:bidi="ar-SA"/>
              </w:rPr>
              <w:t>K</w:t>
            </w:r>
            <w:r>
              <w:rPr>
                <w:rFonts w:ascii="宋体" w:hAnsi="宋体" w:eastAsia="宋体" w:cs="宋体"/>
                <w:snapToGrid w:val="0"/>
                <w:color w:val="auto"/>
                <w:spacing w:val="-1"/>
                <w:kern w:val="0"/>
                <w:sz w:val="21"/>
                <w:szCs w:val="21"/>
                <w:lang w:val="en-US" w:eastAsia="en-US" w:bidi="ar-SA"/>
              </w:rPr>
              <w:t>线、</w:t>
            </w:r>
            <w:r>
              <w:rPr>
                <w:rFonts w:hint="eastAsia" w:ascii="Times New Roman" w:hAnsi="Times New Roman" w:eastAsia="宋体" w:cs="Times New Roman"/>
                <w:snapToGrid w:val="0"/>
                <w:color w:val="auto"/>
                <w:spacing w:val="-1"/>
                <w:kern w:val="0"/>
                <w:sz w:val="21"/>
                <w:szCs w:val="21"/>
                <w:lang w:val="en-US" w:eastAsia="zh-CN" w:bidi="ar-SA"/>
              </w:rPr>
              <w:t>B</w:t>
            </w:r>
            <w:r>
              <w:rPr>
                <w:rFonts w:ascii="宋体" w:hAnsi="宋体" w:eastAsia="宋体" w:cs="宋体"/>
                <w:snapToGrid w:val="0"/>
                <w:color w:val="auto"/>
                <w:spacing w:val="-1"/>
                <w:kern w:val="0"/>
                <w:sz w:val="21"/>
                <w:szCs w:val="21"/>
                <w:lang w:val="en-US" w:eastAsia="en-US" w:bidi="ar-SA"/>
              </w:rPr>
              <w:t>线</w:t>
            </w:r>
            <w:r>
              <w:rPr>
                <w:rFonts w:ascii="宋体" w:hAnsi="宋体" w:eastAsia="宋体" w:cs="宋体"/>
                <w:snapToGrid w:val="0"/>
                <w:color w:val="auto"/>
                <w:spacing w:val="6"/>
                <w:kern w:val="0"/>
                <w:sz w:val="21"/>
                <w:szCs w:val="21"/>
                <w:lang w:val="en-US" w:eastAsia="en-US" w:bidi="ar-SA"/>
              </w:rPr>
              <w:t>方案优</w:t>
            </w:r>
          </w:p>
        </w:tc>
      </w:tr>
      <w:tr w14:paraId="1079F7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9" w:hRule="atLeast"/>
        </w:trPr>
        <w:tc>
          <w:tcPr>
            <w:tcW w:w="431" w:type="pct"/>
            <w:vMerge w:val="continue"/>
            <w:tcBorders>
              <w:tl2br w:val="nil"/>
              <w:tr2bl w:val="nil"/>
            </w:tcBorders>
            <w:vAlign w:val="center"/>
          </w:tcPr>
          <w:p w14:paraId="6E688B15">
            <w:pPr>
              <w:widowControl/>
              <w:kinsoku w:val="0"/>
              <w:autoSpaceDE w:val="0"/>
              <w:autoSpaceDN w:val="0"/>
              <w:spacing w:line="240" w:lineRule="auto"/>
              <w:ind w:left="0" w:leftChars="0" w:right="0" w:rightChars="0" w:firstLine="0" w:firstLineChars="0"/>
              <w:jc w:val="center"/>
              <w:textAlignment w:val="baseline"/>
              <w:rPr>
                <w:rFonts w:ascii="Arial" w:hAnsi="Arial" w:eastAsia="Arial" w:cs="Arial"/>
                <w:snapToGrid w:val="0"/>
                <w:color w:val="auto"/>
                <w:kern w:val="0"/>
                <w:sz w:val="21"/>
                <w:szCs w:val="21"/>
                <w:lang w:eastAsia="en-US"/>
              </w:rPr>
            </w:pPr>
          </w:p>
        </w:tc>
        <w:tc>
          <w:tcPr>
            <w:tcW w:w="730" w:type="pct"/>
            <w:tcBorders>
              <w:tl2br w:val="nil"/>
              <w:tr2bl w:val="nil"/>
            </w:tcBorders>
            <w:vAlign w:val="center"/>
          </w:tcPr>
          <w:p w14:paraId="5E0B26DB">
            <w:pPr>
              <w:kinsoku w:val="0"/>
              <w:autoSpaceDE w:val="0"/>
              <w:autoSpaceDN w:val="0"/>
              <w:adjustRightInd w:val="0"/>
              <w:snapToGrid w:val="0"/>
              <w:spacing w:before="75" w:line="260" w:lineRule="auto"/>
              <w:ind w:left="0" w:leftChars="0" w:right="0" w:rightChars="0" w:firstLine="0" w:firstLineChars="0"/>
              <w:jc w:val="center"/>
              <w:textAlignment w:val="baseline"/>
              <w:rPr>
                <w:rFonts w:hint="default" w:ascii="宋体" w:hAnsi="宋体" w:eastAsia="宋体" w:cs="宋体"/>
                <w:snapToGrid w:val="0"/>
                <w:color w:val="auto"/>
                <w:spacing w:val="2"/>
                <w:kern w:val="0"/>
                <w:sz w:val="21"/>
                <w:szCs w:val="21"/>
                <w:lang w:val="en-US" w:eastAsia="zh-CN" w:bidi="ar-SA"/>
              </w:rPr>
            </w:pPr>
            <w:r>
              <w:rPr>
                <w:rFonts w:hint="eastAsia" w:ascii="宋体" w:hAnsi="宋体" w:cs="宋体"/>
                <w:snapToGrid w:val="0"/>
                <w:color w:val="auto"/>
                <w:spacing w:val="2"/>
                <w:kern w:val="0"/>
                <w:sz w:val="21"/>
                <w:szCs w:val="21"/>
                <w:lang w:val="en-US" w:eastAsia="zh-CN" w:bidi="ar-SA"/>
              </w:rPr>
              <w:t>水土流失影响</w:t>
            </w:r>
          </w:p>
        </w:tc>
        <w:tc>
          <w:tcPr>
            <w:tcW w:w="680" w:type="pct"/>
            <w:tcBorders>
              <w:tl2br w:val="nil"/>
              <w:tr2bl w:val="nil"/>
            </w:tcBorders>
            <w:vAlign w:val="center"/>
          </w:tcPr>
          <w:p w14:paraId="64DC1DB6">
            <w:pPr>
              <w:kinsoku w:val="0"/>
              <w:autoSpaceDE w:val="0"/>
              <w:autoSpaceDN w:val="0"/>
              <w:adjustRightInd w:val="0"/>
              <w:snapToGrid w:val="0"/>
              <w:spacing w:before="232" w:line="229" w:lineRule="auto"/>
              <w:ind w:left="0" w:leftChars="0" w:right="0" w:rightChars="0" w:firstLine="0" w:firstLineChars="0"/>
              <w:jc w:val="center"/>
              <w:textAlignment w:val="baseline"/>
              <w:rPr>
                <w:rFonts w:hint="default" w:ascii="宋体" w:hAnsi="宋体" w:eastAsia="宋体" w:cs="宋体"/>
                <w:snapToGrid w:val="0"/>
                <w:color w:val="auto"/>
                <w:spacing w:val="5"/>
                <w:kern w:val="0"/>
                <w:sz w:val="21"/>
                <w:szCs w:val="21"/>
                <w:lang w:val="en-US" w:eastAsia="zh-CN" w:bidi="ar-SA"/>
              </w:rPr>
            </w:pPr>
            <w:r>
              <w:rPr>
                <w:rFonts w:hint="eastAsia" w:ascii="宋体" w:hAnsi="宋体" w:cs="宋体"/>
                <w:snapToGrid w:val="0"/>
                <w:color w:val="auto"/>
                <w:spacing w:val="5"/>
                <w:kern w:val="0"/>
                <w:sz w:val="21"/>
                <w:szCs w:val="21"/>
                <w:lang w:val="en-US" w:eastAsia="zh-CN" w:bidi="ar-SA"/>
              </w:rPr>
              <w:t>土石方量少，水土流失影响较小</w:t>
            </w:r>
          </w:p>
        </w:tc>
        <w:tc>
          <w:tcPr>
            <w:tcW w:w="1321" w:type="pct"/>
            <w:tcBorders>
              <w:tl2br w:val="nil"/>
              <w:tr2bl w:val="nil"/>
            </w:tcBorders>
            <w:vAlign w:val="center"/>
          </w:tcPr>
          <w:p w14:paraId="723974F1">
            <w:pPr>
              <w:kinsoku w:val="0"/>
              <w:autoSpaceDE w:val="0"/>
              <w:autoSpaceDN w:val="0"/>
              <w:adjustRightInd w:val="0"/>
              <w:snapToGrid w:val="0"/>
              <w:spacing w:before="232" w:line="229"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cs="Times New Roman"/>
                <w:snapToGrid w:val="0"/>
                <w:color w:val="auto"/>
                <w:kern w:val="0"/>
                <w:sz w:val="21"/>
                <w:szCs w:val="21"/>
                <w:lang w:val="en-US" w:eastAsia="zh-CN" w:bidi="ar-SA"/>
              </w:rPr>
              <w:t>隧道最长、弃方量最大</w:t>
            </w:r>
          </w:p>
        </w:tc>
        <w:tc>
          <w:tcPr>
            <w:tcW w:w="1072" w:type="pct"/>
            <w:tcBorders>
              <w:tl2br w:val="nil"/>
              <w:tr2bl w:val="nil"/>
            </w:tcBorders>
            <w:vAlign w:val="center"/>
          </w:tcPr>
          <w:p w14:paraId="087E70D4">
            <w:pPr>
              <w:kinsoku w:val="0"/>
              <w:autoSpaceDE w:val="0"/>
              <w:autoSpaceDN w:val="0"/>
              <w:adjustRightInd w:val="0"/>
              <w:snapToGrid w:val="0"/>
              <w:spacing w:before="232" w:line="229" w:lineRule="auto"/>
              <w:ind w:left="0" w:leftChars="0" w:right="0" w:rightChars="0" w:firstLine="0" w:firstLineChars="0"/>
              <w:jc w:val="center"/>
              <w:textAlignment w:val="baseline"/>
              <w:rPr>
                <w:rFonts w:hint="eastAsia" w:ascii="宋体" w:hAnsi="宋体" w:eastAsia="宋体" w:cs="宋体"/>
                <w:snapToGrid w:val="0"/>
                <w:color w:val="auto"/>
                <w:kern w:val="0"/>
                <w:sz w:val="21"/>
                <w:szCs w:val="21"/>
                <w:lang w:val="en-US" w:eastAsia="zh-CN" w:bidi="ar-SA"/>
              </w:rPr>
            </w:pPr>
            <w:r>
              <w:rPr>
                <w:rFonts w:hint="eastAsia" w:ascii="宋体" w:hAnsi="宋体" w:eastAsia="宋体" w:cs="宋体"/>
                <w:snapToGrid w:val="0"/>
                <w:color w:val="auto"/>
                <w:kern w:val="0"/>
                <w:sz w:val="21"/>
                <w:szCs w:val="21"/>
                <w:lang w:val="en-US" w:eastAsia="zh-CN" w:bidi="ar-SA"/>
              </w:rPr>
              <w:t>土石方量较多，水土流失影响较大</w:t>
            </w:r>
          </w:p>
        </w:tc>
        <w:tc>
          <w:tcPr>
            <w:tcW w:w="763" w:type="pct"/>
            <w:tcBorders>
              <w:tl2br w:val="nil"/>
              <w:tr2bl w:val="nil"/>
            </w:tcBorders>
            <w:vAlign w:val="center"/>
          </w:tcPr>
          <w:p w14:paraId="489301BB">
            <w:pPr>
              <w:kinsoku w:val="0"/>
              <w:autoSpaceDE w:val="0"/>
              <w:autoSpaceDN w:val="0"/>
              <w:adjustRightInd w:val="0"/>
              <w:snapToGrid w:val="0"/>
              <w:spacing w:before="75" w:line="26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1"/>
                <w:kern w:val="0"/>
                <w:sz w:val="21"/>
                <w:szCs w:val="21"/>
                <w:lang w:val="en-US" w:eastAsia="zh-CN" w:bidi="ar-SA"/>
              </w:rPr>
            </w:pPr>
            <w:r>
              <w:rPr>
                <w:rFonts w:ascii="Times New Roman" w:hAnsi="Times New Roman" w:eastAsia="Times New Roman" w:cs="Times New Roman"/>
                <w:snapToGrid w:val="0"/>
                <w:color w:val="auto"/>
                <w:spacing w:val="-1"/>
                <w:kern w:val="0"/>
                <w:sz w:val="21"/>
                <w:szCs w:val="21"/>
                <w:lang w:val="en-US" w:eastAsia="en-US" w:bidi="ar-SA"/>
              </w:rPr>
              <w:t>K</w:t>
            </w:r>
            <w:r>
              <w:rPr>
                <w:rFonts w:ascii="宋体" w:hAnsi="宋体" w:eastAsia="宋体" w:cs="宋体"/>
                <w:snapToGrid w:val="0"/>
                <w:color w:val="auto"/>
                <w:spacing w:val="-1"/>
                <w:kern w:val="0"/>
                <w:sz w:val="21"/>
                <w:szCs w:val="21"/>
                <w:lang w:val="en-US" w:eastAsia="en-US" w:bidi="ar-SA"/>
              </w:rPr>
              <w:t>线</w:t>
            </w:r>
            <w:r>
              <w:rPr>
                <w:rFonts w:hint="eastAsia" w:ascii="宋体" w:hAnsi="宋体" w:eastAsia="宋体" w:cs="宋体"/>
                <w:snapToGrid w:val="0"/>
                <w:color w:val="auto"/>
                <w:spacing w:val="-1"/>
                <w:kern w:val="0"/>
                <w:sz w:val="21"/>
                <w:szCs w:val="21"/>
                <w:lang w:val="en-US" w:eastAsia="zh-CN" w:bidi="ar-SA"/>
              </w:rPr>
              <w:t>方案优</w:t>
            </w:r>
          </w:p>
        </w:tc>
      </w:tr>
      <w:tr w14:paraId="2E3B90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5" w:hRule="atLeast"/>
        </w:trPr>
        <w:tc>
          <w:tcPr>
            <w:tcW w:w="431" w:type="pct"/>
            <w:tcBorders>
              <w:tl2br w:val="nil"/>
              <w:tr2bl w:val="nil"/>
            </w:tcBorders>
            <w:vAlign w:val="center"/>
          </w:tcPr>
          <w:p w14:paraId="5BC14825">
            <w:pPr>
              <w:kinsoku w:val="0"/>
              <w:autoSpaceDE w:val="0"/>
              <w:autoSpaceDN w:val="0"/>
              <w:adjustRightInd w:val="0"/>
              <w:snapToGrid w:val="0"/>
              <w:spacing w:before="71" w:line="228" w:lineRule="auto"/>
              <w:ind w:left="0" w:leftChars="0" w:right="0" w:rightChars="0" w:firstLine="0" w:firstLineChars="0"/>
              <w:jc w:val="center"/>
              <w:textAlignment w:val="baseline"/>
              <w:rPr>
                <w:rFonts w:hint="default" w:ascii="宋体" w:hAnsi="宋体" w:eastAsia="宋体" w:cs="宋体"/>
                <w:snapToGrid w:val="0"/>
                <w:color w:val="auto"/>
                <w:kern w:val="0"/>
                <w:sz w:val="21"/>
                <w:szCs w:val="21"/>
                <w:lang w:val="en-US" w:eastAsia="zh-CN" w:bidi="ar-SA"/>
              </w:rPr>
            </w:pPr>
            <w:r>
              <w:rPr>
                <w:rFonts w:ascii="宋体" w:hAnsi="宋体" w:eastAsia="宋体" w:cs="宋体"/>
                <w:snapToGrid w:val="0"/>
                <w:color w:val="auto"/>
                <w:spacing w:val="2"/>
                <w:kern w:val="0"/>
                <w:sz w:val="21"/>
                <w:szCs w:val="21"/>
                <w:lang w:val="en-US" w:eastAsia="en-US" w:bidi="ar-SA"/>
              </w:rPr>
              <w:t>声环</w:t>
            </w:r>
            <w:r>
              <w:rPr>
                <w:rFonts w:ascii="宋体" w:hAnsi="宋体" w:eastAsia="宋体" w:cs="宋体"/>
                <w:snapToGrid w:val="0"/>
                <w:color w:val="auto"/>
                <w:kern w:val="0"/>
                <w:sz w:val="21"/>
                <w:szCs w:val="21"/>
                <w:lang w:val="en-US" w:eastAsia="en-US" w:bidi="ar-SA"/>
              </w:rPr>
              <w:t>境、</w:t>
            </w:r>
            <w:r>
              <w:rPr>
                <w:rFonts w:hint="eastAsia" w:ascii="宋体" w:hAnsi="宋体" w:eastAsia="宋体" w:cs="宋体"/>
                <w:snapToGrid w:val="0"/>
                <w:color w:val="auto"/>
                <w:kern w:val="0"/>
                <w:sz w:val="21"/>
                <w:szCs w:val="21"/>
                <w:lang w:val="en-US" w:eastAsia="zh-CN" w:bidi="ar-SA"/>
              </w:rPr>
              <w:t>大气环境</w:t>
            </w:r>
          </w:p>
        </w:tc>
        <w:tc>
          <w:tcPr>
            <w:tcW w:w="730" w:type="pct"/>
            <w:tcBorders>
              <w:tl2br w:val="nil"/>
              <w:tr2bl w:val="nil"/>
            </w:tcBorders>
            <w:vAlign w:val="center"/>
          </w:tcPr>
          <w:p w14:paraId="11A7EA33">
            <w:pPr>
              <w:kinsoku w:val="0"/>
              <w:autoSpaceDE w:val="0"/>
              <w:autoSpaceDN w:val="0"/>
              <w:adjustRightInd w:val="0"/>
              <w:snapToGrid w:val="0"/>
              <w:spacing w:before="227" w:line="228"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rFonts w:ascii="宋体" w:hAnsi="宋体" w:eastAsia="宋体" w:cs="宋体"/>
                <w:snapToGrid w:val="0"/>
                <w:color w:val="auto"/>
                <w:spacing w:val="7"/>
                <w:kern w:val="0"/>
                <w:sz w:val="21"/>
                <w:szCs w:val="21"/>
                <w:lang w:val="en-US" w:eastAsia="en-US" w:bidi="ar-SA"/>
              </w:rPr>
              <w:t>保护目标</w:t>
            </w:r>
          </w:p>
        </w:tc>
        <w:tc>
          <w:tcPr>
            <w:tcW w:w="680" w:type="pct"/>
            <w:tcBorders>
              <w:tl2br w:val="nil"/>
              <w:tr2bl w:val="nil"/>
            </w:tcBorders>
            <w:vAlign w:val="center"/>
          </w:tcPr>
          <w:p w14:paraId="45FA3286">
            <w:pPr>
              <w:kinsoku w:val="0"/>
              <w:autoSpaceDE w:val="0"/>
              <w:autoSpaceDN w:val="0"/>
              <w:adjustRightInd w:val="0"/>
              <w:snapToGrid w:val="0"/>
              <w:spacing w:before="227" w:line="228"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rFonts w:ascii="宋体" w:hAnsi="宋体" w:eastAsia="宋体" w:cs="宋体"/>
                <w:snapToGrid w:val="0"/>
                <w:color w:val="auto"/>
                <w:kern w:val="0"/>
                <w:sz w:val="21"/>
                <w:szCs w:val="21"/>
                <w:lang w:val="en-US" w:eastAsia="en-US" w:bidi="ar-SA"/>
              </w:rPr>
              <w:t>无</w:t>
            </w:r>
          </w:p>
        </w:tc>
        <w:tc>
          <w:tcPr>
            <w:tcW w:w="1321" w:type="pct"/>
            <w:tcBorders>
              <w:tl2br w:val="nil"/>
              <w:tr2bl w:val="nil"/>
            </w:tcBorders>
            <w:vAlign w:val="center"/>
          </w:tcPr>
          <w:p w14:paraId="251B174A">
            <w:pPr>
              <w:kinsoku w:val="0"/>
              <w:autoSpaceDE w:val="0"/>
              <w:autoSpaceDN w:val="0"/>
              <w:adjustRightInd w:val="0"/>
              <w:snapToGrid w:val="0"/>
              <w:spacing w:before="71" w:line="260" w:lineRule="auto"/>
              <w:ind w:left="0" w:leftChars="0" w:right="0" w:rightChars="0" w:firstLine="0" w:firstLineChars="0"/>
              <w:jc w:val="center"/>
              <w:textAlignment w:val="baseline"/>
              <w:rPr>
                <w:rFonts w:hint="eastAsia" w:ascii="宋体" w:hAnsi="宋体" w:eastAsia="宋体" w:cs="宋体"/>
                <w:snapToGrid w:val="0"/>
                <w:color w:val="auto"/>
                <w:kern w:val="0"/>
                <w:sz w:val="21"/>
                <w:szCs w:val="21"/>
                <w:lang w:val="en-US" w:eastAsia="zh-CN" w:bidi="ar-SA"/>
              </w:rPr>
            </w:pPr>
            <w:r>
              <w:rPr>
                <w:rFonts w:hint="eastAsia" w:ascii="宋体" w:hAnsi="宋体" w:eastAsia="宋体" w:cs="宋体"/>
                <w:snapToGrid w:val="0"/>
                <w:color w:val="auto"/>
                <w:kern w:val="0"/>
                <w:sz w:val="21"/>
                <w:szCs w:val="21"/>
                <w:lang w:val="en-US" w:eastAsia="zh-CN" w:bidi="ar-SA"/>
              </w:rPr>
              <w:t>兰干村</w:t>
            </w:r>
          </w:p>
        </w:tc>
        <w:tc>
          <w:tcPr>
            <w:tcW w:w="1072" w:type="pct"/>
            <w:tcBorders>
              <w:tl2br w:val="nil"/>
              <w:tr2bl w:val="nil"/>
            </w:tcBorders>
            <w:vAlign w:val="center"/>
          </w:tcPr>
          <w:p w14:paraId="342D4FAD">
            <w:pPr>
              <w:kinsoku w:val="0"/>
              <w:autoSpaceDE w:val="0"/>
              <w:autoSpaceDN w:val="0"/>
              <w:adjustRightInd w:val="0"/>
              <w:snapToGrid w:val="0"/>
              <w:spacing w:before="71" w:line="260" w:lineRule="auto"/>
              <w:ind w:left="0" w:leftChars="0" w:right="0" w:rightChars="0" w:firstLine="0" w:firstLineChars="0"/>
              <w:jc w:val="center"/>
              <w:textAlignment w:val="baseline"/>
              <w:rPr>
                <w:rFonts w:hint="eastAsia" w:ascii="宋体" w:hAnsi="宋体" w:eastAsia="宋体" w:cs="宋体"/>
                <w:snapToGrid w:val="0"/>
                <w:color w:val="auto"/>
                <w:kern w:val="0"/>
                <w:sz w:val="21"/>
                <w:szCs w:val="21"/>
                <w:lang w:val="en-US" w:eastAsia="zh-CN" w:bidi="ar-SA"/>
              </w:rPr>
            </w:pPr>
            <w:r>
              <w:rPr>
                <w:rFonts w:hint="eastAsia" w:ascii="宋体" w:hAnsi="宋体" w:eastAsia="宋体" w:cs="宋体"/>
                <w:snapToGrid w:val="0"/>
                <w:color w:val="auto"/>
                <w:kern w:val="0"/>
                <w:sz w:val="21"/>
                <w:szCs w:val="21"/>
                <w:lang w:val="en-US" w:eastAsia="zh-CN" w:bidi="ar-SA"/>
              </w:rPr>
              <w:t>无</w:t>
            </w:r>
          </w:p>
        </w:tc>
        <w:tc>
          <w:tcPr>
            <w:tcW w:w="763" w:type="pct"/>
            <w:tcBorders>
              <w:tl2br w:val="nil"/>
              <w:tr2bl w:val="nil"/>
            </w:tcBorders>
            <w:vAlign w:val="center"/>
          </w:tcPr>
          <w:p w14:paraId="66241075">
            <w:pPr>
              <w:kinsoku w:val="0"/>
              <w:autoSpaceDE w:val="0"/>
              <w:autoSpaceDN w:val="0"/>
              <w:adjustRightInd w:val="0"/>
              <w:snapToGrid w:val="0"/>
              <w:spacing w:before="226" w:line="228"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rFonts w:hint="eastAsia" w:ascii="Times New Roman" w:hAnsi="Times New Roman" w:eastAsia="Times New Roman" w:cs="Times New Roman"/>
                <w:snapToGrid w:val="0"/>
                <w:color w:val="auto"/>
                <w:spacing w:val="6"/>
                <w:kern w:val="0"/>
                <w:sz w:val="21"/>
                <w:szCs w:val="21"/>
                <w:lang w:val="en-US" w:eastAsia="en-US" w:bidi="ar-SA"/>
              </w:rPr>
              <w:t>K线、B线方案优</w:t>
            </w:r>
          </w:p>
        </w:tc>
      </w:tr>
      <w:tr w14:paraId="15E4A7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5" w:hRule="atLeast"/>
        </w:trPr>
        <w:tc>
          <w:tcPr>
            <w:tcW w:w="431" w:type="pct"/>
            <w:tcBorders>
              <w:tl2br w:val="nil"/>
              <w:tr2bl w:val="nil"/>
            </w:tcBorders>
            <w:vAlign w:val="center"/>
          </w:tcPr>
          <w:p w14:paraId="4A52783F">
            <w:pPr>
              <w:kinsoku w:val="0"/>
              <w:autoSpaceDE w:val="0"/>
              <w:autoSpaceDN w:val="0"/>
              <w:adjustRightInd w:val="0"/>
              <w:snapToGrid w:val="0"/>
              <w:spacing w:before="71" w:line="228" w:lineRule="auto"/>
              <w:ind w:left="0" w:leftChars="0" w:right="0" w:rightChars="0" w:firstLine="0" w:firstLineChars="0"/>
              <w:jc w:val="center"/>
              <w:textAlignment w:val="baseline"/>
              <w:rPr>
                <w:rFonts w:hint="default" w:ascii="宋体" w:hAnsi="宋体" w:eastAsia="宋体" w:cs="宋体"/>
                <w:snapToGrid w:val="0"/>
                <w:color w:val="auto"/>
                <w:spacing w:val="2"/>
                <w:kern w:val="0"/>
                <w:sz w:val="21"/>
                <w:szCs w:val="21"/>
                <w:lang w:val="en-US" w:eastAsia="zh-CN" w:bidi="ar-SA"/>
              </w:rPr>
            </w:pPr>
            <w:r>
              <w:rPr>
                <w:rFonts w:hint="eastAsia" w:ascii="宋体" w:hAnsi="宋体" w:eastAsia="宋体" w:cs="宋体"/>
                <w:snapToGrid w:val="0"/>
                <w:color w:val="auto"/>
                <w:spacing w:val="2"/>
                <w:kern w:val="0"/>
                <w:sz w:val="21"/>
                <w:szCs w:val="21"/>
                <w:lang w:val="en-US" w:eastAsia="zh-CN" w:bidi="ar-SA"/>
              </w:rPr>
              <w:t>水环境</w:t>
            </w:r>
          </w:p>
        </w:tc>
        <w:tc>
          <w:tcPr>
            <w:tcW w:w="730" w:type="pct"/>
            <w:tcBorders>
              <w:tl2br w:val="nil"/>
              <w:tr2bl w:val="nil"/>
            </w:tcBorders>
            <w:vAlign w:val="center"/>
          </w:tcPr>
          <w:p w14:paraId="52B47FF3">
            <w:pPr>
              <w:kinsoku w:val="0"/>
              <w:autoSpaceDE w:val="0"/>
              <w:autoSpaceDN w:val="0"/>
              <w:adjustRightInd w:val="0"/>
              <w:snapToGrid w:val="0"/>
              <w:spacing w:before="227" w:line="228" w:lineRule="auto"/>
              <w:ind w:left="0" w:leftChars="0" w:right="0" w:rightChars="0" w:firstLine="0" w:firstLineChars="0"/>
              <w:jc w:val="center"/>
              <w:textAlignment w:val="baseline"/>
              <w:rPr>
                <w:rFonts w:hint="default" w:ascii="宋体" w:hAnsi="宋体" w:eastAsia="宋体" w:cs="宋体"/>
                <w:snapToGrid w:val="0"/>
                <w:color w:val="auto"/>
                <w:spacing w:val="7"/>
                <w:kern w:val="0"/>
                <w:sz w:val="21"/>
                <w:szCs w:val="21"/>
                <w:lang w:val="en-US" w:eastAsia="zh-CN" w:bidi="ar-SA"/>
              </w:rPr>
            </w:pPr>
            <w:r>
              <w:rPr>
                <w:rFonts w:hint="eastAsia" w:ascii="宋体" w:hAnsi="宋体" w:eastAsia="宋体" w:cs="宋体"/>
                <w:snapToGrid w:val="0"/>
                <w:color w:val="auto"/>
                <w:spacing w:val="7"/>
                <w:kern w:val="0"/>
                <w:sz w:val="21"/>
                <w:szCs w:val="21"/>
                <w:lang w:val="en-US" w:eastAsia="zh-CN" w:bidi="ar-SA"/>
              </w:rPr>
              <w:t>保护目标</w:t>
            </w:r>
          </w:p>
        </w:tc>
        <w:tc>
          <w:tcPr>
            <w:tcW w:w="680" w:type="pct"/>
            <w:tcBorders>
              <w:tl2br w:val="nil"/>
              <w:tr2bl w:val="nil"/>
            </w:tcBorders>
            <w:vAlign w:val="center"/>
          </w:tcPr>
          <w:p w14:paraId="7F59EA05">
            <w:pPr>
              <w:kinsoku w:val="0"/>
              <w:autoSpaceDE w:val="0"/>
              <w:autoSpaceDN w:val="0"/>
              <w:adjustRightInd w:val="0"/>
              <w:snapToGrid w:val="0"/>
              <w:spacing w:before="227" w:line="228" w:lineRule="auto"/>
              <w:ind w:left="0" w:leftChars="0" w:right="0" w:rightChars="0" w:firstLine="0" w:firstLineChars="0"/>
              <w:jc w:val="center"/>
              <w:textAlignment w:val="baseline"/>
              <w:rPr>
                <w:rFonts w:hint="default" w:ascii="宋体" w:hAnsi="宋体" w:eastAsia="宋体" w:cs="宋体"/>
                <w:snapToGrid w:val="0"/>
                <w:color w:val="auto"/>
                <w:kern w:val="0"/>
                <w:sz w:val="21"/>
                <w:szCs w:val="21"/>
                <w:lang w:val="en-US" w:eastAsia="zh-CN" w:bidi="ar-SA"/>
              </w:rPr>
            </w:pPr>
            <w:r>
              <w:rPr>
                <w:rFonts w:hint="eastAsia" w:ascii="宋体" w:hAnsi="宋体" w:eastAsia="宋体" w:cs="宋体"/>
                <w:snapToGrid w:val="0"/>
                <w:color w:val="auto"/>
                <w:kern w:val="0"/>
                <w:sz w:val="21"/>
                <w:szCs w:val="21"/>
                <w:lang w:val="en-US" w:eastAsia="zh-CN" w:bidi="ar-SA"/>
              </w:rPr>
              <w:t>无</w:t>
            </w:r>
          </w:p>
        </w:tc>
        <w:tc>
          <w:tcPr>
            <w:tcW w:w="1321" w:type="pct"/>
            <w:tcBorders>
              <w:tl2br w:val="nil"/>
              <w:tr2bl w:val="nil"/>
            </w:tcBorders>
            <w:vAlign w:val="center"/>
          </w:tcPr>
          <w:p w14:paraId="40A0F90D">
            <w:pPr>
              <w:kinsoku w:val="0"/>
              <w:autoSpaceDE w:val="0"/>
              <w:autoSpaceDN w:val="0"/>
              <w:adjustRightInd w:val="0"/>
              <w:snapToGrid w:val="0"/>
              <w:spacing w:before="71" w:line="260" w:lineRule="auto"/>
              <w:ind w:left="0" w:leftChars="0" w:right="0" w:rightChars="0" w:firstLine="0" w:firstLineChars="0"/>
              <w:jc w:val="center"/>
              <w:textAlignment w:val="baseline"/>
              <w:rPr>
                <w:rFonts w:hint="eastAsia" w:ascii="宋体" w:hAnsi="宋体" w:eastAsia="宋体" w:cs="宋体"/>
                <w:snapToGrid w:val="0"/>
                <w:color w:val="auto"/>
                <w:kern w:val="0"/>
                <w:sz w:val="21"/>
                <w:szCs w:val="21"/>
                <w:lang w:val="en-US" w:eastAsia="zh-CN" w:bidi="ar-SA"/>
              </w:rPr>
            </w:pPr>
            <w:r>
              <w:rPr>
                <w:rFonts w:hint="eastAsia" w:ascii="宋体" w:hAnsi="宋体" w:eastAsia="宋体" w:cs="宋体"/>
                <w:snapToGrid w:val="0"/>
                <w:color w:val="auto"/>
                <w:kern w:val="0"/>
                <w:sz w:val="21"/>
                <w:szCs w:val="21"/>
                <w:lang w:val="en-US" w:eastAsia="zh-CN" w:bidi="ar-SA"/>
              </w:rPr>
              <w:t>无</w:t>
            </w:r>
          </w:p>
        </w:tc>
        <w:tc>
          <w:tcPr>
            <w:tcW w:w="1072" w:type="pct"/>
            <w:tcBorders>
              <w:tl2br w:val="nil"/>
              <w:tr2bl w:val="nil"/>
            </w:tcBorders>
            <w:vAlign w:val="center"/>
          </w:tcPr>
          <w:p w14:paraId="110BDDC6">
            <w:pPr>
              <w:kinsoku w:val="0"/>
              <w:autoSpaceDE w:val="0"/>
              <w:autoSpaceDN w:val="0"/>
              <w:adjustRightInd w:val="0"/>
              <w:snapToGrid w:val="0"/>
              <w:spacing w:before="71" w:line="260" w:lineRule="auto"/>
              <w:ind w:left="0" w:leftChars="0" w:right="0" w:rightChars="0" w:firstLine="0" w:firstLineChars="0"/>
              <w:jc w:val="center"/>
              <w:textAlignment w:val="baseline"/>
              <w:rPr>
                <w:rFonts w:hint="eastAsia" w:ascii="宋体" w:hAnsi="宋体" w:eastAsia="宋体" w:cs="宋体"/>
                <w:snapToGrid w:val="0"/>
                <w:color w:val="auto"/>
                <w:kern w:val="0"/>
                <w:sz w:val="21"/>
                <w:szCs w:val="21"/>
                <w:lang w:val="en-US" w:eastAsia="zh-CN" w:bidi="ar-SA"/>
              </w:rPr>
            </w:pPr>
            <w:r>
              <w:rPr>
                <w:rFonts w:hint="eastAsia" w:ascii="宋体" w:hAnsi="宋体" w:eastAsia="宋体" w:cs="宋体"/>
                <w:snapToGrid w:val="0"/>
                <w:color w:val="auto"/>
                <w:kern w:val="0"/>
                <w:sz w:val="21"/>
                <w:szCs w:val="21"/>
                <w:lang w:val="en-US" w:eastAsia="zh-CN" w:bidi="ar-SA"/>
              </w:rPr>
              <w:t>无</w:t>
            </w:r>
          </w:p>
        </w:tc>
        <w:tc>
          <w:tcPr>
            <w:tcW w:w="763" w:type="pct"/>
            <w:tcBorders>
              <w:tl2br w:val="nil"/>
              <w:tr2bl w:val="nil"/>
            </w:tcBorders>
            <w:vAlign w:val="center"/>
          </w:tcPr>
          <w:p w14:paraId="07E9CF04">
            <w:pPr>
              <w:kinsoku w:val="0"/>
              <w:autoSpaceDE w:val="0"/>
              <w:autoSpaceDN w:val="0"/>
              <w:adjustRightInd w:val="0"/>
              <w:snapToGrid w:val="0"/>
              <w:spacing w:before="226" w:line="228" w:lineRule="auto"/>
              <w:ind w:left="0" w:leftChars="0" w:right="0" w:rightChars="0" w:firstLine="0" w:firstLineChars="0"/>
              <w:jc w:val="center"/>
              <w:textAlignment w:val="baseline"/>
              <w:rPr>
                <w:rFonts w:hint="eastAsia" w:ascii="Times New Roman" w:hAnsi="Times New Roman" w:eastAsia="宋体" w:cs="Times New Roman"/>
                <w:snapToGrid w:val="0"/>
                <w:color w:val="auto"/>
                <w:spacing w:val="6"/>
                <w:kern w:val="0"/>
                <w:sz w:val="21"/>
                <w:szCs w:val="21"/>
                <w:lang w:val="en-US" w:eastAsia="zh-CN" w:bidi="ar-SA"/>
              </w:rPr>
            </w:pPr>
            <w:r>
              <w:rPr>
                <w:rFonts w:hint="eastAsia" w:ascii="Times New Roman" w:hAnsi="Times New Roman" w:eastAsia="宋体" w:cs="Times New Roman"/>
                <w:snapToGrid w:val="0"/>
                <w:color w:val="auto"/>
                <w:spacing w:val="6"/>
                <w:kern w:val="0"/>
                <w:sz w:val="21"/>
                <w:szCs w:val="21"/>
                <w:lang w:val="en-US" w:eastAsia="zh-CN" w:bidi="ar-SA"/>
              </w:rPr>
              <w:t>/</w:t>
            </w:r>
          </w:p>
        </w:tc>
      </w:tr>
    </w:tbl>
    <w:p w14:paraId="7BA1F2B4">
      <w:pPr>
        <w:keepNext w:val="0"/>
        <w:keepLines w:val="0"/>
        <w:pageBreakBefore w:val="0"/>
        <w:widowControl/>
        <w:suppressLineNumbers w:val="0"/>
        <w:kinsoku/>
        <w:wordWrap/>
        <w:overflowPunct/>
        <w:topLinePunct w:val="0"/>
        <w:autoSpaceDE/>
        <w:autoSpaceDN/>
        <w:bidi w:val="0"/>
        <w:adjustRightInd w:val="0"/>
        <w:snapToGrid w:val="0"/>
        <w:spacing w:before="157" w:beforeLines="50"/>
        <w:jc w:val="both"/>
        <w:textAlignment w:val="auto"/>
        <w:rPr>
          <w:rFonts w:hint="default" w:ascii="Times New Roman" w:hAnsi="Times New Roman" w:cs="Times New Roman"/>
          <w:color w:val="auto"/>
        </w:rPr>
      </w:pPr>
      <w:r>
        <w:rPr>
          <w:rFonts w:hint="eastAsia" w:cs="Times New Roman"/>
          <w:color w:val="auto"/>
          <w:kern w:val="0"/>
          <w:sz w:val="24"/>
          <w:szCs w:val="24"/>
          <w:lang w:val="en-US" w:eastAsia="zh-CN" w:bidi="ar"/>
        </w:rPr>
        <w:t>从环境影响因素分析方案K与方案B均不占用国家公益林，对周边环境影响较小，由于方案B</w:t>
      </w:r>
      <w:r>
        <w:rPr>
          <w:rFonts w:hint="default" w:ascii="Times New Roman" w:hAnsi="Times New Roman" w:eastAsia="宋体" w:cs="Times New Roman"/>
          <w:color w:val="auto"/>
          <w:kern w:val="0"/>
          <w:sz w:val="24"/>
          <w:szCs w:val="24"/>
          <w:lang w:val="en-US" w:eastAsia="zh-CN" w:bidi="ar"/>
        </w:rPr>
        <w:t>考虑走廊带内兰干塔格山绝对高度100~130m左右，因此布设了增加展线距离，抬高路线，采用深挖方型式穿越的明线方案，在兰干山两侧段落路线与方案A一致，仅在兰干山段落较方案K增加展线长度爬坡，采用明挖方式穿越兰干塔格山</w:t>
      </w:r>
      <w:r>
        <w:rPr>
          <w:rFonts w:hint="eastAsia"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路线绕行里程长</w:t>
      </w:r>
      <w:r>
        <w:rPr>
          <w:rFonts w:hint="eastAsia" w:cs="Times New Roman"/>
          <w:color w:val="auto"/>
          <w:kern w:val="0"/>
          <w:sz w:val="24"/>
          <w:szCs w:val="24"/>
          <w:lang w:val="en-US" w:eastAsia="zh-CN" w:bidi="ar"/>
        </w:rPr>
        <w:t>，征地面积大，且高填深挖段落长，对山体大规模开挖造成环境的破坏最大。因此从环境影响角度推荐方案K即工可推荐方案。</w:t>
      </w:r>
    </w:p>
    <w:p w14:paraId="371558B9">
      <w:pPr>
        <w:pStyle w:val="3"/>
        <w:numPr>
          <w:ilvl w:val="1"/>
          <w:numId w:val="0"/>
        </w:numPr>
        <w:bidi w:val="0"/>
        <w:rPr>
          <w:rFonts w:hint="default" w:ascii="Times New Roman" w:hAnsi="Times New Roman" w:cs="Times New Roman"/>
          <w:color w:val="auto"/>
        </w:rPr>
      </w:pPr>
      <w:bookmarkStart w:id="816" w:name="_Toc27675"/>
      <w:bookmarkStart w:id="817" w:name="_Toc8365"/>
      <w:r>
        <w:rPr>
          <w:rFonts w:hint="default" w:ascii="Times New Roman" w:hAnsi="Times New Roman" w:cs="Times New Roman"/>
          <w:color w:val="auto"/>
          <w:lang w:val="en-US" w:eastAsia="zh-CN"/>
        </w:rPr>
        <w:t>3.2 工程概况</w:t>
      </w:r>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p>
    <w:p w14:paraId="34BCCC40">
      <w:pPr>
        <w:pStyle w:val="4"/>
        <w:bidi w:val="0"/>
        <w:rPr>
          <w:rFonts w:hint="default" w:ascii="Times New Roman" w:hAnsi="Times New Roman" w:cs="Times New Roman"/>
          <w:color w:val="auto"/>
          <w:szCs w:val="28"/>
          <w:lang w:val="en-US" w:eastAsia="zh-CN"/>
        </w:rPr>
      </w:pPr>
      <w:r>
        <w:rPr>
          <w:rFonts w:hint="default" w:ascii="Times New Roman" w:hAnsi="Times New Roman" w:cs="Times New Roman"/>
          <w:color w:val="auto"/>
          <w:lang w:val="en-US" w:eastAsia="zh-CN"/>
        </w:rPr>
        <w:t>3.2.1 项目基本情况</w:t>
      </w:r>
    </w:p>
    <w:p w14:paraId="3F9CEDE8">
      <w:pPr>
        <w:pageBreakBefore w:val="0"/>
        <w:widowControl/>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rPr>
        <w:t>项</w:t>
      </w:r>
      <w:r>
        <w:rPr>
          <w:rFonts w:hint="default" w:ascii="Times New Roman" w:hAnsi="Times New Roman" w:cs="Times New Roman"/>
          <w:color w:val="auto"/>
          <w:sz w:val="24"/>
          <w:szCs w:val="24"/>
          <w:lang w:eastAsia="zh-CN"/>
        </w:rPr>
        <w:t>目名称：</w:t>
      </w:r>
      <w:r>
        <w:rPr>
          <w:rFonts w:hint="default" w:ascii="Times New Roman" w:hAnsi="Times New Roman" w:cs="Times New Roman"/>
          <w:color w:val="auto"/>
          <w:sz w:val="24"/>
          <w:szCs w:val="24"/>
          <w:lang w:val="en-US" w:eastAsia="zh-CN"/>
        </w:rPr>
        <w:t>S227阿图什至喀什公路新建工程（隧道）</w:t>
      </w:r>
      <w:r>
        <w:rPr>
          <w:rFonts w:hint="default" w:ascii="Times New Roman" w:hAnsi="Times New Roman" w:cs="Times New Roman"/>
          <w:color w:val="auto"/>
          <w:sz w:val="24"/>
          <w:szCs w:val="24"/>
          <w:lang w:eastAsia="zh-CN"/>
        </w:rPr>
        <w:t>；</w:t>
      </w:r>
    </w:p>
    <w:p w14:paraId="70F1C339">
      <w:pPr>
        <w:pageBreakBefore w:val="0"/>
        <w:widowControl/>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eastAsia="zh-CN"/>
        </w:rPr>
        <w:t>建设性质：新建；</w:t>
      </w:r>
    </w:p>
    <w:p w14:paraId="6B308B86">
      <w:pPr>
        <w:keepNext w:val="0"/>
        <w:keepLines w:val="0"/>
        <w:widowControl/>
        <w:suppressLineNumbers w:val="0"/>
        <w:jc w:val="left"/>
        <w:rPr>
          <w:rFonts w:hint="default" w:ascii="Times New Roman" w:hAnsi="Times New Roman" w:eastAsia="宋体" w:cs="Times New Roman"/>
          <w:snapToGrid/>
          <w:color w:val="auto"/>
          <w:kern w:val="2"/>
          <w:sz w:val="24"/>
          <w:szCs w:val="24"/>
          <w:highlight w:val="none"/>
          <w:lang w:eastAsia="zh-CN"/>
        </w:rPr>
      </w:pPr>
      <w:r>
        <w:rPr>
          <w:rFonts w:hint="default" w:ascii="Times New Roman" w:hAnsi="Times New Roman" w:cs="Times New Roman"/>
          <w:color w:val="auto"/>
          <w:sz w:val="24"/>
          <w:szCs w:val="24"/>
          <w:lang w:val="en-US" w:eastAsia="zh-CN"/>
        </w:rPr>
        <w:t>建设地点：克孜勒苏柯尔克孜自治州阿图什市、喀什地区喀什市境内。</w:t>
      </w:r>
      <w:r>
        <w:rPr>
          <w:rFonts w:hint="default" w:ascii="Times New Roman" w:hAnsi="Times New Roman" w:eastAsia="宋体" w:cs="Times New Roman"/>
          <w:color w:val="auto"/>
          <w:kern w:val="0"/>
          <w:sz w:val="24"/>
          <w:szCs w:val="24"/>
          <w:lang w:val="en-US" w:eastAsia="zh-CN" w:bidi="ar"/>
        </w:rPr>
        <w:t>起点（</w:t>
      </w:r>
      <w:r>
        <w:rPr>
          <w:rFonts w:hint="default" w:ascii="Times New Roman" w:hAnsi="Times New Roman" w:cs="Times New Roman"/>
          <w:color w:val="auto"/>
          <w:kern w:val="0"/>
          <w:sz w:val="24"/>
          <w:szCs w:val="24"/>
          <w:lang w:val="en-US" w:eastAsia="zh-CN" w:bidi="ar"/>
        </w:rPr>
        <w:t>S227线</w:t>
      </w:r>
      <w:r>
        <w:rPr>
          <w:rFonts w:hint="default" w:ascii="Times New Roman" w:hAnsi="Times New Roman" w:eastAsia="宋体" w:cs="Times New Roman"/>
          <w:color w:val="auto"/>
          <w:kern w:val="0"/>
          <w:sz w:val="24"/>
          <w:szCs w:val="24"/>
          <w:lang w:val="en-US" w:eastAsia="zh-CN" w:bidi="ar"/>
        </w:rPr>
        <w:t>K5+546）坐标：E76°4′50.216″，N39°37′33.767″</w:t>
      </w:r>
      <w:r>
        <w:rPr>
          <w:rFonts w:hint="default" w:ascii="Times New Roman" w:hAnsi="Times New Roman" w:cs="Times New Roman"/>
          <w:color w:val="auto"/>
          <w:kern w:val="0"/>
          <w:sz w:val="24"/>
          <w:szCs w:val="24"/>
          <w:lang w:val="en-US" w:eastAsia="zh-CN" w:bidi="ar"/>
        </w:rPr>
        <w:t>；终点（S227线K10+930.654）：E76°4′11.052″，N38°35′4.535″</w:t>
      </w:r>
      <w:r>
        <w:rPr>
          <w:rFonts w:hint="default" w:ascii="Times New Roman" w:hAnsi="Times New Roman" w:cs="Times New Roman"/>
          <w:color w:val="auto"/>
          <w:kern w:val="0"/>
          <w:sz w:val="24"/>
          <w:szCs w:val="24"/>
          <w:highlight w:val="none"/>
          <w:lang w:val="en-US" w:eastAsia="zh-CN"/>
        </w:rPr>
        <w:t>。</w:t>
      </w:r>
      <w:r>
        <w:rPr>
          <w:rFonts w:hint="default" w:ascii="Times New Roman" w:hAnsi="Times New Roman" w:cs="Times New Roman"/>
          <w:color w:val="auto"/>
          <w:sz w:val="24"/>
          <w:szCs w:val="24"/>
          <w:lang w:val="en-US" w:eastAsia="zh-CN"/>
        </w:rPr>
        <w:t>地理位置图见图3.2-1</w:t>
      </w:r>
      <w:r>
        <w:rPr>
          <w:rFonts w:hint="default" w:ascii="Times New Roman" w:hAnsi="Times New Roman" w:eastAsia="宋体" w:cs="Times New Roman"/>
          <w:snapToGrid/>
          <w:color w:val="auto"/>
          <w:kern w:val="2"/>
          <w:sz w:val="24"/>
          <w:szCs w:val="24"/>
          <w:highlight w:val="none"/>
          <w:lang w:eastAsia="zh-CN"/>
        </w:rPr>
        <w:t>。</w:t>
      </w:r>
    </w:p>
    <w:p w14:paraId="44F21ACA">
      <w:pPr>
        <w:keepNext w:val="0"/>
        <w:keepLines w:val="0"/>
        <w:widowControl/>
        <w:suppressLineNumbers w:val="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工程规模：拟建公路为一级公路，项目性质为新建，建设里程为5.385km，按双向4车道高速公路标准建设，设计速度80km/h，桥梁275m/2座，设置隧道1149m（1162m）/1座，涵洞22道，平面交叉1处、分离式立交1处，收费站1处（与隧道管理站合建）。项目起点位于兰干塔格山北侧（兰干隧道进口处），顺接S227阿图什至喀什公路新建工程（道路）项目的终点，采用隧道结合明线形式穿越兰干塔格山（设置长隧道1座）后进入喀什经济开发区，终点位于喀什市经济开发区城东大道与横一路(规划)交叉路口。</w:t>
      </w:r>
      <w:r>
        <w:rPr>
          <w:rFonts w:hint="eastAsia" w:ascii="Times New Roman" w:hAnsi="Times New Roman" w:cs="Times New Roman"/>
          <w:color w:val="auto"/>
          <w:kern w:val="0"/>
          <w:sz w:val="24"/>
          <w:szCs w:val="24"/>
          <w:lang w:val="en-US" w:eastAsia="zh-CN" w:bidi="ar"/>
        </w:rPr>
        <w:t>本项目公路沿线走向见图3.2-2。</w:t>
      </w:r>
    </w:p>
    <w:p w14:paraId="28C11057">
      <w:pPr>
        <w:keepNext w:val="0"/>
        <w:keepLines w:val="0"/>
        <w:widowControl/>
        <w:suppressLineNumbers w:val="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本项目按一级公路标准设计，设计速度 80km/h，一般路段整体式路基标准横断面宽24.5m，分离式路基宽度12.25m，具体横断面布置如下：整体式路基：路基总宽24.5m，中分带2.0m，左侧路缘带2×0.5m，行车道宽 2×2×3.75m，硬路肩2×2.5m，土路肩2×0.75m。</w:t>
      </w:r>
    </w:p>
    <w:p w14:paraId="00892CD6">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建设工期：本项目建设起止时限为202</w:t>
      </w:r>
      <w:r>
        <w:rPr>
          <w:rFonts w:hint="default" w:ascii="Times New Roman" w:hAnsi="Times New Roman" w:cs="Times New Roman"/>
          <w:color w:val="auto"/>
          <w:kern w:val="0"/>
          <w:sz w:val="24"/>
          <w:szCs w:val="24"/>
          <w:lang w:val="en-US" w:eastAsia="zh-CN" w:bidi="ar"/>
        </w:rPr>
        <w:t>6</w:t>
      </w:r>
      <w:r>
        <w:rPr>
          <w:rFonts w:hint="default" w:ascii="Times New Roman" w:hAnsi="Times New Roman" w:eastAsia="宋体" w:cs="Times New Roman"/>
          <w:color w:val="auto"/>
          <w:kern w:val="0"/>
          <w:sz w:val="24"/>
          <w:szCs w:val="24"/>
          <w:lang w:val="en-US" w:eastAsia="zh-CN" w:bidi="ar"/>
        </w:rPr>
        <w:t>年</w:t>
      </w:r>
      <w:r>
        <w:rPr>
          <w:rFonts w:hint="eastAsia" w:ascii="Times New Roman" w:hAnsi="Times New Roman" w:cs="Times New Roman"/>
          <w:color w:val="auto"/>
          <w:kern w:val="0"/>
          <w:sz w:val="24"/>
          <w:szCs w:val="24"/>
          <w:highlight w:val="none"/>
          <w:lang w:val="en-US" w:eastAsia="zh-CN" w:bidi="ar"/>
        </w:rPr>
        <w:t>4</w:t>
      </w:r>
      <w:r>
        <w:rPr>
          <w:rFonts w:hint="default" w:ascii="Times New Roman" w:hAnsi="Times New Roman" w:eastAsia="宋体" w:cs="Times New Roman"/>
          <w:color w:val="auto"/>
          <w:kern w:val="0"/>
          <w:sz w:val="24"/>
          <w:szCs w:val="24"/>
          <w:highlight w:val="none"/>
          <w:lang w:val="en-US" w:eastAsia="zh-CN" w:bidi="ar"/>
        </w:rPr>
        <w:t>月至</w:t>
      </w:r>
      <w:r>
        <w:rPr>
          <w:rFonts w:hint="default" w:ascii="Times New Roman" w:hAnsi="Times New Roman" w:eastAsia="宋体" w:cs="Times New Roman"/>
          <w:color w:val="auto"/>
          <w:kern w:val="0"/>
          <w:sz w:val="24"/>
          <w:szCs w:val="24"/>
          <w:lang w:val="en-US" w:eastAsia="zh-CN" w:bidi="ar"/>
        </w:rPr>
        <w:t>202</w:t>
      </w:r>
      <w:r>
        <w:rPr>
          <w:rFonts w:hint="eastAsia" w:ascii="Times New Roman" w:hAnsi="Times New Roman" w:cs="Times New Roman"/>
          <w:color w:val="auto"/>
          <w:kern w:val="0"/>
          <w:sz w:val="24"/>
          <w:szCs w:val="24"/>
          <w:lang w:val="en-US" w:eastAsia="zh-CN" w:bidi="ar"/>
        </w:rPr>
        <w:t>7</w:t>
      </w:r>
      <w:r>
        <w:rPr>
          <w:rFonts w:hint="default" w:ascii="Times New Roman" w:hAnsi="Times New Roman" w:eastAsia="宋体" w:cs="Times New Roman"/>
          <w:color w:val="auto"/>
          <w:kern w:val="0"/>
          <w:sz w:val="24"/>
          <w:szCs w:val="24"/>
          <w:lang w:val="en-US" w:eastAsia="zh-CN" w:bidi="ar"/>
        </w:rPr>
        <w:t>年</w:t>
      </w:r>
      <w:r>
        <w:rPr>
          <w:rFonts w:hint="eastAsia" w:ascii="Times New Roman" w:hAnsi="Times New Roman" w:cs="Times New Roman"/>
          <w:color w:val="auto"/>
          <w:kern w:val="0"/>
          <w:sz w:val="24"/>
          <w:szCs w:val="24"/>
          <w:lang w:val="en-US" w:eastAsia="zh-CN" w:bidi="ar"/>
        </w:rPr>
        <w:t>4</w:t>
      </w:r>
      <w:r>
        <w:rPr>
          <w:rFonts w:hint="default" w:ascii="Times New Roman" w:hAnsi="Times New Roman" w:eastAsia="宋体" w:cs="Times New Roman"/>
          <w:color w:val="auto"/>
          <w:kern w:val="0"/>
          <w:sz w:val="24"/>
          <w:szCs w:val="24"/>
          <w:lang w:val="en-US" w:eastAsia="zh-CN" w:bidi="ar"/>
        </w:rPr>
        <w:t>月。</w:t>
      </w:r>
    </w:p>
    <w:p w14:paraId="4459A470">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总投资：本项目</w:t>
      </w:r>
      <w:r>
        <w:rPr>
          <w:rFonts w:hint="default" w:ascii="Times New Roman" w:hAnsi="Times New Roman" w:eastAsia="宋体" w:cs="Times New Roman"/>
          <w:color w:val="auto"/>
          <w:kern w:val="0"/>
          <w:sz w:val="24"/>
          <w:szCs w:val="24"/>
          <w:lang w:val="en-US" w:eastAsia="zh-CN" w:bidi="ar"/>
        </w:rPr>
        <w:t>估算总投资为</w:t>
      </w:r>
      <w:r>
        <w:rPr>
          <w:rFonts w:hint="default" w:ascii="Times New Roman" w:hAnsi="Times New Roman" w:cs="Times New Roman"/>
          <w:color w:val="auto"/>
          <w:kern w:val="0"/>
          <w:sz w:val="24"/>
          <w:szCs w:val="24"/>
          <w:lang w:val="en-US" w:eastAsia="zh-CN" w:bidi="ar"/>
        </w:rPr>
        <w:t>59989.40</w:t>
      </w:r>
      <w:r>
        <w:rPr>
          <w:rFonts w:hint="default" w:ascii="Times New Roman" w:hAnsi="Times New Roman" w:eastAsia="宋体" w:cs="Times New Roman"/>
          <w:color w:val="auto"/>
          <w:kern w:val="0"/>
          <w:sz w:val="24"/>
          <w:szCs w:val="24"/>
          <w:lang w:val="en-US" w:eastAsia="zh-CN" w:bidi="ar"/>
        </w:rPr>
        <w:t>万元。</w:t>
      </w:r>
    </w:p>
    <w:p w14:paraId="048D6DC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kern w:val="0"/>
          <w:sz w:val="24"/>
          <w:szCs w:val="24"/>
          <w:lang w:val="en-US" w:eastAsia="zh-CN" w:bidi="ar"/>
        </w:rPr>
        <w:t>本工程</w:t>
      </w:r>
      <w:r>
        <w:rPr>
          <w:rFonts w:hint="default" w:ascii="Times New Roman" w:hAnsi="Times New Roman" w:eastAsia="宋体" w:cs="Times New Roman"/>
          <w:color w:val="auto"/>
          <w:kern w:val="0"/>
          <w:sz w:val="24"/>
          <w:szCs w:val="24"/>
          <w:lang w:val="en-US" w:eastAsia="zh-CN" w:bidi="ar"/>
        </w:rPr>
        <w:t>主要</w:t>
      </w:r>
      <w:r>
        <w:rPr>
          <w:rFonts w:hint="default" w:ascii="Times New Roman" w:hAnsi="Times New Roman" w:cs="Times New Roman"/>
          <w:color w:val="auto"/>
          <w:kern w:val="0"/>
          <w:sz w:val="24"/>
          <w:szCs w:val="24"/>
          <w:lang w:val="en-US" w:eastAsia="zh-CN" w:bidi="ar"/>
        </w:rPr>
        <w:t>建设内容</w:t>
      </w:r>
      <w:r>
        <w:rPr>
          <w:rFonts w:hint="default" w:ascii="Times New Roman" w:hAnsi="Times New Roman" w:eastAsia="宋体" w:cs="Times New Roman"/>
          <w:color w:val="auto"/>
          <w:kern w:val="0"/>
          <w:sz w:val="24"/>
          <w:szCs w:val="24"/>
          <w:lang w:val="en-US" w:eastAsia="zh-CN" w:bidi="ar"/>
        </w:rPr>
        <w:t>见表</w:t>
      </w:r>
      <w:r>
        <w:rPr>
          <w:rFonts w:hint="default" w:ascii="Times New Roman" w:hAnsi="Times New Roman" w:cs="Times New Roman"/>
          <w:color w:val="auto"/>
          <w:kern w:val="0"/>
          <w:sz w:val="24"/>
          <w:szCs w:val="24"/>
          <w:lang w:val="en-US" w:eastAsia="zh-CN" w:bidi="ar"/>
        </w:rPr>
        <w:t>3.2</w:t>
      </w:r>
      <w:r>
        <w:rPr>
          <w:rFonts w:hint="default" w:ascii="Times New Roman" w:hAnsi="Times New Roman" w:eastAsia="宋体" w:cs="Times New Roman"/>
          <w:color w:val="auto"/>
          <w:kern w:val="0"/>
          <w:sz w:val="24"/>
          <w:szCs w:val="24"/>
          <w:lang w:val="en-US" w:eastAsia="zh-CN" w:bidi="ar"/>
        </w:rPr>
        <w:t>-1。</w:t>
      </w:r>
    </w:p>
    <w:p w14:paraId="7F41F40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lang w:val="en-US"/>
        </w:rPr>
      </w:pPr>
      <w:r>
        <w:rPr>
          <w:rFonts w:hint="default" w:ascii="Times New Roman" w:hAnsi="Times New Roman" w:eastAsia="宋体" w:cs="Times New Roman"/>
          <w:b/>
          <w:bCs/>
          <w:color w:val="auto"/>
          <w:kern w:val="0"/>
          <w:sz w:val="21"/>
          <w:szCs w:val="21"/>
          <w:lang w:val="en-US" w:eastAsia="zh-CN" w:bidi="ar"/>
        </w:rPr>
        <w:t>表</w:t>
      </w:r>
      <w:r>
        <w:rPr>
          <w:rFonts w:hint="default" w:ascii="Times New Roman" w:hAnsi="Times New Roman" w:eastAsia="TimesNewRomanPS-BoldMT" w:cs="Times New Roman"/>
          <w:b/>
          <w:bCs/>
          <w:color w:val="auto"/>
          <w:kern w:val="0"/>
          <w:sz w:val="21"/>
          <w:szCs w:val="21"/>
          <w:lang w:val="en-US" w:eastAsia="zh-CN" w:bidi="ar"/>
        </w:rPr>
        <w:t xml:space="preserve">3.2-1 </w:t>
      </w:r>
      <w:r>
        <w:rPr>
          <w:rFonts w:hint="default" w:ascii="Times New Roman" w:hAnsi="Times New Roman" w:eastAsia="宋体" w:cs="Times New Roman"/>
          <w:b/>
          <w:bCs/>
          <w:color w:val="auto"/>
          <w:kern w:val="0"/>
          <w:sz w:val="21"/>
          <w:szCs w:val="21"/>
          <w:lang w:val="en-US" w:eastAsia="zh-CN" w:bidi="ar"/>
        </w:rPr>
        <w:t>主要</w:t>
      </w:r>
      <w:r>
        <w:rPr>
          <w:rFonts w:hint="default" w:ascii="Times New Roman" w:hAnsi="Times New Roman" w:cs="Times New Roman"/>
          <w:b/>
          <w:bCs/>
          <w:color w:val="auto"/>
          <w:kern w:val="0"/>
          <w:sz w:val="21"/>
          <w:szCs w:val="21"/>
          <w:lang w:val="en-US" w:eastAsia="zh-CN" w:bidi="ar"/>
        </w:rPr>
        <w:t>建设内容一览表</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9"/>
        <w:gridCol w:w="1312"/>
        <w:gridCol w:w="6489"/>
      </w:tblGrid>
      <w:tr w14:paraId="1A297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192" w:type="pct"/>
            <w:gridSpan w:val="2"/>
            <w:tcBorders>
              <w:tl2br w:val="nil"/>
              <w:tr2bl w:val="nil"/>
            </w:tcBorders>
            <w:noWrap w:val="0"/>
            <w:vAlign w:val="center"/>
          </w:tcPr>
          <w:p w14:paraId="37E64A0C">
            <w:pPr>
              <w:keepNext w:val="0"/>
              <w:keepLines w:val="0"/>
              <w:pageBreakBefore w:val="0"/>
              <w:widowControl w:val="0"/>
              <w:suppressLineNumbers w:val="0"/>
              <w:kinsoku/>
              <w:wordWrap/>
              <w:topLinePunct/>
              <w:bidi w:val="0"/>
              <w:adjustRightInd/>
              <w:snapToGrid/>
              <w:spacing w:beforeAutospacing="0" w:afterAutospacing="0" w:line="240" w:lineRule="auto"/>
              <w:ind w:left="0" w:right="0" w:firstLine="420" w:firstLineChars="20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项目组成</w:t>
            </w:r>
          </w:p>
        </w:tc>
        <w:tc>
          <w:tcPr>
            <w:tcW w:w="3807" w:type="pct"/>
            <w:tcBorders>
              <w:tl2br w:val="nil"/>
              <w:tr2bl w:val="nil"/>
            </w:tcBorders>
            <w:noWrap w:val="0"/>
            <w:vAlign w:val="center"/>
          </w:tcPr>
          <w:p w14:paraId="47D4E2DA">
            <w:pPr>
              <w:keepNext w:val="0"/>
              <w:keepLines w:val="0"/>
              <w:pageBreakBefore w:val="0"/>
              <w:widowControl w:val="0"/>
              <w:suppressLineNumbers w:val="0"/>
              <w:kinsoku/>
              <w:wordWrap/>
              <w:topLinePunct/>
              <w:bidi w:val="0"/>
              <w:adjustRightInd/>
              <w:snapToGrid/>
              <w:spacing w:beforeAutospacing="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建设规模及内容</w:t>
            </w:r>
          </w:p>
        </w:tc>
      </w:tr>
      <w:tr w14:paraId="5825E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422" w:type="pct"/>
            <w:vMerge w:val="restart"/>
            <w:tcBorders>
              <w:tl2br w:val="nil"/>
              <w:tr2bl w:val="nil"/>
            </w:tcBorders>
            <w:noWrap w:val="0"/>
            <w:vAlign w:val="center"/>
          </w:tcPr>
          <w:p w14:paraId="534EC8BD">
            <w:pPr>
              <w:keepNext w:val="0"/>
              <w:keepLines w:val="0"/>
              <w:pageBreakBefore w:val="0"/>
              <w:widowControl w:val="0"/>
              <w:suppressLineNumbers w:val="0"/>
              <w:kinsoku/>
              <w:wordWrap/>
              <w:topLinePunct/>
              <w:bidi w:val="0"/>
              <w:adjustRightInd/>
              <w:snapToGrid/>
              <w:spacing w:beforeAutospacing="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主体工程</w:t>
            </w:r>
          </w:p>
        </w:tc>
        <w:tc>
          <w:tcPr>
            <w:tcW w:w="770" w:type="pct"/>
            <w:tcBorders>
              <w:tl2br w:val="nil"/>
              <w:tr2bl w:val="nil"/>
            </w:tcBorders>
            <w:noWrap w:val="0"/>
            <w:vAlign w:val="center"/>
          </w:tcPr>
          <w:p w14:paraId="05E8C43D">
            <w:pPr>
              <w:keepNext w:val="0"/>
              <w:keepLines w:val="0"/>
              <w:pageBreakBefore w:val="0"/>
              <w:widowControl w:val="0"/>
              <w:suppressLineNumbers w:val="0"/>
              <w:kinsoku/>
              <w:wordWrap/>
              <w:topLinePunct/>
              <w:bidi w:val="0"/>
              <w:adjustRightInd/>
              <w:snapToGrid/>
              <w:spacing w:beforeAutospacing="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公路及隧道工程</w:t>
            </w:r>
          </w:p>
        </w:tc>
        <w:tc>
          <w:tcPr>
            <w:tcW w:w="3807" w:type="pct"/>
            <w:tcBorders>
              <w:tl2br w:val="nil"/>
              <w:tr2bl w:val="nil"/>
            </w:tcBorders>
            <w:noWrap w:val="0"/>
            <w:vAlign w:val="center"/>
          </w:tcPr>
          <w:p w14:paraId="726F02AC">
            <w:pPr>
              <w:keepNext w:val="0"/>
              <w:keepLines w:val="0"/>
              <w:pageBreakBefore w:val="0"/>
              <w:widowControl w:val="0"/>
              <w:suppressLineNumbers w:val="0"/>
              <w:kinsoku/>
              <w:wordWrap/>
              <w:topLinePunct/>
              <w:bidi w:val="0"/>
              <w:adjustRightInd/>
              <w:snapToGrid/>
              <w:spacing w:beforeAutospacing="0" w:afterAutospacing="0" w:line="240" w:lineRule="auto"/>
              <w:ind w:left="0" w:right="0" w:firstLine="0" w:firstLineChars="0"/>
              <w:jc w:val="both"/>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新建双向四车道一级公路5.385km（起点K5+546-终点K10+930.654），设计速度80km/h，设置隧道1149m（1160m）/1座。其中明路1起点（K5+546）至隧洞起点长度为0.015m；隧道起点至隧道终点长度为1.147km，隧道终点至明路2终点（K10+930.654喀什市经济开发区规划城东大道与横一路交叉路口）长度为4.223km。</w:t>
            </w:r>
          </w:p>
        </w:tc>
      </w:tr>
      <w:tr w14:paraId="770E0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422" w:type="pct"/>
            <w:vMerge w:val="continue"/>
            <w:tcBorders>
              <w:tl2br w:val="nil"/>
              <w:tr2bl w:val="nil"/>
            </w:tcBorders>
            <w:noWrap w:val="0"/>
            <w:vAlign w:val="center"/>
          </w:tcPr>
          <w:p w14:paraId="50230B6D">
            <w:pPr>
              <w:keepNext w:val="0"/>
              <w:keepLines w:val="0"/>
              <w:pageBreakBefore w:val="0"/>
              <w:widowControl w:val="0"/>
              <w:suppressLineNumbers w:val="0"/>
              <w:kinsoku/>
              <w:wordWrap/>
              <w:topLinePunct/>
              <w:bidi w:val="0"/>
              <w:adjustRightInd/>
              <w:snapToGrid/>
              <w:spacing w:beforeAutospacing="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
              </w:rPr>
            </w:pPr>
          </w:p>
        </w:tc>
        <w:tc>
          <w:tcPr>
            <w:tcW w:w="770" w:type="pct"/>
            <w:tcBorders>
              <w:tl2br w:val="nil"/>
              <w:tr2bl w:val="nil"/>
            </w:tcBorders>
            <w:noWrap w:val="0"/>
            <w:vAlign w:val="center"/>
          </w:tcPr>
          <w:p w14:paraId="2873F8C7">
            <w:pPr>
              <w:keepNext w:val="0"/>
              <w:keepLines w:val="0"/>
              <w:pageBreakBefore w:val="0"/>
              <w:widowControl w:val="0"/>
              <w:suppressLineNumbers w:val="0"/>
              <w:kinsoku/>
              <w:wordWrap/>
              <w:topLinePunct/>
              <w:bidi w:val="0"/>
              <w:adjustRightInd/>
              <w:snapToGrid/>
              <w:spacing w:beforeAutospacing="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桥梁工程</w:t>
            </w:r>
          </w:p>
        </w:tc>
        <w:tc>
          <w:tcPr>
            <w:tcW w:w="3807" w:type="pct"/>
            <w:tcBorders>
              <w:tl2br w:val="nil"/>
              <w:tr2bl w:val="nil"/>
            </w:tcBorders>
            <w:noWrap w:val="0"/>
            <w:vAlign w:val="center"/>
          </w:tcPr>
          <w:p w14:paraId="512D6032">
            <w:pPr>
              <w:keepNext w:val="0"/>
              <w:keepLines w:val="0"/>
              <w:pageBreakBefore w:val="0"/>
              <w:widowControl w:val="0"/>
              <w:suppressLineNumbers w:val="0"/>
              <w:kinsoku/>
              <w:wordWrap/>
              <w:topLinePunct/>
              <w:bidi w:val="0"/>
              <w:adjustRightInd/>
              <w:snapToGrid/>
              <w:spacing w:beforeAutospacing="0" w:afterAutospacing="0" w:line="240" w:lineRule="auto"/>
              <w:ind w:left="0" w:right="0" w:firstLine="0" w:firstLineChars="0"/>
              <w:jc w:val="both"/>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全线共设计桥梁2座，均为275/2座，其中位于K7+006.5处设计一座大桥（兰干山大桥）；K10+861.7设置一座大桥（G3012跨线桥）。</w:t>
            </w:r>
          </w:p>
        </w:tc>
      </w:tr>
      <w:tr w14:paraId="33376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422" w:type="pct"/>
            <w:vMerge w:val="continue"/>
            <w:tcBorders>
              <w:tl2br w:val="nil"/>
              <w:tr2bl w:val="nil"/>
            </w:tcBorders>
            <w:noWrap w:val="0"/>
            <w:vAlign w:val="center"/>
          </w:tcPr>
          <w:p w14:paraId="5F52B558">
            <w:pPr>
              <w:keepNext w:val="0"/>
              <w:keepLines w:val="0"/>
              <w:pageBreakBefore w:val="0"/>
              <w:widowControl w:val="0"/>
              <w:kinsoku/>
              <w:wordWrap/>
              <w:bidi w:val="0"/>
              <w:adjustRightInd/>
              <w:snapToGrid/>
              <w:spacing w:line="240" w:lineRule="auto"/>
              <w:ind w:right="0" w:firstLine="0" w:firstLineChars="0"/>
              <w:jc w:val="center"/>
              <w:rPr>
                <w:rFonts w:hint="default" w:ascii="Times New Roman" w:hAnsi="Times New Roman" w:eastAsia="宋体" w:cs="Times New Roman"/>
                <w:color w:val="auto"/>
                <w:sz w:val="21"/>
                <w:szCs w:val="21"/>
              </w:rPr>
            </w:pPr>
          </w:p>
        </w:tc>
        <w:tc>
          <w:tcPr>
            <w:tcW w:w="770" w:type="pct"/>
            <w:tcBorders>
              <w:tl2br w:val="nil"/>
              <w:tr2bl w:val="nil"/>
            </w:tcBorders>
            <w:noWrap w:val="0"/>
            <w:vAlign w:val="center"/>
          </w:tcPr>
          <w:p w14:paraId="745F342C">
            <w:pPr>
              <w:keepNext w:val="0"/>
              <w:keepLines w:val="0"/>
              <w:pageBreakBefore w:val="0"/>
              <w:widowControl w:val="0"/>
              <w:suppressLineNumbers w:val="0"/>
              <w:kinsoku/>
              <w:wordWrap/>
              <w:topLinePunct/>
              <w:bidi w:val="0"/>
              <w:adjustRightInd/>
              <w:snapToGrid/>
              <w:spacing w:beforeAutospacing="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涵洞工程</w:t>
            </w:r>
          </w:p>
        </w:tc>
        <w:tc>
          <w:tcPr>
            <w:tcW w:w="3807" w:type="pct"/>
            <w:tcBorders>
              <w:tl2br w:val="nil"/>
              <w:tr2bl w:val="nil"/>
            </w:tcBorders>
            <w:noWrap w:val="0"/>
            <w:vAlign w:val="center"/>
          </w:tcPr>
          <w:p w14:paraId="3537DCB1">
            <w:pPr>
              <w:keepNext w:val="0"/>
              <w:keepLines w:val="0"/>
              <w:pageBreakBefore w:val="0"/>
              <w:widowControl w:val="0"/>
              <w:suppressLineNumbers w:val="0"/>
              <w:kinsoku/>
              <w:wordWrap/>
              <w:topLinePunct/>
              <w:bidi w:val="0"/>
              <w:adjustRightInd/>
              <w:snapToGrid/>
              <w:spacing w:beforeAutospacing="0" w:afterAutospacing="0" w:line="240" w:lineRule="auto"/>
              <w:ind w:left="0" w:right="0" w:firstLine="0" w:firstLineChars="0"/>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项目设置涵洞22道</w:t>
            </w:r>
          </w:p>
        </w:tc>
      </w:tr>
      <w:tr w14:paraId="08882F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422" w:type="pct"/>
            <w:vMerge w:val="continue"/>
            <w:tcBorders>
              <w:tl2br w:val="nil"/>
              <w:tr2bl w:val="nil"/>
            </w:tcBorders>
            <w:noWrap w:val="0"/>
            <w:vAlign w:val="center"/>
          </w:tcPr>
          <w:p w14:paraId="6B8F2265">
            <w:pPr>
              <w:keepNext w:val="0"/>
              <w:keepLines w:val="0"/>
              <w:pageBreakBefore w:val="0"/>
              <w:widowControl w:val="0"/>
              <w:kinsoku/>
              <w:wordWrap/>
              <w:bidi w:val="0"/>
              <w:adjustRightInd/>
              <w:snapToGrid/>
              <w:spacing w:line="240" w:lineRule="auto"/>
              <w:ind w:right="0" w:firstLine="0" w:firstLineChars="0"/>
              <w:jc w:val="center"/>
              <w:rPr>
                <w:rFonts w:hint="default" w:ascii="Times New Roman" w:hAnsi="Times New Roman" w:eastAsia="宋体" w:cs="Times New Roman"/>
                <w:color w:val="auto"/>
                <w:sz w:val="21"/>
                <w:szCs w:val="21"/>
              </w:rPr>
            </w:pPr>
          </w:p>
        </w:tc>
        <w:tc>
          <w:tcPr>
            <w:tcW w:w="770" w:type="pct"/>
            <w:tcBorders>
              <w:tl2br w:val="nil"/>
              <w:tr2bl w:val="nil"/>
            </w:tcBorders>
            <w:noWrap w:val="0"/>
            <w:vAlign w:val="center"/>
          </w:tcPr>
          <w:p w14:paraId="217D85E0">
            <w:pPr>
              <w:keepNext w:val="0"/>
              <w:keepLines w:val="0"/>
              <w:pageBreakBefore w:val="0"/>
              <w:widowControl w:val="0"/>
              <w:suppressLineNumbers w:val="0"/>
              <w:kinsoku/>
              <w:wordWrap/>
              <w:topLinePunct/>
              <w:bidi w:val="0"/>
              <w:adjustRightInd/>
              <w:snapToGrid/>
              <w:spacing w:beforeAutospacing="0" w:afterAutospacing="0" w:line="240" w:lineRule="auto"/>
              <w:ind w:left="0" w:right="0" w:firstLine="0" w:firstLineChars="0"/>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路线交叉工程</w:t>
            </w:r>
          </w:p>
        </w:tc>
        <w:tc>
          <w:tcPr>
            <w:tcW w:w="3807" w:type="pct"/>
            <w:tcBorders>
              <w:tl2br w:val="nil"/>
              <w:tr2bl w:val="nil"/>
            </w:tcBorders>
            <w:noWrap w:val="0"/>
            <w:vAlign w:val="center"/>
          </w:tcPr>
          <w:p w14:paraId="22A6D23A">
            <w:pPr>
              <w:keepNext w:val="0"/>
              <w:keepLines w:val="0"/>
              <w:pageBreakBefore w:val="0"/>
              <w:widowControl w:val="0"/>
              <w:suppressLineNumbers w:val="0"/>
              <w:kinsoku/>
              <w:wordWrap/>
              <w:topLinePunct/>
              <w:bidi w:val="0"/>
              <w:adjustRightInd/>
              <w:snapToGrid/>
              <w:spacing w:beforeAutospacing="0" w:afterAutospacing="0" w:line="240" w:lineRule="auto"/>
              <w:ind w:left="0" w:right="0" w:firstLine="0" w:firstLineChars="0"/>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设置平面交叉1处，分离式立交1处</w:t>
            </w:r>
          </w:p>
        </w:tc>
      </w:tr>
      <w:tr w14:paraId="4F8CF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422" w:type="pct"/>
            <w:vMerge w:val="continue"/>
            <w:tcBorders>
              <w:tl2br w:val="nil"/>
              <w:tr2bl w:val="nil"/>
            </w:tcBorders>
            <w:noWrap w:val="0"/>
            <w:vAlign w:val="center"/>
          </w:tcPr>
          <w:p w14:paraId="0E37DB8E">
            <w:pPr>
              <w:keepNext w:val="0"/>
              <w:keepLines w:val="0"/>
              <w:pageBreakBefore w:val="0"/>
              <w:widowControl w:val="0"/>
              <w:kinsoku/>
              <w:wordWrap/>
              <w:bidi w:val="0"/>
              <w:adjustRightInd/>
              <w:snapToGrid/>
              <w:spacing w:line="240" w:lineRule="auto"/>
              <w:ind w:right="0" w:firstLine="0" w:firstLineChars="0"/>
              <w:jc w:val="center"/>
              <w:rPr>
                <w:rFonts w:hint="default" w:ascii="Times New Roman" w:hAnsi="Times New Roman" w:eastAsia="宋体" w:cs="Times New Roman"/>
                <w:color w:val="auto"/>
                <w:sz w:val="21"/>
                <w:szCs w:val="21"/>
              </w:rPr>
            </w:pPr>
          </w:p>
        </w:tc>
        <w:tc>
          <w:tcPr>
            <w:tcW w:w="770" w:type="pct"/>
            <w:tcBorders>
              <w:tl2br w:val="nil"/>
              <w:tr2bl w:val="nil"/>
            </w:tcBorders>
            <w:noWrap w:val="0"/>
            <w:vAlign w:val="center"/>
          </w:tcPr>
          <w:p w14:paraId="186559EA">
            <w:pPr>
              <w:keepNext w:val="0"/>
              <w:keepLines w:val="0"/>
              <w:pageBreakBefore w:val="0"/>
              <w:widowControl w:val="0"/>
              <w:suppressLineNumbers w:val="0"/>
              <w:kinsoku/>
              <w:wordWrap/>
              <w:topLinePunct/>
              <w:bidi w:val="0"/>
              <w:adjustRightInd/>
              <w:snapToGrid/>
              <w:spacing w:beforeAutospacing="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其他工程</w:t>
            </w:r>
          </w:p>
        </w:tc>
        <w:tc>
          <w:tcPr>
            <w:tcW w:w="3807" w:type="pct"/>
            <w:tcBorders>
              <w:tl2br w:val="nil"/>
              <w:tr2bl w:val="nil"/>
            </w:tcBorders>
            <w:noWrap w:val="0"/>
            <w:vAlign w:val="center"/>
          </w:tcPr>
          <w:p w14:paraId="1A738E76">
            <w:pPr>
              <w:keepNext w:val="0"/>
              <w:keepLines w:val="0"/>
              <w:pageBreakBefore w:val="0"/>
              <w:widowControl w:val="0"/>
              <w:suppressLineNumbers w:val="0"/>
              <w:kinsoku/>
              <w:wordWrap/>
              <w:topLinePunct/>
              <w:bidi w:val="0"/>
              <w:adjustRightInd/>
              <w:snapToGrid/>
              <w:spacing w:beforeAutospacing="0" w:afterAutospacing="0" w:line="240" w:lineRule="auto"/>
              <w:ind w:left="0" w:right="0" w:firstLine="0" w:firstLineChars="0"/>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设置收费站一处（与隧道管理站合建），位于K3+500，建筑面积为2919.12m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（选在S227阿图什至喀什新建工程附近，距离本项目起点北侧约1.2km左右，主要原因是在本项目范围内不具备设置条件）。</w:t>
            </w:r>
          </w:p>
        </w:tc>
      </w:tr>
      <w:tr w14:paraId="3FFCE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422" w:type="pct"/>
            <w:vMerge w:val="restart"/>
            <w:tcBorders>
              <w:tl2br w:val="nil"/>
              <w:tr2bl w:val="nil"/>
            </w:tcBorders>
            <w:noWrap w:val="0"/>
            <w:vAlign w:val="center"/>
          </w:tcPr>
          <w:p w14:paraId="2F95C2BF">
            <w:pPr>
              <w:keepNext w:val="0"/>
              <w:keepLines w:val="0"/>
              <w:pageBreakBefore w:val="0"/>
              <w:widowControl w:val="0"/>
              <w:suppressLineNumbers w:val="0"/>
              <w:kinsoku/>
              <w:wordWrap/>
              <w:topLinePunct/>
              <w:bidi w:val="0"/>
              <w:adjustRightInd/>
              <w:snapToGrid/>
              <w:spacing w:beforeAutospacing="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eastAsia" w:cs="Times New Roman"/>
                <w:color w:val="auto"/>
                <w:kern w:val="0"/>
                <w:sz w:val="21"/>
                <w:szCs w:val="21"/>
                <w:lang w:val="en-US" w:eastAsia="zh-CN" w:bidi="ar"/>
              </w:rPr>
              <w:t>辅助工程</w:t>
            </w:r>
          </w:p>
        </w:tc>
        <w:tc>
          <w:tcPr>
            <w:tcW w:w="770" w:type="pct"/>
            <w:tcBorders>
              <w:tl2br w:val="nil"/>
              <w:tr2bl w:val="nil"/>
            </w:tcBorders>
            <w:noWrap w:val="0"/>
            <w:vAlign w:val="center"/>
          </w:tcPr>
          <w:p w14:paraId="0CA9CC7C">
            <w:pPr>
              <w:keepNext w:val="0"/>
              <w:keepLines w:val="0"/>
              <w:pageBreakBefore w:val="0"/>
              <w:widowControl w:val="0"/>
              <w:suppressLineNumbers w:val="0"/>
              <w:kinsoku/>
              <w:wordWrap/>
              <w:topLinePunct/>
              <w:bidi w:val="0"/>
              <w:adjustRightInd/>
              <w:snapToGrid/>
              <w:spacing w:beforeAutospacing="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交通标志</w:t>
            </w:r>
          </w:p>
        </w:tc>
        <w:tc>
          <w:tcPr>
            <w:tcW w:w="3807" w:type="pct"/>
            <w:tcBorders>
              <w:tl2br w:val="nil"/>
              <w:tr2bl w:val="nil"/>
            </w:tcBorders>
            <w:noWrap w:val="0"/>
            <w:vAlign w:val="center"/>
          </w:tcPr>
          <w:p w14:paraId="1DFAB05C">
            <w:pPr>
              <w:keepNext w:val="0"/>
              <w:keepLines w:val="0"/>
              <w:pageBreakBefore w:val="0"/>
              <w:widowControl w:val="0"/>
              <w:suppressLineNumbers w:val="0"/>
              <w:kinsoku/>
              <w:wordWrap/>
              <w:topLinePunct/>
              <w:bidi w:val="0"/>
              <w:adjustRightInd/>
              <w:snapToGrid/>
              <w:spacing w:beforeAutospacing="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设立禁令标志，指路标志</w:t>
            </w:r>
          </w:p>
        </w:tc>
      </w:tr>
      <w:tr w14:paraId="5A433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422" w:type="pct"/>
            <w:vMerge w:val="continue"/>
            <w:tcBorders>
              <w:tl2br w:val="nil"/>
              <w:tr2bl w:val="nil"/>
            </w:tcBorders>
            <w:noWrap w:val="0"/>
            <w:vAlign w:val="center"/>
          </w:tcPr>
          <w:p w14:paraId="610F7F6A">
            <w:pPr>
              <w:keepNext w:val="0"/>
              <w:keepLines w:val="0"/>
              <w:pageBreakBefore w:val="0"/>
              <w:widowControl w:val="0"/>
              <w:kinsoku/>
              <w:wordWrap/>
              <w:bidi w:val="0"/>
              <w:adjustRightInd/>
              <w:snapToGrid/>
              <w:spacing w:line="240" w:lineRule="auto"/>
              <w:ind w:right="0" w:firstLine="0" w:firstLineChars="0"/>
              <w:jc w:val="center"/>
              <w:rPr>
                <w:rFonts w:hint="default" w:ascii="Times New Roman" w:hAnsi="Times New Roman" w:eastAsia="宋体" w:cs="Times New Roman"/>
                <w:color w:val="auto"/>
                <w:sz w:val="21"/>
                <w:szCs w:val="21"/>
              </w:rPr>
            </w:pPr>
          </w:p>
        </w:tc>
        <w:tc>
          <w:tcPr>
            <w:tcW w:w="770" w:type="pct"/>
            <w:tcBorders>
              <w:tl2br w:val="nil"/>
              <w:tr2bl w:val="nil"/>
            </w:tcBorders>
            <w:noWrap w:val="0"/>
            <w:vAlign w:val="center"/>
          </w:tcPr>
          <w:p w14:paraId="2A64D3B2">
            <w:pPr>
              <w:keepNext w:val="0"/>
              <w:keepLines w:val="0"/>
              <w:pageBreakBefore w:val="0"/>
              <w:widowControl w:val="0"/>
              <w:suppressLineNumbers w:val="0"/>
              <w:kinsoku/>
              <w:wordWrap/>
              <w:topLinePunct/>
              <w:bidi w:val="0"/>
              <w:adjustRightInd/>
              <w:snapToGrid/>
              <w:spacing w:beforeAutospacing="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标线</w:t>
            </w:r>
          </w:p>
        </w:tc>
        <w:tc>
          <w:tcPr>
            <w:tcW w:w="3807" w:type="pct"/>
            <w:tcBorders>
              <w:tl2br w:val="nil"/>
              <w:tr2bl w:val="nil"/>
            </w:tcBorders>
            <w:noWrap w:val="0"/>
            <w:vAlign w:val="center"/>
          </w:tcPr>
          <w:p w14:paraId="2342C8D5">
            <w:pPr>
              <w:keepNext w:val="0"/>
              <w:keepLines w:val="0"/>
              <w:pageBreakBefore w:val="0"/>
              <w:widowControl w:val="0"/>
              <w:suppressLineNumbers w:val="0"/>
              <w:kinsoku/>
              <w:wordWrap/>
              <w:topLinePunct/>
              <w:bidi w:val="0"/>
              <w:adjustRightInd/>
              <w:snapToGrid/>
              <w:spacing w:beforeAutospacing="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对全线标线进行施画</w:t>
            </w:r>
          </w:p>
        </w:tc>
      </w:tr>
      <w:tr w14:paraId="03869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2" w:type="pct"/>
            <w:vMerge w:val="restart"/>
            <w:tcBorders>
              <w:tl2br w:val="nil"/>
              <w:tr2bl w:val="nil"/>
            </w:tcBorders>
            <w:noWrap w:val="0"/>
            <w:vAlign w:val="center"/>
          </w:tcPr>
          <w:p w14:paraId="40780A2F">
            <w:pPr>
              <w:keepNext w:val="0"/>
              <w:keepLines w:val="0"/>
              <w:pageBreakBefore w:val="0"/>
              <w:widowControl w:val="0"/>
              <w:suppressLineNumbers w:val="0"/>
              <w:kinsoku/>
              <w:wordWrap/>
              <w:topLinePunct/>
              <w:bidi w:val="0"/>
              <w:adjustRightInd/>
              <w:snapToGrid/>
              <w:spacing w:beforeAutospacing="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eastAsia" w:cs="Times New Roman"/>
                <w:color w:val="auto"/>
                <w:kern w:val="0"/>
                <w:sz w:val="21"/>
                <w:szCs w:val="21"/>
                <w:lang w:val="en-US" w:eastAsia="zh-CN" w:bidi="ar"/>
              </w:rPr>
              <w:t>配套工程</w:t>
            </w:r>
          </w:p>
        </w:tc>
        <w:tc>
          <w:tcPr>
            <w:tcW w:w="770" w:type="pct"/>
            <w:tcBorders>
              <w:tl2br w:val="nil"/>
              <w:tr2bl w:val="nil"/>
            </w:tcBorders>
            <w:noWrap w:val="0"/>
            <w:vAlign w:val="center"/>
          </w:tcPr>
          <w:p w14:paraId="5702C398">
            <w:pPr>
              <w:keepNext w:val="0"/>
              <w:keepLines w:val="0"/>
              <w:pageBreakBefore w:val="0"/>
              <w:widowControl w:val="0"/>
              <w:suppressLineNumbers w:val="0"/>
              <w:kinsoku/>
              <w:wordWrap/>
              <w:bidi w:val="0"/>
              <w:adjustRightInd/>
              <w:snapToGrid/>
              <w:spacing w:beforeAutospacing="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供水</w:t>
            </w:r>
          </w:p>
        </w:tc>
        <w:tc>
          <w:tcPr>
            <w:tcW w:w="3807" w:type="pct"/>
            <w:tcBorders>
              <w:tl2br w:val="nil"/>
              <w:tr2bl w:val="nil"/>
            </w:tcBorders>
            <w:noWrap w:val="0"/>
            <w:vAlign w:val="center"/>
          </w:tcPr>
          <w:p w14:paraId="60DEA9DE">
            <w:pPr>
              <w:keepNext w:val="0"/>
              <w:keepLines w:val="0"/>
              <w:pageBreakBefore w:val="0"/>
              <w:widowControl w:val="0"/>
              <w:suppressLineNumbers w:val="0"/>
              <w:kinsoku/>
              <w:wordWrap/>
              <w:topLinePunct/>
              <w:bidi w:val="0"/>
              <w:adjustRightInd/>
              <w:snapToGrid/>
              <w:spacing w:beforeAutospacing="0" w:afterAutospacing="0" w:line="240" w:lineRule="auto"/>
              <w:ind w:left="0" w:right="0" w:firstLine="0" w:firstLineChars="0"/>
              <w:jc w:val="both"/>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kern w:val="0"/>
                <w:sz w:val="21"/>
                <w:szCs w:val="21"/>
                <w:lang w:val="en-US" w:eastAsia="zh-CN" w:bidi="ar"/>
              </w:rPr>
              <w:t>项目沿线设置供水管线，位于K5+100附近兰干山北侧，供水管道接入收费站（与隧道管理站合建），同时可满足施工要求。</w:t>
            </w:r>
          </w:p>
        </w:tc>
      </w:tr>
      <w:tr w14:paraId="5C76A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2" w:type="pct"/>
            <w:vMerge w:val="continue"/>
            <w:tcBorders>
              <w:tl2br w:val="nil"/>
              <w:tr2bl w:val="nil"/>
            </w:tcBorders>
            <w:noWrap w:val="0"/>
            <w:vAlign w:val="center"/>
          </w:tcPr>
          <w:p w14:paraId="330174DD">
            <w:pPr>
              <w:keepNext w:val="0"/>
              <w:keepLines w:val="0"/>
              <w:pageBreakBefore w:val="0"/>
              <w:widowControl w:val="0"/>
              <w:kinsoku/>
              <w:wordWrap/>
              <w:bidi w:val="0"/>
              <w:adjustRightInd/>
              <w:snapToGrid/>
              <w:spacing w:line="240" w:lineRule="auto"/>
              <w:ind w:right="0" w:firstLine="0" w:firstLineChars="0"/>
              <w:jc w:val="center"/>
              <w:rPr>
                <w:rFonts w:hint="default" w:ascii="Times New Roman" w:hAnsi="Times New Roman" w:eastAsia="宋体" w:cs="Times New Roman"/>
                <w:color w:val="auto"/>
                <w:sz w:val="21"/>
                <w:szCs w:val="21"/>
              </w:rPr>
            </w:pPr>
          </w:p>
        </w:tc>
        <w:tc>
          <w:tcPr>
            <w:tcW w:w="770" w:type="pct"/>
            <w:tcBorders>
              <w:tl2br w:val="nil"/>
              <w:tr2bl w:val="nil"/>
            </w:tcBorders>
            <w:noWrap w:val="0"/>
            <w:vAlign w:val="center"/>
          </w:tcPr>
          <w:p w14:paraId="7D4574E6">
            <w:pPr>
              <w:keepNext w:val="0"/>
              <w:keepLines w:val="0"/>
              <w:pageBreakBefore w:val="0"/>
              <w:widowControl w:val="0"/>
              <w:suppressLineNumbers w:val="0"/>
              <w:kinsoku/>
              <w:wordWrap/>
              <w:topLinePunct/>
              <w:bidi w:val="0"/>
              <w:adjustRightInd/>
              <w:snapToGrid/>
              <w:spacing w:beforeAutospacing="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供电</w:t>
            </w:r>
          </w:p>
        </w:tc>
        <w:tc>
          <w:tcPr>
            <w:tcW w:w="3807" w:type="pct"/>
            <w:tcBorders>
              <w:tl2br w:val="nil"/>
              <w:tr2bl w:val="nil"/>
            </w:tcBorders>
            <w:noWrap w:val="0"/>
            <w:vAlign w:val="center"/>
          </w:tcPr>
          <w:p w14:paraId="42B27550">
            <w:pPr>
              <w:keepNext w:val="0"/>
              <w:keepLines w:val="0"/>
              <w:pageBreakBefore w:val="0"/>
              <w:widowControl w:val="0"/>
              <w:suppressLineNumbers w:val="0"/>
              <w:kinsoku/>
              <w:wordWrap/>
              <w:topLinePunct/>
              <w:bidi w:val="0"/>
              <w:adjustRightInd/>
              <w:snapToGrid/>
              <w:spacing w:beforeAutospacing="0" w:afterAutospacing="0" w:line="240" w:lineRule="auto"/>
              <w:ind w:left="0" w:right="0" w:firstLine="0" w:firstLineChars="0"/>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距离收费站100m内配有10kv线路，可满足施工及运行用电要求。</w:t>
            </w:r>
          </w:p>
        </w:tc>
      </w:tr>
      <w:tr w14:paraId="1C1BA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422" w:type="pct"/>
            <w:vMerge w:val="restart"/>
            <w:tcBorders>
              <w:tl2br w:val="nil"/>
              <w:tr2bl w:val="nil"/>
            </w:tcBorders>
            <w:noWrap w:val="0"/>
            <w:vAlign w:val="center"/>
          </w:tcPr>
          <w:p w14:paraId="769B6BE6">
            <w:pPr>
              <w:keepNext w:val="0"/>
              <w:keepLines w:val="0"/>
              <w:pageBreakBefore w:val="0"/>
              <w:widowControl w:val="0"/>
              <w:suppressLineNumbers w:val="0"/>
              <w:kinsoku/>
              <w:wordWrap/>
              <w:autoSpaceDE w:val="0"/>
              <w:autoSpaceDN/>
              <w:bidi w:val="0"/>
              <w:spacing w:before="0" w:beforeAutospacing="0" w:after="0" w:afterAutospacing="0" w:line="240" w:lineRule="auto"/>
              <w:ind w:left="0" w:leftChars="0" w:right="0" w:firstLine="0" w:firstLineChars="0"/>
              <w:jc w:val="both"/>
              <w:outlineLvl w:val="3"/>
              <w:rPr>
                <w:rFonts w:hint="default" w:ascii="Times New Roman" w:hAnsi="Times New Roman" w:eastAsia="宋体" w:cs="Times New Roman"/>
                <w:b/>
                <w:color w:val="auto"/>
                <w:kern w:val="0"/>
                <w:sz w:val="21"/>
                <w:szCs w:val="21"/>
                <w:lang w:val="en-US" w:eastAsia="zh-CN" w:bidi="ar-SA"/>
              </w:rPr>
            </w:pPr>
            <w:r>
              <w:rPr>
                <w:rFonts w:hint="default" w:ascii="Times New Roman" w:hAnsi="Times New Roman" w:eastAsia="宋体" w:cs="Times New Roman"/>
                <w:b w:val="0"/>
                <w:color w:val="auto"/>
                <w:kern w:val="0"/>
                <w:sz w:val="21"/>
                <w:szCs w:val="21"/>
                <w:lang w:val="en-US" w:eastAsia="zh-CN" w:bidi="ar-SA"/>
              </w:rPr>
              <w:t>临时工程</w:t>
            </w:r>
          </w:p>
        </w:tc>
        <w:tc>
          <w:tcPr>
            <w:tcW w:w="770" w:type="pct"/>
            <w:tcBorders>
              <w:tl2br w:val="nil"/>
              <w:tr2bl w:val="nil"/>
            </w:tcBorders>
            <w:noWrap w:val="0"/>
            <w:vAlign w:val="center"/>
          </w:tcPr>
          <w:p w14:paraId="52762625">
            <w:pPr>
              <w:keepNext w:val="0"/>
              <w:keepLines w:val="0"/>
              <w:pageBreakBefore w:val="0"/>
              <w:widowControl w:val="0"/>
              <w:suppressLineNumbers w:val="0"/>
              <w:kinsoku/>
              <w:wordWrap/>
              <w:bidi w:val="0"/>
              <w:adjustRightInd/>
              <w:snapToGrid w:val="0"/>
              <w:spacing w:beforeAutospacing="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施工营地</w:t>
            </w:r>
          </w:p>
        </w:tc>
        <w:tc>
          <w:tcPr>
            <w:tcW w:w="3807" w:type="pct"/>
            <w:tcBorders>
              <w:tl2br w:val="nil"/>
              <w:tr2bl w:val="nil"/>
            </w:tcBorders>
            <w:noWrap w:val="0"/>
            <w:vAlign w:val="center"/>
          </w:tcPr>
          <w:p w14:paraId="68AC9C9B">
            <w:pPr>
              <w:keepNext w:val="0"/>
              <w:keepLines w:val="0"/>
              <w:pageBreakBefore w:val="0"/>
              <w:widowControl w:val="0"/>
              <w:suppressLineNumbers w:val="0"/>
              <w:kinsoku/>
              <w:wordWrap/>
              <w:bidi w:val="0"/>
              <w:adjustRightInd/>
              <w:snapToGrid w:val="0"/>
              <w:spacing w:beforeAutospacing="0" w:afterAutospacing="0" w:line="240" w:lineRule="auto"/>
              <w:ind w:left="0" w:right="0" w:firstLine="0" w:firstLineChars="0"/>
              <w:jc w:val="both"/>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bCs/>
                <w:color w:val="auto"/>
                <w:sz w:val="21"/>
                <w:szCs w:val="21"/>
              </w:rPr>
              <w:t>项目不设施工营地，施工人员租用</w:t>
            </w:r>
            <w:r>
              <w:rPr>
                <w:rFonts w:hint="default" w:ascii="Times New Roman" w:hAnsi="Times New Roman" w:eastAsia="宋体" w:cs="Times New Roman"/>
                <w:bCs/>
                <w:color w:val="auto"/>
                <w:sz w:val="21"/>
                <w:szCs w:val="21"/>
                <w:lang w:val="en-US" w:eastAsia="zh-CN"/>
              </w:rPr>
              <w:t>当地</w:t>
            </w:r>
            <w:r>
              <w:rPr>
                <w:rFonts w:hint="default" w:ascii="Times New Roman" w:hAnsi="Times New Roman" w:eastAsia="宋体" w:cs="Times New Roman"/>
                <w:bCs/>
                <w:color w:val="auto"/>
                <w:sz w:val="21"/>
                <w:szCs w:val="21"/>
              </w:rPr>
              <w:t>民房作为生活营地。</w:t>
            </w:r>
          </w:p>
        </w:tc>
      </w:tr>
      <w:tr w14:paraId="59F4D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422" w:type="pct"/>
            <w:vMerge w:val="continue"/>
            <w:tcBorders>
              <w:tl2br w:val="nil"/>
              <w:tr2bl w:val="nil"/>
            </w:tcBorders>
            <w:noWrap w:val="0"/>
            <w:vAlign w:val="center"/>
          </w:tcPr>
          <w:p w14:paraId="5CB5994F">
            <w:pPr>
              <w:keepNext w:val="0"/>
              <w:keepLines w:val="0"/>
              <w:pageBreakBefore w:val="0"/>
              <w:widowControl w:val="0"/>
              <w:suppressLineNumbers w:val="0"/>
              <w:kinsoku/>
              <w:wordWrap/>
              <w:autoSpaceDE w:val="0"/>
              <w:autoSpaceDN/>
              <w:bidi w:val="0"/>
              <w:spacing w:before="0" w:beforeAutospacing="0" w:after="0" w:afterAutospacing="0" w:line="240" w:lineRule="auto"/>
              <w:ind w:right="0"/>
              <w:jc w:val="center"/>
              <w:outlineLvl w:val="3"/>
              <w:rPr>
                <w:rFonts w:hint="default" w:ascii="Times New Roman" w:hAnsi="Times New Roman" w:eastAsia="宋体" w:cs="Times New Roman"/>
                <w:b w:val="0"/>
                <w:color w:val="auto"/>
                <w:kern w:val="0"/>
                <w:sz w:val="21"/>
                <w:szCs w:val="21"/>
                <w:lang w:val="en-US" w:eastAsia="zh-CN" w:bidi="ar-SA"/>
              </w:rPr>
            </w:pPr>
          </w:p>
        </w:tc>
        <w:tc>
          <w:tcPr>
            <w:tcW w:w="770" w:type="pct"/>
            <w:tcBorders>
              <w:tl2br w:val="nil"/>
              <w:tr2bl w:val="nil"/>
            </w:tcBorders>
            <w:noWrap w:val="0"/>
            <w:vAlign w:val="center"/>
          </w:tcPr>
          <w:p w14:paraId="162F48DF">
            <w:pPr>
              <w:keepNext w:val="0"/>
              <w:keepLines w:val="0"/>
              <w:pageBreakBefore w:val="0"/>
              <w:widowControl w:val="0"/>
              <w:suppressLineNumbers w:val="0"/>
              <w:kinsoku/>
              <w:wordWrap/>
              <w:bidi w:val="0"/>
              <w:adjustRightInd/>
              <w:snapToGrid w:val="0"/>
              <w:spacing w:beforeAutospacing="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施工生产区</w:t>
            </w:r>
          </w:p>
        </w:tc>
        <w:tc>
          <w:tcPr>
            <w:tcW w:w="3807" w:type="pct"/>
            <w:tcBorders>
              <w:tl2br w:val="nil"/>
              <w:tr2bl w:val="nil"/>
            </w:tcBorders>
            <w:noWrap w:val="0"/>
            <w:vAlign w:val="center"/>
          </w:tcPr>
          <w:p w14:paraId="1F29F4C2">
            <w:pPr>
              <w:keepNext w:val="0"/>
              <w:keepLines w:val="0"/>
              <w:pageBreakBefore w:val="0"/>
              <w:widowControl w:val="0"/>
              <w:suppressLineNumbers w:val="0"/>
              <w:kinsoku/>
              <w:wordWrap/>
              <w:bidi w:val="0"/>
              <w:adjustRightInd/>
              <w:snapToGrid w:val="0"/>
              <w:spacing w:beforeAutospacing="0" w:afterAutospacing="0" w:line="240" w:lineRule="auto"/>
              <w:ind w:left="0" w:right="0" w:firstLine="0" w:firstLineChars="0"/>
              <w:jc w:val="both"/>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项目设置两处施工生产区。</w:t>
            </w:r>
          </w:p>
          <w:p w14:paraId="21911F6B">
            <w:pPr>
              <w:keepNext w:val="0"/>
              <w:keepLines w:val="0"/>
              <w:pageBreakBefore w:val="0"/>
              <w:widowControl w:val="0"/>
              <w:suppressLineNumbers w:val="0"/>
              <w:kinsoku/>
              <w:wordWrap/>
              <w:bidi w:val="0"/>
              <w:adjustRightInd/>
              <w:snapToGrid w:val="0"/>
              <w:spacing w:beforeAutospacing="0" w:afterAutospacing="0" w:line="240" w:lineRule="auto"/>
              <w:ind w:left="0" w:right="0" w:firstLine="0" w:firstLineChars="0"/>
              <w:jc w:val="both"/>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1#施工生产区位于隧道进口附近，占地面积为13515m</w:t>
            </w:r>
            <w:r>
              <w:rPr>
                <w:rFonts w:hint="default" w:ascii="Times New Roman" w:hAnsi="Times New Roman" w:eastAsia="宋体" w:cs="Times New Roman"/>
                <w:color w:val="auto"/>
                <w:kern w:val="0"/>
                <w:sz w:val="21"/>
                <w:szCs w:val="21"/>
                <w:vertAlign w:val="superscript"/>
                <w:lang w:val="en-US" w:eastAsia="zh-CN" w:bidi="ar"/>
              </w:rPr>
              <w:t>2</w:t>
            </w:r>
            <w:r>
              <w:rPr>
                <w:rFonts w:hint="default" w:ascii="Times New Roman" w:hAnsi="Times New Roman" w:eastAsia="宋体" w:cs="Times New Roman"/>
                <w:color w:val="auto"/>
                <w:kern w:val="0"/>
                <w:sz w:val="21"/>
                <w:szCs w:val="21"/>
                <w:lang w:val="en-US" w:eastAsia="zh-CN" w:bidi="ar"/>
              </w:rPr>
              <w:t>，设有水稳拌合站、混凝土拌合站、沥青拌合站、施工车辆停放点及施工原材料等。</w:t>
            </w:r>
          </w:p>
          <w:p w14:paraId="3FFF5EBD">
            <w:pPr>
              <w:keepNext w:val="0"/>
              <w:keepLines w:val="0"/>
              <w:pageBreakBefore w:val="0"/>
              <w:widowControl w:val="0"/>
              <w:suppressLineNumbers w:val="0"/>
              <w:kinsoku/>
              <w:wordWrap/>
              <w:bidi w:val="0"/>
              <w:adjustRightInd/>
              <w:snapToGrid w:val="0"/>
              <w:spacing w:beforeAutospacing="0" w:afterAutospacing="0" w:line="240" w:lineRule="auto"/>
              <w:ind w:left="0" w:right="0" w:firstLine="0" w:firstLineChars="0"/>
              <w:jc w:val="both"/>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2#施工生产区位于K10+700处，占地面积为12306m</w:t>
            </w:r>
            <w:r>
              <w:rPr>
                <w:rFonts w:hint="default" w:ascii="Times New Roman" w:hAnsi="Times New Roman" w:eastAsia="宋体" w:cs="Times New Roman"/>
                <w:color w:val="auto"/>
                <w:kern w:val="0"/>
                <w:sz w:val="21"/>
                <w:szCs w:val="21"/>
                <w:vertAlign w:val="superscript"/>
                <w:lang w:val="en-US" w:eastAsia="zh-CN" w:bidi="ar"/>
              </w:rPr>
              <w:t>2</w:t>
            </w:r>
            <w:r>
              <w:rPr>
                <w:rFonts w:hint="default" w:ascii="Times New Roman" w:hAnsi="Times New Roman" w:eastAsia="宋体" w:cs="Times New Roman"/>
                <w:color w:val="auto"/>
                <w:kern w:val="0"/>
                <w:sz w:val="21"/>
                <w:szCs w:val="21"/>
                <w:lang w:val="en-US" w:eastAsia="zh-CN" w:bidi="ar"/>
              </w:rPr>
              <w:t>，设有预制场、施工车辆停放点及施工原材料等。</w:t>
            </w:r>
          </w:p>
        </w:tc>
      </w:tr>
      <w:tr w14:paraId="3BA10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422" w:type="pct"/>
            <w:vMerge w:val="continue"/>
            <w:tcBorders>
              <w:tl2br w:val="nil"/>
              <w:tr2bl w:val="nil"/>
            </w:tcBorders>
            <w:noWrap w:val="0"/>
            <w:vAlign w:val="center"/>
          </w:tcPr>
          <w:p w14:paraId="3E493028">
            <w:pPr>
              <w:keepNext w:val="0"/>
              <w:keepLines w:val="0"/>
              <w:pageBreakBefore w:val="0"/>
              <w:widowControl w:val="0"/>
              <w:suppressLineNumbers w:val="0"/>
              <w:kinsoku/>
              <w:wordWrap/>
              <w:autoSpaceDE w:val="0"/>
              <w:autoSpaceDN/>
              <w:bidi w:val="0"/>
              <w:spacing w:before="0" w:beforeAutospacing="0" w:after="0" w:afterAutospacing="0" w:line="240" w:lineRule="auto"/>
              <w:ind w:right="0"/>
              <w:jc w:val="center"/>
              <w:outlineLvl w:val="3"/>
              <w:rPr>
                <w:rFonts w:hint="default" w:ascii="Times New Roman" w:hAnsi="Times New Roman" w:eastAsia="宋体" w:cs="Times New Roman"/>
                <w:b w:val="0"/>
                <w:color w:val="auto"/>
                <w:kern w:val="0"/>
                <w:sz w:val="21"/>
                <w:szCs w:val="21"/>
                <w:lang w:val="en-US" w:eastAsia="zh-CN" w:bidi="ar-SA"/>
              </w:rPr>
            </w:pPr>
          </w:p>
        </w:tc>
        <w:tc>
          <w:tcPr>
            <w:tcW w:w="770" w:type="pct"/>
            <w:tcBorders>
              <w:tl2br w:val="nil"/>
              <w:tr2bl w:val="nil"/>
            </w:tcBorders>
            <w:noWrap w:val="0"/>
            <w:vAlign w:val="center"/>
          </w:tcPr>
          <w:p w14:paraId="6EC8AF92">
            <w:pPr>
              <w:keepNext w:val="0"/>
              <w:keepLines w:val="0"/>
              <w:pageBreakBefore w:val="0"/>
              <w:widowControl w:val="0"/>
              <w:suppressLineNumbers w:val="0"/>
              <w:kinsoku/>
              <w:wordWrap/>
              <w:bidi w:val="0"/>
              <w:adjustRightInd/>
              <w:snapToGrid w:val="0"/>
              <w:spacing w:beforeAutospacing="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取土场</w:t>
            </w:r>
          </w:p>
        </w:tc>
        <w:tc>
          <w:tcPr>
            <w:tcW w:w="3807" w:type="pct"/>
            <w:tcBorders>
              <w:tl2br w:val="nil"/>
              <w:tr2bl w:val="nil"/>
            </w:tcBorders>
            <w:noWrap w:val="0"/>
            <w:vAlign w:val="center"/>
          </w:tcPr>
          <w:p w14:paraId="78F2CAD0">
            <w:pPr>
              <w:keepNext w:val="0"/>
              <w:keepLines w:val="0"/>
              <w:pageBreakBefore w:val="0"/>
              <w:widowControl w:val="0"/>
              <w:suppressLineNumbers w:val="0"/>
              <w:kinsoku/>
              <w:wordWrap/>
              <w:bidi w:val="0"/>
              <w:adjustRightInd/>
              <w:snapToGrid w:val="0"/>
              <w:spacing w:beforeAutospacing="0" w:afterAutospacing="0" w:line="240" w:lineRule="auto"/>
              <w:ind w:left="0" w:right="0" w:firstLine="0" w:firstLineChars="0"/>
              <w:jc w:val="both"/>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本项目设置2处取土场，1#取土场位于路线右侧K8+320，占地面积为990000m</w:t>
            </w:r>
            <w:r>
              <w:rPr>
                <w:rFonts w:hint="default" w:ascii="Times New Roman" w:hAnsi="Times New Roman" w:eastAsia="宋体" w:cs="Times New Roman"/>
                <w:color w:val="auto"/>
                <w:kern w:val="0"/>
                <w:sz w:val="21"/>
                <w:szCs w:val="21"/>
                <w:vertAlign w:val="superscript"/>
                <w:lang w:val="en-US" w:eastAsia="zh-CN" w:bidi="ar"/>
              </w:rPr>
              <w:t>2</w:t>
            </w:r>
            <w:r>
              <w:rPr>
                <w:rFonts w:hint="default" w:ascii="Times New Roman" w:hAnsi="Times New Roman" w:eastAsia="宋体" w:cs="Times New Roman"/>
                <w:color w:val="auto"/>
                <w:kern w:val="0"/>
                <w:sz w:val="21"/>
                <w:szCs w:val="21"/>
                <w:lang w:val="en-US" w:eastAsia="zh-CN" w:bidi="ar"/>
              </w:rPr>
              <w:t>；2#取土场位于路线左侧K5+320，项目占地面积为197000m</w:t>
            </w:r>
            <w:r>
              <w:rPr>
                <w:rFonts w:hint="default" w:ascii="Times New Roman" w:hAnsi="Times New Roman" w:eastAsia="宋体" w:cs="Times New Roman"/>
                <w:color w:val="auto"/>
                <w:kern w:val="0"/>
                <w:sz w:val="21"/>
                <w:szCs w:val="21"/>
                <w:vertAlign w:val="superscript"/>
                <w:lang w:val="en-US" w:eastAsia="zh-CN" w:bidi="ar"/>
              </w:rPr>
              <w:t>2</w:t>
            </w:r>
            <w:r>
              <w:rPr>
                <w:rFonts w:hint="default" w:ascii="Times New Roman" w:hAnsi="Times New Roman" w:eastAsia="宋体" w:cs="Times New Roman"/>
                <w:color w:val="auto"/>
                <w:kern w:val="0"/>
                <w:sz w:val="21"/>
                <w:szCs w:val="21"/>
                <w:vertAlign w:val="baseline"/>
                <w:lang w:val="en-US" w:eastAsia="zh-CN" w:bidi="ar"/>
              </w:rPr>
              <w:t>；能够满足本项目用土需求。本项目将取土场同时兼做弃土场使用，采用边取土边弃土的方式进行（采用长条形先开挖后回填方式）；两处取土场主要负责隧道段和本项目前端S227阿图什至喀什公路新建工程。1#取土场最大容纳弃土为495125m</w:t>
            </w:r>
            <w:r>
              <w:rPr>
                <w:rFonts w:hint="default" w:ascii="Times New Roman" w:hAnsi="Times New Roman" w:eastAsia="宋体" w:cs="Times New Roman"/>
                <w:color w:val="auto"/>
                <w:kern w:val="0"/>
                <w:sz w:val="21"/>
                <w:szCs w:val="21"/>
                <w:vertAlign w:val="superscript"/>
                <w:lang w:val="en-US" w:eastAsia="zh-CN" w:bidi="ar"/>
              </w:rPr>
              <w:t>3</w:t>
            </w:r>
            <w:r>
              <w:rPr>
                <w:rFonts w:hint="default" w:ascii="Times New Roman" w:hAnsi="Times New Roman" w:eastAsia="宋体" w:cs="Times New Roman"/>
                <w:color w:val="auto"/>
                <w:kern w:val="0"/>
                <w:sz w:val="21"/>
                <w:szCs w:val="21"/>
                <w:vertAlign w:val="baseline"/>
                <w:lang w:val="en-US" w:eastAsia="zh-CN" w:bidi="ar"/>
              </w:rPr>
              <w:t>，2#取土场最大容纳弃土为984344m</w:t>
            </w:r>
            <w:r>
              <w:rPr>
                <w:rFonts w:hint="default" w:ascii="Times New Roman" w:hAnsi="Times New Roman" w:eastAsia="宋体" w:cs="Times New Roman"/>
                <w:color w:val="auto"/>
                <w:kern w:val="0"/>
                <w:sz w:val="21"/>
                <w:szCs w:val="21"/>
                <w:vertAlign w:val="superscript"/>
                <w:lang w:val="en-US" w:eastAsia="zh-CN" w:bidi="ar"/>
              </w:rPr>
              <w:t>3</w:t>
            </w:r>
            <w:r>
              <w:rPr>
                <w:rFonts w:hint="default" w:ascii="Times New Roman" w:hAnsi="Times New Roman" w:eastAsia="宋体" w:cs="Times New Roman"/>
                <w:color w:val="auto"/>
                <w:kern w:val="0"/>
                <w:sz w:val="21"/>
                <w:szCs w:val="21"/>
                <w:vertAlign w:val="baseline"/>
                <w:lang w:val="en-US" w:eastAsia="zh-CN" w:bidi="ar"/>
              </w:rPr>
              <w:t>。</w:t>
            </w:r>
          </w:p>
        </w:tc>
      </w:tr>
      <w:tr w14:paraId="29575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422" w:type="pct"/>
            <w:vMerge w:val="continue"/>
            <w:tcBorders>
              <w:tl2br w:val="nil"/>
              <w:tr2bl w:val="nil"/>
            </w:tcBorders>
            <w:noWrap w:val="0"/>
            <w:vAlign w:val="center"/>
          </w:tcPr>
          <w:p w14:paraId="0BA7B955">
            <w:pPr>
              <w:keepNext w:val="0"/>
              <w:keepLines w:val="0"/>
              <w:pageBreakBefore w:val="0"/>
              <w:widowControl w:val="0"/>
              <w:suppressLineNumbers w:val="0"/>
              <w:kinsoku/>
              <w:wordWrap/>
              <w:autoSpaceDE w:val="0"/>
              <w:autoSpaceDN/>
              <w:bidi w:val="0"/>
              <w:spacing w:before="0" w:beforeAutospacing="0" w:after="0" w:afterAutospacing="0" w:line="240" w:lineRule="auto"/>
              <w:ind w:right="0"/>
              <w:jc w:val="center"/>
              <w:outlineLvl w:val="3"/>
              <w:rPr>
                <w:rFonts w:hint="default" w:ascii="Times New Roman" w:hAnsi="Times New Roman" w:eastAsia="宋体" w:cs="Times New Roman"/>
                <w:b w:val="0"/>
                <w:color w:val="auto"/>
                <w:kern w:val="0"/>
                <w:sz w:val="21"/>
                <w:szCs w:val="21"/>
                <w:lang w:val="en-US" w:eastAsia="zh-CN" w:bidi="ar-SA"/>
              </w:rPr>
            </w:pPr>
          </w:p>
        </w:tc>
        <w:tc>
          <w:tcPr>
            <w:tcW w:w="770" w:type="pct"/>
            <w:tcBorders>
              <w:tl2br w:val="nil"/>
              <w:tr2bl w:val="nil"/>
            </w:tcBorders>
            <w:noWrap w:val="0"/>
            <w:vAlign w:val="center"/>
          </w:tcPr>
          <w:p w14:paraId="23DAF4E7">
            <w:pPr>
              <w:keepNext w:val="0"/>
              <w:keepLines w:val="0"/>
              <w:pageBreakBefore w:val="0"/>
              <w:widowControl w:val="0"/>
              <w:suppressLineNumbers w:val="0"/>
              <w:kinsoku/>
              <w:wordWrap/>
              <w:bidi w:val="0"/>
              <w:adjustRightInd/>
              <w:snapToGrid w:val="0"/>
              <w:spacing w:beforeAutospacing="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料场</w:t>
            </w:r>
          </w:p>
        </w:tc>
        <w:tc>
          <w:tcPr>
            <w:tcW w:w="3807" w:type="pct"/>
            <w:tcBorders>
              <w:tl2br w:val="nil"/>
              <w:tr2bl w:val="nil"/>
            </w:tcBorders>
            <w:noWrap w:val="0"/>
            <w:vAlign w:val="center"/>
          </w:tcPr>
          <w:p w14:paraId="42D443ED">
            <w:pPr>
              <w:keepNext w:val="0"/>
              <w:keepLines w:val="0"/>
              <w:pageBreakBefore w:val="0"/>
              <w:widowControl w:val="0"/>
              <w:suppressLineNumbers w:val="0"/>
              <w:kinsoku/>
              <w:wordWrap/>
              <w:bidi w:val="0"/>
              <w:adjustRightInd/>
              <w:snapToGrid w:val="0"/>
              <w:spacing w:beforeAutospacing="0" w:afterAutospacing="0" w:line="240" w:lineRule="auto"/>
              <w:ind w:left="0" w:right="0" w:firstLine="0" w:firstLineChars="0"/>
              <w:jc w:val="both"/>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本项目不设置料场，所需骨料均为外购。</w:t>
            </w:r>
          </w:p>
        </w:tc>
      </w:tr>
      <w:tr w14:paraId="4ADA4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422" w:type="pct"/>
            <w:vMerge w:val="continue"/>
            <w:tcBorders>
              <w:tl2br w:val="nil"/>
              <w:tr2bl w:val="nil"/>
            </w:tcBorders>
            <w:noWrap w:val="0"/>
            <w:vAlign w:val="center"/>
          </w:tcPr>
          <w:p w14:paraId="4FA34563">
            <w:pPr>
              <w:keepNext w:val="0"/>
              <w:keepLines w:val="0"/>
              <w:pageBreakBefore w:val="0"/>
              <w:widowControl w:val="0"/>
              <w:suppressLineNumbers w:val="0"/>
              <w:kinsoku/>
              <w:wordWrap/>
              <w:autoSpaceDE w:val="0"/>
              <w:autoSpaceDN/>
              <w:bidi w:val="0"/>
              <w:spacing w:before="0" w:beforeAutospacing="0" w:after="0" w:afterAutospacing="0" w:line="240" w:lineRule="auto"/>
              <w:ind w:right="0"/>
              <w:jc w:val="center"/>
              <w:outlineLvl w:val="3"/>
              <w:rPr>
                <w:rFonts w:hint="default" w:ascii="Times New Roman" w:hAnsi="Times New Roman" w:eastAsia="宋体" w:cs="Times New Roman"/>
                <w:b w:val="0"/>
                <w:color w:val="auto"/>
                <w:kern w:val="0"/>
                <w:sz w:val="21"/>
                <w:szCs w:val="21"/>
                <w:lang w:val="en-US" w:eastAsia="zh-CN" w:bidi="ar-SA"/>
              </w:rPr>
            </w:pPr>
          </w:p>
        </w:tc>
        <w:tc>
          <w:tcPr>
            <w:tcW w:w="770" w:type="pct"/>
            <w:tcBorders>
              <w:tl2br w:val="nil"/>
              <w:tr2bl w:val="nil"/>
            </w:tcBorders>
            <w:noWrap w:val="0"/>
            <w:vAlign w:val="center"/>
          </w:tcPr>
          <w:p w14:paraId="6A9E78CE">
            <w:pPr>
              <w:keepNext w:val="0"/>
              <w:keepLines w:val="0"/>
              <w:pageBreakBefore w:val="0"/>
              <w:widowControl w:val="0"/>
              <w:suppressLineNumbers w:val="0"/>
              <w:kinsoku/>
              <w:wordWrap/>
              <w:bidi w:val="0"/>
              <w:adjustRightInd/>
              <w:snapToGrid w:val="0"/>
              <w:spacing w:beforeAutospacing="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弃土场</w:t>
            </w:r>
          </w:p>
        </w:tc>
        <w:tc>
          <w:tcPr>
            <w:tcW w:w="3807" w:type="pct"/>
            <w:tcBorders>
              <w:tl2br w:val="nil"/>
              <w:tr2bl w:val="nil"/>
            </w:tcBorders>
            <w:noWrap w:val="0"/>
            <w:vAlign w:val="center"/>
          </w:tcPr>
          <w:p w14:paraId="2E3DCBF4">
            <w:pPr>
              <w:keepNext w:val="0"/>
              <w:keepLines w:val="0"/>
              <w:pageBreakBefore w:val="0"/>
              <w:widowControl w:val="0"/>
              <w:suppressLineNumbers w:val="0"/>
              <w:kinsoku/>
              <w:wordWrap/>
              <w:bidi w:val="0"/>
              <w:adjustRightInd/>
              <w:snapToGrid w:val="0"/>
              <w:spacing w:beforeAutospacing="0" w:afterAutospacing="0" w:line="240" w:lineRule="auto"/>
              <w:ind w:left="0" w:right="0" w:firstLine="0" w:firstLineChars="0"/>
              <w:jc w:val="both"/>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本项目设置4处弃土场。其中弃土场1位于K8+694右侧，占地面积为11000m</w:t>
            </w:r>
            <w:r>
              <w:rPr>
                <w:rFonts w:hint="default" w:ascii="Times New Roman" w:hAnsi="Times New Roman" w:eastAsia="宋体" w:cs="Times New Roman"/>
                <w:color w:val="auto"/>
                <w:kern w:val="0"/>
                <w:sz w:val="21"/>
                <w:szCs w:val="21"/>
                <w:vertAlign w:val="superscript"/>
                <w:lang w:val="en-US" w:eastAsia="zh-CN" w:bidi="ar"/>
              </w:rPr>
              <w:t>2</w:t>
            </w:r>
            <w:r>
              <w:rPr>
                <w:rFonts w:hint="default" w:ascii="Times New Roman" w:hAnsi="Times New Roman" w:eastAsia="宋体" w:cs="Times New Roman"/>
                <w:color w:val="auto"/>
                <w:kern w:val="0"/>
                <w:sz w:val="21"/>
                <w:szCs w:val="21"/>
                <w:vertAlign w:val="baseline"/>
                <w:lang w:val="en-US" w:eastAsia="zh-CN" w:bidi="ar"/>
              </w:rPr>
              <w:t>，可</w:t>
            </w:r>
            <w:r>
              <w:rPr>
                <w:rFonts w:hint="default" w:ascii="Times New Roman" w:hAnsi="Times New Roman" w:eastAsia="宋体" w:cs="Times New Roman"/>
                <w:color w:val="auto"/>
                <w:kern w:val="0"/>
                <w:sz w:val="21"/>
                <w:szCs w:val="21"/>
                <w:highlight w:val="none"/>
                <w:vertAlign w:val="baseline"/>
                <w:lang w:val="en-US" w:eastAsia="zh-CN" w:bidi="ar"/>
              </w:rPr>
              <w:t>容纳弃土185000m</w:t>
            </w:r>
            <w:r>
              <w:rPr>
                <w:rFonts w:hint="default" w:ascii="Times New Roman" w:hAnsi="Times New Roman" w:eastAsia="宋体"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vertAlign w:val="baseline"/>
                <w:lang w:val="en-US" w:eastAsia="zh-CN" w:bidi="ar"/>
              </w:rPr>
              <w:t>；</w:t>
            </w:r>
            <w:r>
              <w:rPr>
                <w:rFonts w:hint="default" w:ascii="Times New Roman" w:hAnsi="Times New Roman" w:eastAsia="宋体" w:cs="Times New Roman"/>
                <w:color w:val="auto"/>
                <w:kern w:val="0"/>
                <w:sz w:val="21"/>
                <w:szCs w:val="21"/>
                <w:vertAlign w:val="baseline"/>
                <w:lang w:val="en-US" w:eastAsia="zh-CN" w:bidi="ar"/>
              </w:rPr>
              <w:t>弃土场2位于K9+065右侧，</w:t>
            </w:r>
            <w:r>
              <w:rPr>
                <w:rFonts w:hint="default" w:ascii="Times New Roman" w:hAnsi="Times New Roman" w:eastAsia="宋体" w:cs="Times New Roman"/>
                <w:color w:val="auto"/>
                <w:kern w:val="0"/>
                <w:sz w:val="21"/>
                <w:szCs w:val="21"/>
                <w:lang w:val="en-US" w:eastAsia="zh-CN" w:bidi="ar"/>
              </w:rPr>
              <w:t>占地面积为13800m</w:t>
            </w:r>
            <w:r>
              <w:rPr>
                <w:rFonts w:hint="default" w:ascii="Times New Roman" w:hAnsi="Times New Roman" w:eastAsia="宋体" w:cs="Times New Roman"/>
                <w:color w:val="auto"/>
                <w:kern w:val="0"/>
                <w:sz w:val="21"/>
                <w:szCs w:val="21"/>
                <w:vertAlign w:val="superscript"/>
                <w:lang w:val="en-US" w:eastAsia="zh-CN" w:bidi="ar"/>
              </w:rPr>
              <w:t>2</w:t>
            </w:r>
            <w:r>
              <w:rPr>
                <w:rFonts w:hint="default" w:ascii="Times New Roman" w:hAnsi="Times New Roman" w:eastAsia="宋体" w:cs="Times New Roman"/>
                <w:color w:val="auto"/>
                <w:kern w:val="0"/>
                <w:sz w:val="21"/>
                <w:szCs w:val="21"/>
                <w:vertAlign w:val="baseline"/>
                <w:lang w:val="en-US" w:eastAsia="zh-CN" w:bidi="ar"/>
              </w:rPr>
              <w:t>，可容纳弃土254900m</w:t>
            </w:r>
            <w:r>
              <w:rPr>
                <w:rFonts w:hint="default" w:ascii="Times New Roman" w:hAnsi="Times New Roman" w:eastAsia="宋体" w:cs="Times New Roman"/>
                <w:color w:val="auto"/>
                <w:kern w:val="0"/>
                <w:sz w:val="21"/>
                <w:szCs w:val="21"/>
                <w:vertAlign w:val="superscript"/>
                <w:lang w:val="en-US" w:eastAsia="zh-CN" w:bidi="ar"/>
              </w:rPr>
              <w:t>3</w:t>
            </w:r>
            <w:r>
              <w:rPr>
                <w:rFonts w:hint="default" w:ascii="Times New Roman" w:hAnsi="Times New Roman" w:eastAsia="宋体" w:cs="Times New Roman"/>
                <w:color w:val="auto"/>
                <w:kern w:val="0"/>
                <w:sz w:val="21"/>
                <w:szCs w:val="21"/>
                <w:vertAlign w:val="baseline"/>
                <w:lang w:val="en-US" w:eastAsia="zh-CN" w:bidi="ar"/>
              </w:rPr>
              <w:t>；弃土场3位于K9+065左侧，</w:t>
            </w:r>
            <w:r>
              <w:rPr>
                <w:rFonts w:hint="default" w:ascii="Times New Roman" w:hAnsi="Times New Roman" w:eastAsia="宋体" w:cs="Times New Roman"/>
                <w:color w:val="auto"/>
                <w:kern w:val="0"/>
                <w:sz w:val="21"/>
                <w:szCs w:val="21"/>
                <w:lang w:val="en-US" w:eastAsia="zh-CN" w:bidi="ar"/>
              </w:rPr>
              <w:t>占地面积为33300m</w:t>
            </w:r>
            <w:r>
              <w:rPr>
                <w:rFonts w:hint="default" w:ascii="Times New Roman" w:hAnsi="Times New Roman" w:eastAsia="宋体" w:cs="Times New Roman"/>
                <w:color w:val="auto"/>
                <w:kern w:val="0"/>
                <w:sz w:val="21"/>
                <w:szCs w:val="21"/>
                <w:vertAlign w:val="superscript"/>
                <w:lang w:val="en-US" w:eastAsia="zh-CN" w:bidi="ar"/>
              </w:rPr>
              <w:t>2</w:t>
            </w:r>
            <w:r>
              <w:rPr>
                <w:rFonts w:hint="default" w:ascii="Times New Roman" w:hAnsi="Times New Roman" w:eastAsia="宋体" w:cs="Times New Roman"/>
                <w:color w:val="auto"/>
                <w:kern w:val="0"/>
                <w:sz w:val="21"/>
                <w:szCs w:val="21"/>
                <w:vertAlign w:val="baseline"/>
                <w:lang w:val="en-US" w:eastAsia="zh-CN" w:bidi="ar"/>
              </w:rPr>
              <w:t>，可容纳弃土484100m</w:t>
            </w:r>
            <w:r>
              <w:rPr>
                <w:rFonts w:hint="default" w:ascii="Times New Roman" w:hAnsi="Times New Roman" w:eastAsia="宋体" w:cs="Times New Roman"/>
                <w:color w:val="auto"/>
                <w:kern w:val="0"/>
                <w:sz w:val="21"/>
                <w:szCs w:val="21"/>
                <w:vertAlign w:val="superscript"/>
                <w:lang w:val="en-US" w:eastAsia="zh-CN" w:bidi="ar"/>
              </w:rPr>
              <w:t>3</w:t>
            </w:r>
            <w:r>
              <w:rPr>
                <w:rFonts w:hint="default" w:ascii="Times New Roman" w:hAnsi="Times New Roman" w:eastAsia="宋体" w:cs="Times New Roman"/>
                <w:color w:val="auto"/>
                <w:kern w:val="0"/>
                <w:sz w:val="21"/>
                <w:szCs w:val="21"/>
                <w:vertAlign w:val="baseline"/>
                <w:lang w:val="en-US" w:eastAsia="zh-CN" w:bidi="ar"/>
              </w:rPr>
              <w:t>；弃土场4位于K9+460右侧，</w:t>
            </w:r>
            <w:r>
              <w:rPr>
                <w:rFonts w:hint="default" w:ascii="Times New Roman" w:hAnsi="Times New Roman" w:eastAsia="宋体" w:cs="Times New Roman"/>
                <w:color w:val="auto"/>
                <w:kern w:val="0"/>
                <w:sz w:val="21"/>
                <w:szCs w:val="21"/>
                <w:lang w:val="en-US" w:eastAsia="zh-CN" w:bidi="ar"/>
              </w:rPr>
              <w:t>占地面积为19500m</w:t>
            </w:r>
            <w:r>
              <w:rPr>
                <w:rFonts w:hint="default" w:ascii="Times New Roman" w:hAnsi="Times New Roman" w:eastAsia="宋体" w:cs="Times New Roman"/>
                <w:color w:val="auto"/>
                <w:kern w:val="0"/>
                <w:sz w:val="21"/>
                <w:szCs w:val="21"/>
                <w:vertAlign w:val="superscript"/>
                <w:lang w:val="en-US" w:eastAsia="zh-CN" w:bidi="ar"/>
              </w:rPr>
              <w:t>2</w:t>
            </w:r>
            <w:r>
              <w:rPr>
                <w:rFonts w:hint="default" w:ascii="Times New Roman" w:hAnsi="Times New Roman" w:eastAsia="宋体" w:cs="Times New Roman"/>
                <w:color w:val="auto"/>
                <w:kern w:val="0"/>
                <w:sz w:val="21"/>
                <w:szCs w:val="21"/>
                <w:vertAlign w:val="baseline"/>
                <w:lang w:val="en-US" w:eastAsia="zh-CN" w:bidi="ar"/>
              </w:rPr>
              <w:t>，可容纳弃土374700m</w:t>
            </w:r>
            <w:r>
              <w:rPr>
                <w:rFonts w:hint="default" w:ascii="Times New Roman" w:hAnsi="Times New Roman" w:eastAsia="宋体" w:cs="Times New Roman"/>
                <w:color w:val="auto"/>
                <w:kern w:val="0"/>
                <w:sz w:val="21"/>
                <w:szCs w:val="21"/>
                <w:vertAlign w:val="superscript"/>
                <w:lang w:val="en-US" w:eastAsia="zh-CN" w:bidi="ar"/>
              </w:rPr>
              <w:t>3</w:t>
            </w:r>
            <w:r>
              <w:rPr>
                <w:rFonts w:hint="default" w:ascii="Times New Roman" w:hAnsi="Times New Roman" w:eastAsia="宋体" w:cs="Times New Roman"/>
                <w:color w:val="auto"/>
                <w:kern w:val="0"/>
                <w:sz w:val="21"/>
                <w:szCs w:val="21"/>
                <w:vertAlign w:val="baseline"/>
                <w:lang w:val="en-US" w:eastAsia="zh-CN" w:bidi="ar"/>
              </w:rPr>
              <w:t>。该四处弃土场主要负责兰干山大桥至终点段废弃土方；</w:t>
            </w:r>
            <w:r>
              <w:rPr>
                <w:rFonts w:hint="default" w:ascii="Times New Roman" w:hAnsi="Times New Roman" w:eastAsia="宋体" w:cs="Times New Roman"/>
                <w:color w:val="auto"/>
                <w:kern w:val="0"/>
                <w:sz w:val="21"/>
                <w:szCs w:val="21"/>
                <w:lang w:val="en-US" w:eastAsia="zh-CN" w:bidi="ar"/>
              </w:rPr>
              <w:t>施工过程中废弃土方集中收集后，运至指定的弃土场，施工完毕后进行压实平整。</w:t>
            </w:r>
          </w:p>
        </w:tc>
      </w:tr>
      <w:tr w14:paraId="0F8FF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422" w:type="pct"/>
            <w:vMerge w:val="continue"/>
            <w:tcBorders>
              <w:tl2br w:val="nil"/>
              <w:tr2bl w:val="nil"/>
            </w:tcBorders>
            <w:noWrap w:val="0"/>
            <w:vAlign w:val="center"/>
          </w:tcPr>
          <w:p w14:paraId="5EE6F6DD">
            <w:pPr>
              <w:keepNext w:val="0"/>
              <w:keepLines w:val="0"/>
              <w:pageBreakBefore w:val="0"/>
              <w:widowControl w:val="0"/>
              <w:kinsoku/>
              <w:wordWrap/>
              <w:bidi w:val="0"/>
              <w:adjustRightInd/>
              <w:snapToGrid/>
              <w:spacing w:line="240" w:lineRule="auto"/>
              <w:ind w:right="0" w:firstLine="0" w:firstLineChars="0"/>
              <w:jc w:val="center"/>
              <w:rPr>
                <w:rFonts w:hint="default" w:ascii="Times New Roman" w:hAnsi="Times New Roman" w:eastAsia="宋体" w:cs="Times New Roman"/>
                <w:color w:val="auto"/>
                <w:sz w:val="21"/>
                <w:szCs w:val="21"/>
              </w:rPr>
            </w:pPr>
          </w:p>
        </w:tc>
        <w:tc>
          <w:tcPr>
            <w:tcW w:w="770" w:type="pct"/>
            <w:tcBorders>
              <w:tl2br w:val="nil"/>
              <w:tr2bl w:val="nil"/>
            </w:tcBorders>
            <w:noWrap w:val="0"/>
            <w:vAlign w:val="center"/>
          </w:tcPr>
          <w:p w14:paraId="28B975A8">
            <w:pPr>
              <w:keepNext w:val="0"/>
              <w:keepLines w:val="0"/>
              <w:pageBreakBefore w:val="0"/>
              <w:widowControl w:val="0"/>
              <w:suppressLineNumbers w:val="0"/>
              <w:kinsoku/>
              <w:wordWrap/>
              <w:bidi w:val="0"/>
              <w:adjustRightInd/>
              <w:snapToGrid w:val="0"/>
              <w:spacing w:beforeAutospacing="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施工便道</w:t>
            </w:r>
          </w:p>
        </w:tc>
        <w:tc>
          <w:tcPr>
            <w:tcW w:w="3807" w:type="pct"/>
            <w:tcBorders>
              <w:tl2br w:val="nil"/>
              <w:tr2bl w:val="nil"/>
            </w:tcBorders>
            <w:noWrap w:val="0"/>
            <w:vAlign w:val="center"/>
          </w:tcPr>
          <w:p w14:paraId="6A24D306">
            <w:pPr>
              <w:keepNext w:val="0"/>
              <w:keepLines w:val="0"/>
              <w:pageBreakBefore w:val="0"/>
              <w:widowControl w:val="0"/>
              <w:suppressLineNumbers w:val="0"/>
              <w:kinsoku/>
              <w:wordWrap/>
              <w:bidi w:val="0"/>
              <w:adjustRightInd/>
              <w:snapToGrid w:val="0"/>
              <w:spacing w:beforeAutospacing="0" w:afterAutospacing="0" w:line="240" w:lineRule="auto"/>
              <w:ind w:left="0" w:right="0" w:firstLine="0" w:firstLineChars="0"/>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本项目新建施工便道6条，总长度8.85km。</w:t>
            </w:r>
          </w:p>
          <w:p w14:paraId="4C812645">
            <w:pPr>
              <w:keepNext w:val="0"/>
              <w:keepLines w:val="0"/>
              <w:pageBreakBefore w:val="0"/>
              <w:widowControl w:val="0"/>
              <w:suppressLineNumbers w:val="0"/>
              <w:kinsoku/>
              <w:wordWrap/>
              <w:bidi w:val="0"/>
              <w:adjustRightInd/>
              <w:snapToGrid w:val="0"/>
              <w:spacing w:beforeAutospacing="0" w:afterAutospacing="0" w:line="240" w:lineRule="auto"/>
              <w:ind w:left="0" w:right="0" w:firstLine="0" w:firstLineChars="0"/>
              <w:jc w:val="both"/>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szCs w:val="21"/>
                <w:lang w:val="en-US" w:eastAsia="zh-CN"/>
              </w:rPr>
              <w:t>①施工便道（K5+546~K10+931.7）共布置3条施工便道，均位于道路主线右侧，长7.5km，路基宽4.5m，</w:t>
            </w:r>
            <w:r>
              <w:rPr>
                <w:rFonts w:hint="default" w:ascii="Times New Roman" w:hAnsi="Times New Roman" w:eastAsia="宋体" w:cs="Times New Roman"/>
                <w:color w:val="auto"/>
                <w:sz w:val="21"/>
              </w:rPr>
              <w:t>路面宽度4.5m</w:t>
            </w:r>
            <w:r>
              <w:rPr>
                <w:rFonts w:hint="default" w:ascii="Times New Roman" w:hAnsi="Times New Roman" w:eastAsia="宋体" w:cs="Times New Roman"/>
                <w:color w:val="auto"/>
                <w:sz w:val="21"/>
                <w:lang w:eastAsia="zh-CN"/>
              </w:rPr>
              <w:t>；</w:t>
            </w:r>
          </w:p>
          <w:p w14:paraId="7FC4233C">
            <w:pPr>
              <w:keepNext w:val="0"/>
              <w:keepLines w:val="0"/>
              <w:pageBreakBefore w:val="0"/>
              <w:widowControl w:val="0"/>
              <w:suppressLineNumbers w:val="0"/>
              <w:kinsoku/>
              <w:wordWrap/>
              <w:bidi w:val="0"/>
              <w:adjustRightInd/>
              <w:snapToGrid w:val="0"/>
              <w:spacing w:beforeAutospacing="0" w:afterAutospacing="0" w:line="240" w:lineRule="auto"/>
              <w:ind w:left="0" w:right="0" w:firstLine="0" w:firstLineChars="0"/>
              <w:jc w:val="both"/>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val="en-US" w:eastAsia="zh-CN"/>
              </w:rPr>
              <w:t>②拌合站、预制场（K10+823）位于道路主线右侧，</w:t>
            </w:r>
            <w:r>
              <w:rPr>
                <w:rFonts w:hint="default" w:ascii="Times New Roman" w:hAnsi="Times New Roman" w:eastAsia="宋体" w:cs="Times New Roman"/>
                <w:color w:val="auto"/>
                <w:sz w:val="21"/>
              </w:rPr>
              <w:t>长</w:t>
            </w:r>
            <w:r>
              <w:rPr>
                <w:rFonts w:hint="default" w:ascii="Times New Roman" w:hAnsi="Times New Roman" w:eastAsia="宋体" w:cs="Times New Roman"/>
                <w:color w:val="auto"/>
                <w:sz w:val="21"/>
                <w:lang w:val="en-US" w:eastAsia="zh-CN"/>
              </w:rPr>
              <w:t>0.35</w:t>
            </w:r>
            <w:r>
              <w:rPr>
                <w:rFonts w:hint="default" w:ascii="Times New Roman" w:hAnsi="Times New Roman" w:eastAsia="宋体" w:cs="Times New Roman"/>
                <w:color w:val="auto"/>
                <w:sz w:val="21"/>
              </w:rPr>
              <w:t>km，路基宽度</w:t>
            </w:r>
            <w:r>
              <w:rPr>
                <w:rFonts w:hint="default" w:ascii="Times New Roman" w:hAnsi="Times New Roman" w:eastAsia="宋体" w:cs="Times New Roman"/>
                <w:color w:val="auto"/>
                <w:sz w:val="21"/>
                <w:lang w:val="en-US" w:eastAsia="zh-CN"/>
              </w:rPr>
              <w:t>6</w:t>
            </w:r>
            <w:r>
              <w:rPr>
                <w:rFonts w:hint="default" w:ascii="Times New Roman" w:hAnsi="Times New Roman" w:eastAsia="宋体" w:cs="Times New Roman"/>
                <w:color w:val="auto"/>
                <w:sz w:val="21"/>
              </w:rPr>
              <w:t>m，路面宽度</w:t>
            </w:r>
            <w:r>
              <w:rPr>
                <w:rFonts w:hint="default" w:ascii="Times New Roman" w:hAnsi="Times New Roman" w:eastAsia="宋体" w:cs="Times New Roman"/>
                <w:color w:val="auto"/>
                <w:sz w:val="21"/>
                <w:lang w:val="en-US" w:eastAsia="zh-CN"/>
              </w:rPr>
              <w:t>6</w:t>
            </w:r>
            <w:r>
              <w:rPr>
                <w:rFonts w:hint="default" w:ascii="Times New Roman" w:hAnsi="Times New Roman" w:eastAsia="宋体" w:cs="Times New Roman"/>
                <w:color w:val="auto"/>
                <w:sz w:val="21"/>
              </w:rPr>
              <w:t>m</w:t>
            </w:r>
            <w:r>
              <w:rPr>
                <w:rFonts w:hint="default" w:ascii="Times New Roman" w:hAnsi="Times New Roman" w:eastAsia="宋体" w:cs="Times New Roman"/>
                <w:color w:val="auto"/>
                <w:sz w:val="21"/>
                <w:lang w:eastAsia="zh-CN"/>
              </w:rPr>
              <w:t>；</w:t>
            </w:r>
          </w:p>
          <w:p w14:paraId="24465D51">
            <w:pPr>
              <w:keepNext w:val="0"/>
              <w:keepLines w:val="0"/>
              <w:pageBreakBefore w:val="0"/>
              <w:widowControl w:val="0"/>
              <w:suppressLineNumbers w:val="0"/>
              <w:kinsoku/>
              <w:wordWrap/>
              <w:bidi w:val="0"/>
              <w:adjustRightInd/>
              <w:snapToGrid w:val="0"/>
              <w:spacing w:beforeAutospacing="0" w:afterAutospacing="0" w:line="240" w:lineRule="auto"/>
              <w:ind w:left="0" w:right="0" w:firstLine="0" w:firstLineChars="0"/>
              <w:jc w:val="both"/>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③1#取土场便道（K5+320）位于道路主线右侧，长0.5km；取土场便道路基宽4.5m，路面宽度4.5m；</w:t>
            </w:r>
          </w:p>
          <w:p w14:paraId="6835BE84">
            <w:pPr>
              <w:keepNext w:val="0"/>
              <w:keepLines w:val="0"/>
              <w:pageBreakBefore w:val="0"/>
              <w:widowControl w:val="0"/>
              <w:suppressLineNumbers w:val="0"/>
              <w:kinsoku/>
              <w:wordWrap/>
              <w:bidi w:val="0"/>
              <w:adjustRightInd/>
              <w:snapToGrid w:val="0"/>
              <w:spacing w:beforeAutospacing="0" w:afterAutospacing="0" w:line="240" w:lineRule="auto"/>
              <w:ind w:left="0" w:right="0" w:firstLine="0" w:firstLineChars="0"/>
              <w:jc w:val="both"/>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④2#取土场便道（K5+480）位于道路主线左侧，长0.5km。取土场便道路基宽4.5m，路面宽度4.5m。</w:t>
            </w:r>
          </w:p>
        </w:tc>
      </w:tr>
      <w:tr w14:paraId="5C5F4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422" w:type="pct"/>
            <w:vMerge w:val="restart"/>
            <w:tcBorders>
              <w:tl2br w:val="nil"/>
              <w:tr2bl w:val="nil"/>
            </w:tcBorders>
            <w:noWrap w:val="0"/>
            <w:vAlign w:val="center"/>
          </w:tcPr>
          <w:p w14:paraId="3DE28380">
            <w:pPr>
              <w:keepNext w:val="0"/>
              <w:keepLines w:val="0"/>
              <w:pageBreakBefore w:val="0"/>
              <w:widowControl w:val="0"/>
              <w:suppressLineNumbers w:val="0"/>
              <w:kinsoku/>
              <w:wordWrap/>
              <w:topLinePunct/>
              <w:bidi w:val="0"/>
              <w:adjustRightInd/>
              <w:snapToGrid/>
              <w:spacing w:beforeAutospacing="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环保工程</w:t>
            </w:r>
          </w:p>
        </w:tc>
        <w:tc>
          <w:tcPr>
            <w:tcW w:w="770" w:type="pct"/>
            <w:tcBorders>
              <w:tl2br w:val="nil"/>
              <w:tr2bl w:val="nil"/>
            </w:tcBorders>
            <w:noWrap w:val="0"/>
            <w:vAlign w:val="center"/>
          </w:tcPr>
          <w:p w14:paraId="1322AC87">
            <w:pPr>
              <w:keepNext w:val="0"/>
              <w:keepLines w:val="0"/>
              <w:pageBreakBefore w:val="0"/>
              <w:widowControl w:val="0"/>
              <w:suppressLineNumbers w:val="0"/>
              <w:kinsoku/>
              <w:wordWrap/>
              <w:bidi w:val="0"/>
              <w:adjustRightInd/>
              <w:snapToGrid/>
              <w:spacing w:beforeAutospacing="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废气</w:t>
            </w:r>
          </w:p>
        </w:tc>
        <w:tc>
          <w:tcPr>
            <w:tcW w:w="3807" w:type="pct"/>
            <w:tcBorders>
              <w:tl2br w:val="nil"/>
              <w:tr2bl w:val="nil"/>
            </w:tcBorders>
            <w:noWrap w:val="0"/>
            <w:vAlign w:val="center"/>
          </w:tcPr>
          <w:p w14:paraId="5E5459F0">
            <w:pPr>
              <w:keepNext w:val="0"/>
              <w:keepLines w:val="0"/>
              <w:pageBreakBefore w:val="0"/>
              <w:widowControl w:val="0"/>
              <w:suppressLineNumbers w:val="0"/>
              <w:kinsoku/>
              <w:wordWrap/>
              <w:bidi w:val="0"/>
              <w:adjustRightInd/>
              <w:snapToGrid/>
              <w:spacing w:beforeAutospacing="0" w:afterAutospacing="0" w:line="240" w:lineRule="auto"/>
              <w:ind w:left="0" w:right="0" w:firstLine="0" w:firstLineChars="0"/>
              <w:jc w:val="both"/>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
              </w:rPr>
              <w:t>施工过程中，对施工场地四周设置硬质密闭围挡，定期洒水降尘；</w:t>
            </w:r>
          </w:p>
        </w:tc>
      </w:tr>
      <w:tr w14:paraId="26BD5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422" w:type="pct"/>
            <w:vMerge w:val="continue"/>
            <w:tcBorders>
              <w:tl2br w:val="nil"/>
              <w:tr2bl w:val="nil"/>
            </w:tcBorders>
            <w:noWrap w:val="0"/>
            <w:vAlign w:val="center"/>
          </w:tcPr>
          <w:p w14:paraId="2A12356E">
            <w:pPr>
              <w:keepNext w:val="0"/>
              <w:keepLines w:val="0"/>
              <w:pageBreakBefore w:val="0"/>
              <w:widowControl w:val="0"/>
              <w:kinsoku/>
              <w:wordWrap/>
              <w:bidi w:val="0"/>
              <w:adjustRightInd/>
              <w:snapToGrid/>
              <w:spacing w:line="240" w:lineRule="auto"/>
              <w:ind w:right="0" w:firstLine="0" w:firstLineChars="0"/>
              <w:jc w:val="center"/>
              <w:rPr>
                <w:rFonts w:hint="default" w:ascii="Times New Roman" w:hAnsi="Times New Roman" w:eastAsia="宋体" w:cs="Times New Roman"/>
                <w:color w:val="auto"/>
                <w:sz w:val="21"/>
                <w:szCs w:val="21"/>
              </w:rPr>
            </w:pPr>
          </w:p>
        </w:tc>
        <w:tc>
          <w:tcPr>
            <w:tcW w:w="770" w:type="pct"/>
            <w:tcBorders>
              <w:tl2br w:val="nil"/>
              <w:tr2bl w:val="nil"/>
            </w:tcBorders>
            <w:noWrap w:val="0"/>
            <w:vAlign w:val="center"/>
          </w:tcPr>
          <w:p w14:paraId="0BB85566">
            <w:pPr>
              <w:keepNext w:val="0"/>
              <w:keepLines w:val="0"/>
              <w:pageBreakBefore w:val="0"/>
              <w:widowControl w:val="0"/>
              <w:suppressLineNumbers w:val="0"/>
              <w:kinsoku/>
              <w:wordWrap/>
              <w:bidi w:val="0"/>
              <w:adjustRightInd/>
              <w:snapToGrid/>
              <w:spacing w:beforeAutospacing="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废水</w:t>
            </w:r>
          </w:p>
        </w:tc>
        <w:tc>
          <w:tcPr>
            <w:tcW w:w="3807" w:type="pct"/>
            <w:tcBorders>
              <w:tl2br w:val="nil"/>
              <w:tr2bl w:val="nil"/>
            </w:tcBorders>
            <w:noWrap w:val="0"/>
            <w:vAlign w:val="center"/>
          </w:tcPr>
          <w:p w14:paraId="7BD0F3C1">
            <w:pPr>
              <w:keepNext w:val="0"/>
              <w:keepLines w:val="0"/>
              <w:pageBreakBefore w:val="0"/>
              <w:widowControl w:val="0"/>
              <w:suppressLineNumbers w:val="0"/>
              <w:kinsoku/>
              <w:wordWrap/>
              <w:autoSpaceDE w:val="0"/>
              <w:autoSpaceDN/>
              <w:bidi w:val="0"/>
              <w:spacing w:before="0" w:beforeAutospacing="0" w:after="0" w:afterAutospacing="0" w:line="240" w:lineRule="auto"/>
              <w:ind w:right="0"/>
              <w:jc w:val="both"/>
              <w:outlineLvl w:val="3"/>
              <w:rPr>
                <w:rFonts w:hint="default" w:ascii="Times New Roman" w:hAnsi="Times New Roman" w:eastAsia="宋体" w:cs="Times New Roman"/>
                <w:b w:val="0"/>
                <w:color w:val="auto"/>
                <w:kern w:val="0"/>
                <w:sz w:val="21"/>
                <w:szCs w:val="21"/>
                <w:lang w:val="en-US" w:eastAsia="zh-CN" w:bidi="ar-SA"/>
              </w:rPr>
            </w:pPr>
            <w:r>
              <w:rPr>
                <w:rFonts w:hint="default" w:ascii="Times New Roman" w:hAnsi="Times New Roman" w:eastAsia="宋体" w:cs="Times New Roman"/>
                <w:b w:val="0"/>
                <w:color w:val="auto"/>
                <w:kern w:val="0"/>
                <w:sz w:val="21"/>
                <w:szCs w:val="21"/>
                <w:lang w:val="en-US" w:eastAsia="zh-CN" w:bidi="ar-SA"/>
              </w:rPr>
              <w:t>施工期生活污水依托当地村庄污水处理设施处置；施工废水经沉淀后回用于工具清洗、养护和施工现场洒水降尘以及隧道施工产生的砂浆废水，经过沉淀后用于洒水抑尘。运营期</w:t>
            </w:r>
            <w:r>
              <w:rPr>
                <w:rFonts w:hint="default" w:ascii="Times New Roman" w:hAnsi="Times New Roman" w:eastAsia="宋体" w:cs="Times New Roman"/>
                <w:color w:val="auto"/>
                <w:kern w:val="0"/>
                <w:sz w:val="21"/>
                <w:szCs w:val="21"/>
                <w:highlight w:val="none"/>
                <w:lang w:val="en-US" w:eastAsia="zh-CN" w:bidi="ar-SA"/>
              </w:rPr>
              <w:t>收费站（与隧道管理站合建）产生的生活污水经地埋式一体化污水处理设施处理达标后用于站区及周围绿化、降尘等；站内在地埋式一体化污水处理设施附近配置一座收集池（容积为：400m</w:t>
            </w:r>
            <w:r>
              <w:rPr>
                <w:rFonts w:hint="default" w:ascii="Times New Roman" w:hAnsi="Times New Roman" w:eastAsia="宋体" w:cs="Times New Roman"/>
                <w:color w:val="auto"/>
                <w:kern w:val="0"/>
                <w:sz w:val="21"/>
                <w:szCs w:val="21"/>
                <w:highlight w:val="none"/>
                <w:vertAlign w:val="superscript"/>
                <w:lang w:val="en-US" w:eastAsia="zh-CN" w:bidi="ar-SA"/>
              </w:rPr>
              <w:t>3</w:t>
            </w:r>
            <w:r>
              <w:rPr>
                <w:rFonts w:hint="default" w:ascii="Times New Roman" w:hAnsi="Times New Roman" w:eastAsia="宋体" w:cs="Times New Roman"/>
                <w:color w:val="auto"/>
                <w:kern w:val="0"/>
                <w:sz w:val="21"/>
                <w:szCs w:val="21"/>
                <w:highlight w:val="none"/>
                <w:lang w:val="en-US" w:eastAsia="zh-CN" w:bidi="ar-SA"/>
              </w:rPr>
              <w:t>），用于存放冬季处理后的水，待来年绿化期后进行绿化灌溉。</w:t>
            </w:r>
          </w:p>
        </w:tc>
      </w:tr>
      <w:tr w14:paraId="63B2C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9" w:hRule="atLeast"/>
          <w:jc w:val="center"/>
        </w:trPr>
        <w:tc>
          <w:tcPr>
            <w:tcW w:w="422" w:type="pct"/>
            <w:vMerge w:val="continue"/>
            <w:tcBorders>
              <w:tl2br w:val="nil"/>
              <w:tr2bl w:val="nil"/>
            </w:tcBorders>
            <w:noWrap w:val="0"/>
            <w:vAlign w:val="center"/>
          </w:tcPr>
          <w:p w14:paraId="72FC5A4F">
            <w:pPr>
              <w:keepNext w:val="0"/>
              <w:keepLines w:val="0"/>
              <w:pageBreakBefore w:val="0"/>
              <w:widowControl w:val="0"/>
              <w:kinsoku/>
              <w:wordWrap/>
              <w:bidi w:val="0"/>
              <w:adjustRightInd/>
              <w:snapToGrid/>
              <w:spacing w:line="240" w:lineRule="auto"/>
              <w:ind w:right="0" w:firstLine="0" w:firstLineChars="0"/>
              <w:jc w:val="center"/>
              <w:rPr>
                <w:rFonts w:hint="default" w:ascii="Times New Roman" w:hAnsi="Times New Roman" w:eastAsia="宋体" w:cs="Times New Roman"/>
                <w:color w:val="auto"/>
                <w:sz w:val="21"/>
                <w:szCs w:val="21"/>
              </w:rPr>
            </w:pPr>
          </w:p>
        </w:tc>
        <w:tc>
          <w:tcPr>
            <w:tcW w:w="770" w:type="pct"/>
            <w:tcBorders>
              <w:tl2br w:val="nil"/>
              <w:tr2bl w:val="nil"/>
            </w:tcBorders>
            <w:noWrap w:val="0"/>
            <w:vAlign w:val="center"/>
          </w:tcPr>
          <w:p w14:paraId="221D7743">
            <w:pPr>
              <w:keepNext w:val="0"/>
              <w:keepLines w:val="0"/>
              <w:pageBreakBefore w:val="0"/>
              <w:widowControl w:val="0"/>
              <w:suppressLineNumbers w:val="0"/>
              <w:kinsoku/>
              <w:wordWrap/>
              <w:bidi w:val="0"/>
              <w:adjustRightInd/>
              <w:snapToGrid/>
              <w:spacing w:beforeAutospacing="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噪声</w:t>
            </w:r>
          </w:p>
        </w:tc>
        <w:tc>
          <w:tcPr>
            <w:tcW w:w="3807" w:type="pct"/>
            <w:tcBorders>
              <w:tl2br w:val="nil"/>
              <w:tr2bl w:val="nil"/>
            </w:tcBorders>
            <w:noWrap w:val="0"/>
            <w:vAlign w:val="center"/>
          </w:tcPr>
          <w:p w14:paraId="71F0A508">
            <w:pPr>
              <w:keepNext w:val="0"/>
              <w:keepLines w:val="0"/>
              <w:pageBreakBefore w:val="0"/>
              <w:widowControl w:val="0"/>
              <w:suppressLineNumbers w:val="0"/>
              <w:kinsoku/>
              <w:wordWrap/>
              <w:autoSpaceDE w:val="0"/>
              <w:autoSpaceDN/>
              <w:bidi w:val="0"/>
              <w:spacing w:before="0" w:beforeAutospacing="0" w:after="0" w:afterAutospacing="0" w:line="240" w:lineRule="auto"/>
              <w:ind w:right="0"/>
              <w:jc w:val="both"/>
              <w:outlineLvl w:val="3"/>
              <w:rPr>
                <w:rFonts w:hint="default" w:ascii="Times New Roman" w:hAnsi="Times New Roman" w:eastAsia="宋体" w:cs="Times New Roman"/>
                <w:b w:val="0"/>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
              </w:rPr>
              <w:t>施工期合理安排好施工时间，尽量缩短施工期；加强施工设备的维护保养，发生故障及时维修；加强</w:t>
            </w:r>
            <w:r>
              <w:rPr>
                <w:rFonts w:hint="eastAsia" w:cs="Times New Roman"/>
                <w:color w:val="auto"/>
                <w:kern w:val="0"/>
                <w:sz w:val="21"/>
                <w:szCs w:val="21"/>
                <w:lang w:val="en-US" w:eastAsia="zh-CN" w:bidi="ar"/>
              </w:rPr>
              <w:t>公路交通</w:t>
            </w:r>
            <w:r>
              <w:rPr>
                <w:rFonts w:hint="default" w:ascii="Times New Roman" w:hAnsi="Times New Roman" w:eastAsia="宋体" w:cs="Times New Roman"/>
                <w:color w:val="auto"/>
                <w:kern w:val="0"/>
                <w:sz w:val="21"/>
                <w:szCs w:val="21"/>
                <w:lang w:val="en-US" w:eastAsia="zh-CN" w:bidi="ar"/>
              </w:rPr>
              <w:t>管理，保持公路畅通施工人员配备耳塞等防噪用具；运营期通过控制行车速度，路边隔音板和距离降噪。</w:t>
            </w:r>
          </w:p>
        </w:tc>
      </w:tr>
      <w:tr w14:paraId="3310D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422" w:type="pct"/>
            <w:vMerge w:val="continue"/>
            <w:tcBorders>
              <w:tl2br w:val="nil"/>
              <w:tr2bl w:val="nil"/>
            </w:tcBorders>
            <w:noWrap w:val="0"/>
            <w:vAlign w:val="center"/>
          </w:tcPr>
          <w:p w14:paraId="17051897">
            <w:pPr>
              <w:keepNext w:val="0"/>
              <w:keepLines w:val="0"/>
              <w:pageBreakBefore w:val="0"/>
              <w:widowControl w:val="0"/>
              <w:kinsoku/>
              <w:wordWrap/>
              <w:bidi w:val="0"/>
              <w:adjustRightInd/>
              <w:snapToGrid/>
              <w:spacing w:line="240" w:lineRule="auto"/>
              <w:ind w:right="0" w:firstLine="0" w:firstLineChars="0"/>
              <w:jc w:val="center"/>
              <w:rPr>
                <w:rFonts w:hint="default" w:ascii="Times New Roman" w:hAnsi="Times New Roman" w:eastAsia="宋体" w:cs="Times New Roman"/>
                <w:color w:val="auto"/>
                <w:sz w:val="21"/>
                <w:szCs w:val="21"/>
              </w:rPr>
            </w:pPr>
          </w:p>
        </w:tc>
        <w:tc>
          <w:tcPr>
            <w:tcW w:w="770" w:type="pct"/>
            <w:tcBorders>
              <w:tl2br w:val="nil"/>
              <w:tr2bl w:val="nil"/>
            </w:tcBorders>
            <w:noWrap w:val="0"/>
            <w:vAlign w:val="center"/>
          </w:tcPr>
          <w:p w14:paraId="3FAB228F">
            <w:pPr>
              <w:keepNext w:val="0"/>
              <w:keepLines w:val="0"/>
              <w:pageBreakBefore w:val="0"/>
              <w:widowControl w:val="0"/>
              <w:suppressLineNumbers w:val="0"/>
              <w:kinsoku/>
              <w:wordWrap/>
              <w:bidi w:val="0"/>
              <w:adjustRightInd/>
              <w:snapToGrid/>
              <w:spacing w:beforeAutospacing="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固废</w:t>
            </w:r>
          </w:p>
        </w:tc>
        <w:tc>
          <w:tcPr>
            <w:tcW w:w="3807" w:type="pct"/>
            <w:tcBorders>
              <w:tl2br w:val="nil"/>
              <w:tr2bl w:val="nil"/>
            </w:tcBorders>
            <w:noWrap w:val="0"/>
            <w:vAlign w:val="center"/>
          </w:tcPr>
          <w:p w14:paraId="62DB44FC">
            <w:pPr>
              <w:keepNext w:val="0"/>
              <w:keepLines w:val="0"/>
              <w:pageBreakBefore w:val="0"/>
              <w:widowControl w:val="0"/>
              <w:suppressLineNumbers w:val="0"/>
              <w:kinsoku/>
              <w:wordWrap/>
              <w:bidi w:val="0"/>
              <w:adjustRightInd/>
              <w:snapToGrid/>
              <w:spacing w:beforeAutospacing="0" w:afterAutospacing="0" w:line="240" w:lineRule="auto"/>
              <w:ind w:left="0" w:right="0" w:firstLine="0" w:firstLineChars="0"/>
              <w:jc w:val="both"/>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kern w:val="0"/>
                <w:sz w:val="21"/>
                <w:szCs w:val="21"/>
                <w:lang w:val="en-US" w:eastAsia="zh-CN" w:bidi="ar"/>
              </w:rPr>
              <w:t>项目开挖土石方部分回填，其余的先运至项目区指定的弃土场进行存放，</w:t>
            </w:r>
            <w:r>
              <w:rPr>
                <w:rFonts w:hint="default" w:ascii="Times New Roman" w:hAnsi="Times New Roman" w:eastAsia="宋体" w:cs="Times New Roman"/>
                <w:b w:val="0"/>
                <w:bCs/>
                <w:color w:val="auto"/>
                <w:sz w:val="21"/>
                <w:szCs w:val="21"/>
                <w:highlight w:val="none"/>
                <w:vertAlign w:val="baseline"/>
                <w:lang w:val="en-US" w:eastAsia="zh-CN"/>
              </w:rPr>
              <w:t>待施工结束后，将废弃土场全部统一拉运至取土场，进行平整压实。</w:t>
            </w:r>
          </w:p>
        </w:tc>
      </w:tr>
      <w:tr w14:paraId="605A1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1192" w:type="pct"/>
            <w:gridSpan w:val="2"/>
            <w:tcBorders>
              <w:tl2br w:val="nil"/>
              <w:tr2bl w:val="nil"/>
            </w:tcBorders>
            <w:noWrap w:val="0"/>
            <w:vAlign w:val="center"/>
          </w:tcPr>
          <w:p w14:paraId="68E4F915">
            <w:pPr>
              <w:keepNext w:val="0"/>
              <w:keepLines w:val="0"/>
              <w:pageBreakBefore w:val="0"/>
              <w:widowControl w:val="0"/>
              <w:suppressLineNumbers w:val="0"/>
              <w:kinsoku/>
              <w:wordWrap/>
              <w:bidi w:val="0"/>
              <w:adjustRightInd/>
              <w:snapToGrid/>
              <w:spacing w:beforeAutospacing="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生态恢复、景观绿化</w:t>
            </w:r>
          </w:p>
        </w:tc>
        <w:tc>
          <w:tcPr>
            <w:tcW w:w="3807" w:type="pct"/>
            <w:tcBorders>
              <w:tl2br w:val="nil"/>
              <w:tr2bl w:val="nil"/>
            </w:tcBorders>
            <w:noWrap w:val="0"/>
            <w:vAlign w:val="center"/>
          </w:tcPr>
          <w:p w14:paraId="082A0581">
            <w:pPr>
              <w:keepNext w:val="0"/>
              <w:keepLines w:val="0"/>
              <w:pageBreakBefore w:val="0"/>
              <w:widowControl w:val="0"/>
              <w:suppressLineNumbers w:val="0"/>
              <w:kinsoku/>
              <w:wordWrap/>
              <w:bidi w:val="0"/>
              <w:adjustRightInd/>
              <w:snapToGrid/>
              <w:spacing w:beforeAutospacing="0" w:afterAutospacing="0" w:line="240" w:lineRule="auto"/>
              <w:ind w:left="0" w:right="0" w:firstLine="0" w:firstLineChars="0"/>
              <w:jc w:val="both"/>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施工过程中控制水土流失，加强临时用地恢复，运营期加强工程沿线两侧绿化带的建设。</w:t>
            </w:r>
          </w:p>
        </w:tc>
      </w:tr>
    </w:tbl>
    <w:p w14:paraId="3F7F481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p>
    <w:p w14:paraId="029A20ED">
      <w:pPr>
        <w:pStyle w:val="4"/>
        <w:keepNext/>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rPr>
      </w:pPr>
      <w:bookmarkStart w:id="818" w:name="_Toc482529091"/>
      <w:r>
        <w:rPr>
          <w:rFonts w:hint="default" w:ascii="Times New Roman" w:hAnsi="Times New Roman" w:cs="Times New Roman"/>
          <w:color w:val="auto"/>
          <w:lang w:val="en-US" w:eastAsia="zh-CN"/>
        </w:rPr>
        <w:t>3.2.2 主要技术指标</w:t>
      </w:r>
    </w:p>
    <w:p w14:paraId="6F001F57">
      <w:pPr>
        <w:keepNext w:val="0"/>
        <w:keepLines w:val="0"/>
        <w:pageBreakBefore w:val="0"/>
        <w:widowControl/>
        <w:suppressLineNumbers w:val="0"/>
        <w:kinsoku/>
        <w:wordWrap/>
        <w:overflowPunct/>
        <w:topLinePunct w:val="0"/>
        <w:autoSpaceDE/>
        <w:autoSpaceDN/>
        <w:bidi w:val="0"/>
        <w:adjustRightInd w:val="0"/>
        <w:snapToGrid w:val="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本项目全路段按照一级公路标准修建，主要采用的技术标准见表</w:t>
      </w:r>
      <w:r>
        <w:rPr>
          <w:rFonts w:hint="default" w:ascii="Times New Roman" w:hAnsi="Times New Roman" w:cs="Times New Roman"/>
          <w:color w:val="auto"/>
          <w:kern w:val="0"/>
          <w:sz w:val="24"/>
          <w:szCs w:val="24"/>
          <w:lang w:val="en-US" w:eastAsia="zh-CN" w:bidi="ar"/>
        </w:rPr>
        <w:t>3.2</w:t>
      </w:r>
      <w:r>
        <w:rPr>
          <w:rFonts w:hint="default" w:ascii="Times New Roman" w:hAnsi="Times New Roman" w:eastAsia="宋体" w:cs="Times New Roman"/>
          <w:color w:val="auto"/>
          <w:kern w:val="0"/>
          <w:sz w:val="24"/>
          <w:szCs w:val="24"/>
          <w:lang w:val="en-US" w:eastAsia="zh-CN" w:bidi="ar"/>
        </w:rPr>
        <w:t>-2。</w:t>
      </w:r>
    </w:p>
    <w:p w14:paraId="29C0E70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
        </w:rPr>
        <w:t>表</w:t>
      </w:r>
      <w:r>
        <w:rPr>
          <w:rFonts w:hint="default" w:ascii="Times New Roman" w:hAnsi="Times New Roman" w:cs="Times New Roman"/>
          <w:b/>
          <w:bCs/>
          <w:color w:val="auto"/>
          <w:kern w:val="0"/>
          <w:sz w:val="21"/>
          <w:szCs w:val="21"/>
          <w:lang w:val="en-US" w:eastAsia="zh-CN" w:bidi="ar"/>
        </w:rPr>
        <w:t>3.2</w:t>
      </w:r>
      <w:r>
        <w:rPr>
          <w:rFonts w:hint="default" w:ascii="Times New Roman" w:hAnsi="Times New Roman" w:eastAsia="宋体" w:cs="Times New Roman"/>
          <w:b/>
          <w:bCs/>
          <w:color w:val="auto"/>
          <w:kern w:val="0"/>
          <w:sz w:val="21"/>
          <w:szCs w:val="21"/>
          <w:lang w:val="en-US" w:eastAsia="zh-CN" w:bidi="ar"/>
        </w:rPr>
        <w:t>-2 主要技术标准</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1"/>
        <w:gridCol w:w="1165"/>
        <w:gridCol w:w="1182"/>
        <w:gridCol w:w="890"/>
        <w:gridCol w:w="1526"/>
        <w:gridCol w:w="1632"/>
        <w:gridCol w:w="1294"/>
      </w:tblGrid>
      <w:tr w14:paraId="715F3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88" w:type="pct"/>
            <w:tcBorders>
              <w:tl2br w:val="nil"/>
              <w:tr2bl w:val="nil"/>
            </w:tcBorders>
            <w:noWrap w:val="0"/>
            <w:vAlign w:val="center"/>
          </w:tcPr>
          <w:p w14:paraId="4E45A245">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序号</w:t>
            </w:r>
          </w:p>
        </w:tc>
        <w:tc>
          <w:tcPr>
            <w:tcW w:w="1376" w:type="pct"/>
            <w:gridSpan w:val="2"/>
            <w:tcBorders>
              <w:tl2br w:val="nil"/>
              <w:tr2bl w:val="nil"/>
            </w:tcBorders>
            <w:noWrap w:val="0"/>
            <w:vAlign w:val="center"/>
          </w:tcPr>
          <w:p w14:paraId="396F47FE">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项目</w:t>
            </w:r>
          </w:p>
        </w:tc>
        <w:tc>
          <w:tcPr>
            <w:tcW w:w="522" w:type="pct"/>
            <w:tcBorders>
              <w:tl2br w:val="nil"/>
              <w:tr2bl w:val="nil"/>
            </w:tcBorders>
            <w:noWrap w:val="0"/>
            <w:vAlign w:val="center"/>
          </w:tcPr>
          <w:p w14:paraId="11363E72">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单位</w:t>
            </w:r>
          </w:p>
        </w:tc>
        <w:tc>
          <w:tcPr>
            <w:tcW w:w="1852" w:type="pct"/>
            <w:gridSpan w:val="2"/>
            <w:tcBorders>
              <w:tl2br w:val="nil"/>
              <w:tr2bl w:val="nil"/>
            </w:tcBorders>
            <w:noWrap w:val="0"/>
            <w:vAlign w:val="center"/>
          </w:tcPr>
          <w:p w14:paraId="2FCA78BB">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采用值</w:t>
            </w:r>
          </w:p>
        </w:tc>
        <w:tc>
          <w:tcPr>
            <w:tcW w:w="759" w:type="pct"/>
            <w:tcBorders>
              <w:tl2br w:val="nil"/>
              <w:tr2bl w:val="nil"/>
            </w:tcBorders>
            <w:noWrap w:val="0"/>
            <w:vAlign w:val="center"/>
          </w:tcPr>
          <w:p w14:paraId="57020542">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备注</w:t>
            </w:r>
          </w:p>
        </w:tc>
      </w:tr>
      <w:tr w14:paraId="577E6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88" w:type="pct"/>
            <w:tcBorders>
              <w:tl2br w:val="nil"/>
              <w:tr2bl w:val="nil"/>
            </w:tcBorders>
            <w:noWrap w:val="0"/>
            <w:vAlign w:val="center"/>
          </w:tcPr>
          <w:p w14:paraId="22697468">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一</w:t>
            </w:r>
          </w:p>
        </w:tc>
        <w:tc>
          <w:tcPr>
            <w:tcW w:w="1376" w:type="pct"/>
            <w:gridSpan w:val="2"/>
            <w:tcBorders>
              <w:tl2br w:val="nil"/>
              <w:tr2bl w:val="nil"/>
            </w:tcBorders>
            <w:noWrap w:val="0"/>
            <w:vAlign w:val="center"/>
          </w:tcPr>
          <w:p w14:paraId="744DFA91">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综合指标</w:t>
            </w:r>
          </w:p>
        </w:tc>
        <w:tc>
          <w:tcPr>
            <w:tcW w:w="522" w:type="pct"/>
            <w:tcBorders>
              <w:tl2br w:val="nil"/>
              <w:tr2bl w:val="nil"/>
            </w:tcBorders>
            <w:noWrap w:val="0"/>
            <w:vAlign w:val="center"/>
          </w:tcPr>
          <w:p w14:paraId="293325D0">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p>
        </w:tc>
        <w:tc>
          <w:tcPr>
            <w:tcW w:w="1852" w:type="pct"/>
            <w:gridSpan w:val="2"/>
            <w:tcBorders>
              <w:tl2br w:val="nil"/>
              <w:tr2bl w:val="nil"/>
            </w:tcBorders>
            <w:noWrap w:val="0"/>
            <w:vAlign w:val="center"/>
          </w:tcPr>
          <w:p w14:paraId="1701FDAE">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p>
        </w:tc>
        <w:tc>
          <w:tcPr>
            <w:tcW w:w="759" w:type="pct"/>
            <w:tcBorders>
              <w:tl2br w:val="nil"/>
              <w:tr2bl w:val="nil"/>
            </w:tcBorders>
            <w:noWrap w:val="0"/>
            <w:vAlign w:val="center"/>
          </w:tcPr>
          <w:p w14:paraId="737A9589">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p>
        </w:tc>
      </w:tr>
      <w:tr w14:paraId="2D970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76FE5A11">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1</w:t>
            </w:r>
          </w:p>
        </w:tc>
        <w:tc>
          <w:tcPr>
            <w:tcW w:w="1376" w:type="pct"/>
            <w:gridSpan w:val="2"/>
            <w:tcBorders>
              <w:tl2br w:val="nil"/>
              <w:tr2bl w:val="nil"/>
            </w:tcBorders>
            <w:noWrap w:val="0"/>
            <w:vAlign w:val="center"/>
          </w:tcPr>
          <w:p w14:paraId="32DC21D5">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里程</w:t>
            </w:r>
          </w:p>
        </w:tc>
        <w:tc>
          <w:tcPr>
            <w:tcW w:w="522" w:type="pct"/>
            <w:tcBorders>
              <w:tl2br w:val="nil"/>
              <w:tr2bl w:val="nil"/>
            </w:tcBorders>
            <w:noWrap w:val="0"/>
            <w:vAlign w:val="center"/>
          </w:tcPr>
          <w:p w14:paraId="1602923C">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km</w:t>
            </w:r>
          </w:p>
        </w:tc>
        <w:tc>
          <w:tcPr>
            <w:tcW w:w="1852" w:type="pct"/>
            <w:gridSpan w:val="2"/>
            <w:tcBorders>
              <w:tl2br w:val="nil"/>
              <w:tr2bl w:val="nil"/>
            </w:tcBorders>
            <w:noWrap w:val="0"/>
            <w:vAlign w:val="center"/>
          </w:tcPr>
          <w:p w14:paraId="6D2D20C3">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5.385</w:t>
            </w:r>
          </w:p>
        </w:tc>
        <w:tc>
          <w:tcPr>
            <w:tcW w:w="759" w:type="pct"/>
            <w:tcBorders>
              <w:tl2br w:val="nil"/>
              <w:tr2bl w:val="nil"/>
            </w:tcBorders>
            <w:noWrap w:val="0"/>
            <w:vAlign w:val="center"/>
          </w:tcPr>
          <w:p w14:paraId="42F53864">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w:t>
            </w:r>
          </w:p>
        </w:tc>
      </w:tr>
      <w:tr w14:paraId="19BFB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77FDA9DB">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2</w:t>
            </w:r>
          </w:p>
        </w:tc>
        <w:tc>
          <w:tcPr>
            <w:tcW w:w="1376" w:type="pct"/>
            <w:gridSpan w:val="2"/>
            <w:tcBorders>
              <w:tl2br w:val="nil"/>
              <w:tr2bl w:val="nil"/>
            </w:tcBorders>
            <w:noWrap w:val="0"/>
            <w:vAlign w:val="center"/>
          </w:tcPr>
          <w:p w14:paraId="531846FA">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公路等级</w:t>
            </w:r>
          </w:p>
        </w:tc>
        <w:tc>
          <w:tcPr>
            <w:tcW w:w="522" w:type="pct"/>
            <w:tcBorders>
              <w:tl2br w:val="nil"/>
              <w:tr2bl w:val="nil"/>
            </w:tcBorders>
            <w:noWrap w:val="0"/>
            <w:vAlign w:val="center"/>
          </w:tcPr>
          <w:p w14:paraId="52997153">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w:t>
            </w:r>
          </w:p>
        </w:tc>
        <w:tc>
          <w:tcPr>
            <w:tcW w:w="1852" w:type="pct"/>
            <w:gridSpan w:val="2"/>
            <w:tcBorders>
              <w:tl2br w:val="nil"/>
              <w:tr2bl w:val="nil"/>
            </w:tcBorders>
            <w:noWrap w:val="0"/>
            <w:vAlign w:val="center"/>
          </w:tcPr>
          <w:p w14:paraId="514C2965">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一级公路</w:t>
            </w:r>
          </w:p>
        </w:tc>
        <w:tc>
          <w:tcPr>
            <w:tcW w:w="759" w:type="pct"/>
            <w:tcBorders>
              <w:tl2br w:val="nil"/>
              <w:tr2bl w:val="nil"/>
            </w:tcBorders>
            <w:noWrap w:val="0"/>
            <w:vAlign w:val="center"/>
          </w:tcPr>
          <w:p w14:paraId="6FE413C3">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w:t>
            </w:r>
          </w:p>
        </w:tc>
      </w:tr>
      <w:tr w14:paraId="4BFC6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6585A65F">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3</w:t>
            </w:r>
          </w:p>
        </w:tc>
        <w:tc>
          <w:tcPr>
            <w:tcW w:w="1376" w:type="pct"/>
            <w:gridSpan w:val="2"/>
            <w:tcBorders>
              <w:tl2br w:val="nil"/>
              <w:tr2bl w:val="nil"/>
            </w:tcBorders>
            <w:noWrap w:val="0"/>
            <w:vAlign w:val="center"/>
          </w:tcPr>
          <w:p w14:paraId="3F53577E">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设计速度</w:t>
            </w:r>
          </w:p>
        </w:tc>
        <w:tc>
          <w:tcPr>
            <w:tcW w:w="522" w:type="pct"/>
            <w:tcBorders>
              <w:tl2br w:val="nil"/>
              <w:tr2bl w:val="nil"/>
            </w:tcBorders>
            <w:noWrap w:val="0"/>
            <w:vAlign w:val="center"/>
          </w:tcPr>
          <w:p w14:paraId="45DFDA75">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km/h</w:t>
            </w:r>
          </w:p>
        </w:tc>
        <w:tc>
          <w:tcPr>
            <w:tcW w:w="1852" w:type="pct"/>
            <w:gridSpan w:val="2"/>
            <w:tcBorders>
              <w:tl2br w:val="nil"/>
              <w:tr2bl w:val="nil"/>
            </w:tcBorders>
            <w:noWrap w:val="0"/>
            <w:vAlign w:val="center"/>
          </w:tcPr>
          <w:p w14:paraId="0AB6A9FB">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80</w:t>
            </w:r>
          </w:p>
        </w:tc>
        <w:tc>
          <w:tcPr>
            <w:tcW w:w="759" w:type="pct"/>
            <w:tcBorders>
              <w:tl2br w:val="nil"/>
              <w:tr2bl w:val="nil"/>
            </w:tcBorders>
            <w:noWrap w:val="0"/>
            <w:vAlign w:val="center"/>
          </w:tcPr>
          <w:p w14:paraId="7B3E8E44">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w:t>
            </w:r>
          </w:p>
        </w:tc>
      </w:tr>
      <w:tr w14:paraId="7BB7B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2D836B0F">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二</w:t>
            </w:r>
          </w:p>
        </w:tc>
        <w:tc>
          <w:tcPr>
            <w:tcW w:w="1376" w:type="pct"/>
            <w:gridSpan w:val="2"/>
            <w:tcBorders>
              <w:tl2br w:val="nil"/>
              <w:tr2bl w:val="nil"/>
            </w:tcBorders>
            <w:noWrap w:val="0"/>
            <w:vAlign w:val="center"/>
          </w:tcPr>
          <w:p w14:paraId="6AD15F3A">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路基指标</w:t>
            </w:r>
          </w:p>
        </w:tc>
        <w:tc>
          <w:tcPr>
            <w:tcW w:w="522" w:type="pct"/>
            <w:tcBorders>
              <w:tl2br w:val="nil"/>
              <w:tr2bl w:val="nil"/>
            </w:tcBorders>
            <w:noWrap w:val="0"/>
            <w:vAlign w:val="center"/>
          </w:tcPr>
          <w:p w14:paraId="43C3429F">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w:t>
            </w:r>
          </w:p>
        </w:tc>
        <w:tc>
          <w:tcPr>
            <w:tcW w:w="895" w:type="pct"/>
            <w:tcBorders>
              <w:tl2br w:val="nil"/>
              <w:tr2bl w:val="nil"/>
            </w:tcBorders>
            <w:noWrap w:val="0"/>
            <w:vAlign w:val="center"/>
          </w:tcPr>
          <w:p w14:paraId="5BBBB337">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整体式路基</w:t>
            </w:r>
          </w:p>
        </w:tc>
        <w:tc>
          <w:tcPr>
            <w:tcW w:w="957" w:type="pct"/>
            <w:tcBorders>
              <w:tl2br w:val="nil"/>
              <w:tr2bl w:val="nil"/>
            </w:tcBorders>
            <w:noWrap w:val="0"/>
            <w:vAlign w:val="center"/>
          </w:tcPr>
          <w:p w14:paraId="1C159B9B">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分离式路基</w:t>
            </w:r>
          </w:p>
        </w:tc>
        <w:tc>
          <w:tcPr>
            <w:tcW w:w="759" w:type="pct"/>
            <w:tcBorders>
              <w:tl2br w:val="nil"/>
              <w:tr2bl w:val="nil"/>
            </w:tcBorders>
            <w:noWrap w:val="0"/>
            <w:vAlign w:val="center"/>
          </w:tcPr>
          <w:p w14:paraId="1F335B8E">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r>
      <w:tr w14:paraId="2F63E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2B9C340B">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w:t>
            </w:r>
          </w:p>
        </w:tc>
        <w:tc>
          <w:tcPr>
            <w:tcW w:w="1376" w:type="pct"/>
            <w:gridSpan w:val="2"/>
            <w:tcBorders>
              <w:tl2br w:val="nil"/>
              <w:tr2bl w:val="nil"/>
            </w:tcBorders>
            <w:noWrap w:val="0"/>
            <w:vAlign w:val="center"/>
          </w:tcPr>
          <w:p w14:paraId="5CDCE9CB">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路基宽度</w:t>
            </w:r>
          </w:p>
        </w:tc>
        <w:tc>
          <w:tcPr>
            <w:tcW w:w="522" w:type="pct"/>
            <w:tcBorders>
              <w:tl2br w:val="nil"/>
              <w:tr2bl w:val="nil"/>
            </w:tcBorders>
            <w:noWrap w:val="0"/>
            <w:vAlign w:val="center"/>
          </w:tcPr>
          <w:p w14:paraId="2EC2FB8F">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m</w:t>
            </w:r>
          </w:p>
        </w:tc>
        <w:tc>
          <w:tcPr>
            <w:tcW w:w="895" w:type="pct"/>
            <w:tcBorders>
              <w:tl2br w:val="nil"/>
              <w:tr2bl w:val="nil"/>
            </w:tcBorders>
            <w:noWrap w:val="0"/>
            <w:vAlign w:val="center"/>
          </w:tcPr>
          <w:p w14:paraId="676C6119">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24.5</w:t>
            </w:r>
          </w:p>
        </w:tc>
        <w:tc>
          <w:tcPr>
            <w:tcW w:w="957" w:type="pct"/>
            <w:tcBorders>
              <w:tl2br w:val="nil"/>
              <w:tr2bl w:val="nil"/>
            </w:tcBorders>
            <w:noWrap w:val="0"/>
            <w:vAlign w:val="center"/>
          </w:tcPr>
          <w:p w14:paraId="627B54AE">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12.25</w:t>
            </w:r>
          </w:p>
        </w:tc>
        <w:tc>
          <w:tcPr>
            <w:tcW w:w="759" w:type="pct"/>
            <w:tcBorders>
              <w:tl2br w:val="nil"/>
              <w:tr2bl w:val="nil"/>
            </w:tcBorders>
            <w:noWrap w:val="0"/>
            <w:vAlign w:val="center"/>
          </w:tcPr>
          <w:p w14:paraId="31F0DECA">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w:t>
            </w:r>
          </w:p>
        </w:tc>
      </w:tr>
      <w:tr w14:paraId="2BE07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0726C126">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2</w:t>
            </w:r>
          </w:p>
        </w:tc>
        <w:tc>
          <w:tcPr>
            <w:tcW w:w="1376" w:type="pct"/>
            <w:gridSpan w:val="2"/>
            <w:tcBorders>
              <w:tl2br w:val="nil"/>
              <w:tr2bl w:val="nil"/>
            </w:tcBorders>
            <w:noWrap w:val="0"/>
            <w:vAlign w:val="center"/>
          </w:tcPr>
          <w:p w14:paraId="552EBB47">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行车道宽度</w:t>
            </w:r>
          </w:p>
        </w:tc>
        <w:tc>
          <w:tcPr>
            <w:tcW w:w="522" w:type="pct"/>
            <w:tcBorders>
              <w:tl2br w:val="nil"/>
              <w:tr2bl w:val="nil"/>
            </w:tcBorders>
            <w:noWrap w:val="0"/>
            <w:vAlign w:val="center"/>
          </w:tcPr>
          <w:p w14:paraId="3AD5E0A1">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m</w:t>
            </w:r>
          </w:p>
        </w:tc>
        <w:tc>
          <w:tcPr>
            <w:tcW w:w="895" w:type="pct"/>
            <w:tcBorders>
              <w:tl2br w:val="nil"/>
              <w:tr2bl w:val="nil"/>
            </w:tcBorders>
            <w:noWrap w:val="0"/>
            <w:vAlign w:val="center"/>
          </w:tcPr>
          <w:p w14:paraId="5D59DEE9">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2×（2×3.75）</w:t>
            </w:r>
          </w:p>
        </w:tc>
        <w:tc>
          <w:tcPr>
            <w:tcW w:w="957" w:type="pct"/>
            <w:tcBorders>
              <w:tl2br w:val="nil"/>
              <w:tr2bl w:val="nil"/>
            </w:tcBorders>
            <w:noWrap w:val="0"/>
            <w:vAlign w:val="center"/>
          </w:tcPr>
          <w:p w14:paraId="5A6CCFC2">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2×（2×3.75）</w:t>
            </w:r>
          </w:p>
        </w:tc>
        <w:tc>
          <w:tcPr>
            <w:tcW w:w="759" w:type="pct"/>
            <w:tcBorders>
              <w:tl2br w:val="nil"/>
              <w:tr2bl w:val="nil"/>
            </w:tcBorders>
            <w:noWrap w:val="0"/>
            <w:vAlign w:val="center"/>
          </w:tcPr>
          <w:p w14:paraId="26F7F281">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w:t>
            </w:r>
          </w:p>
        </w:tc>
      </w:tr>
      <w:tr w14:paraId="01144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7D18176A">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w:t>
            </w:r>
          </w:p>
        </w:tc>
        <w:tc>
          <w:tcPr>
            <w:tcW w:w="1376" w:type="pct"/>
            <w:gridSpan w:val="2"/>
            <w:tcBorders>
              <w:tl2br w:val="nil"/>
              <w:tr2bl w:val="nil"/>
            </w:tcBorders>
            <w:noWrap w:val="0"/>
            <w:vAlign w:val="center"/>
          </w:tcPr>
          <w:p w14:paraId="24BA61B2">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中央分隔带宽度</w:t>
            </w:r>
          </w:p>
        </w:tc>
        <w:tc>
          <w:tcPr>
            <w:tcW w:w="522" w:type="pct"/>
            <w:tcBorders>
              <w:tl2br w:val="nil"/>
              <w:tr2bl w:val="nil"/>
            </w:tcBorders>
            <w:noWrap w:val="0"/>
            <w:vAlign w:val="center"/>
          </w:tcPr>
          <w:p w14:paraId="15EEC383">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m</w:t>
            </w:r>
          </w:p>
        </w:tc>
        <w:tc>
          <w:tcPr>
            <w:tcW w:w="895" w:type="pct"/>
            <w:tcBorders>
              <w:tl2br w:val="nil"/>
              <w:tr2bl w:val="nil"/>
            </w:tcBorders>
            <w:noWrap w:val="0"/>
            <w:vAlign w:val="center"/>
          </w:tcPr>
          <w:p w14:paraId="5B6019C0">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w:t>
            </w:r>
          </w:p>
        </w:tc>
        <w:tc>
          <w:tcPr>
            <w:tcW w:w="957" w:type="pct"/>
            <w:tcBorders>
              <w:tl2br w:val="nil"/>
              <w:tr2bl w:val="nil"/>
            </w:tcBorders>
            <w:noWrap w:val="0"/>
            <w:vAlign w:val="center"/>
          </w:tcPr>
          <w:p w14:paraId="72404BCD">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w:t>
            </w:r>
          </w:p>
        </w:tc>
        <w:tc>
          <w:tcPr>
            <w:tcW w:w="759" w:type="pct"/>
            <w:tcBorders>
              <w:tl2br w:val="nil"/>
              <w:tr2bl w:val="nil"/>
            </w:tcBorders>
            <w:noWrap w:val="0"/>
            <w:vAlign w:val="center"/>
          </w:tcPr>
          <w:p w14:paraId="1F5323BB">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r>
      <w:tr w14:paraId="0384E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21BF21BE">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w:t>
            </w:r>
          </w:p>
        </w:tc>
        <w:tc>
          <w:tcPr>
            <w:tcW w:w="1376" w:type="pct"/>
            <w:gridSpan w:val="2"/>
            <w:tcBorders>
              <w:tl2br w:val="nil"/>
              <w:tr2bl w:val="nil"/>
            </w:tcBorders>
            <w:noWrap w:val="0"/>
            <w:vAlign w:val="center"/>
          </w:tcPr>
          <w:p w14:paraId="719742E7">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左侧路缘带宽度</w:t>
            </w:r>
          </w:p>
        </w:tc>
        <w:tc>
          <w:tcPr>
            <w:tcW w:w="522" w:type="pct"/>
            <w:tcBorders>
              <w:tl2br w:val="nil"/>
              <w:tr2bl w:val="nil"/>
            </w:tcBorders>
            <w:noWrap w:val="0"/>
            <w:vAlign w:val="center"/>
          </w:tcPr>
          <w:p w14:paraId="3982A45C">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m</w:t>
            </w:r>
          </w:p>
        </w:tc>
        <w:tc>
          <w:tcPr>
            <w:tcW w:w="895" w:type="pct"/>
            <w:tcBorders>
              <w:tl2br w:val="nil"/>
              <w:tr2bl w:val="nil"/>
            </w:tcBorders>
            <w:noWrap w:val="0"/>
            <w:vAlign w:val="center"/>
          </w:tcPr>
          <w:p w14:paraId="6946BF2E">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2×0</w:t>
            </w:r>
            <w:r>
              <w:rPr>
                <w:rFonts w:hint="default" w:ascii="Times New Roman" w:hAnsi="Times New Roman" w:eastAsia="宋体" w:cs="Times New Roman"/>
                <w:color w:val="auto"/>
                <w:sz w:val="21"/>
                <w:szCs w:val="21"/>
                <w:vertAlign w:val="baseline"/>
                <w:lang w:val="en-US" w:eastAsia="zh-CN"/>
              </w:rPr>
              <w:t>.5</w:t>
            </w:r>
          </w:p>
        </w:tc>
        <w:tc>
          <w:tcPr>
            <w:tcW w:w="957" w:type="pct"/>
            <w:tcBorders>
              <w:tl2br w:val="nil"/>
              <w:tr2bl w:val="nil"/>
            </w:tcBorders>
            <w:noWrap w:val="0"/>
            <w:vAlign w:val="center"/>
          </w:tcPr>
          <w:p w14:paraId="109655B2">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0.75</w:t>
            </w:r>
          </w:p>
        </w:tc>
        <w:tc>
          <w:tcPr>
            <w:tcW w:w="759" w:type="pct"/>
            <w:tcBorders>
              <w:tl2br w:val="nil"/>
              <w:tr2bl w:val="nil"/>
            </w:tcBorders>
            <w:noWrap w:val="0"/>
            <w:vAlign w:val="center"/>
          </w:tcPr>
          <w:p w14:paraId="491333D0">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r>
      <w:tr w14:paraId="286DD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00D92F16">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5</w:t>
            </w:r>
          </w:p>
        </w:tc>
        <w:tc>
          <w:tcPr>
            <w:tcW w:w="1376" w:type="pct"/>
            <w:gridSpan w:val="2"/>
            <w:tcBorders>
              <w:tl2br w:val="nil"/>
              <w:tr2bl w:val="nil"/>
            </w:tcBorders>
            <w:noWrap w:val="0"/>
            <w:vAlign w:val="center"/>
          </w:tcPr>
          <w:p w14:paraId="0B9C33A6">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硬路肩宽度</w:t>
            </w:r>
          </w:p>
        </w:tc>
        <w:tc>
          <w:tcPr>
            <w:tcW w:w="522" w:type="pct"/>
            <w:tcBorders>
              <w:tl2br w:val="nil"/>
              <w:tr2bl w:val="nil"/>
            </w:tcBorders>
            <w:noWrap w:val="0"/>
            <w:vAlign w:val="center"/>
          </w:tcPr>
          <w:p w14:paraId="2BD447B0">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m</w:t>
            </w:r>
          </w:p>
        </w:tc>
        <w:tc>
          <w:tcPr>
            <w:tcW w:w="895" w:type="pct"/>
            <w:tcBorders>
              <w:tl2br w:val="nil"/>
              <w:tr2bl w:val="nil"/>
            </w:tcBorders>
            <w:noWrap w:val="0"/>
            <w:vAlign w:val="center"/>
          </w:tcPr>
          <w:p w14:paraId="5FC229A1">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2×2</w:t>
            </w:r>
            <w:r>
              <w:rPr>
                <w:rFonts w:hint="default" w:ascii="Times New Roman" w:hAnsi="Times New Roman" w:eastAsia="宋体" w:cs="Times New Roman"/>
                <w:color w:val="auto"/>
                <w:sz w:val="21"/>
                <w:szCs w:val="21"/>
                <w:vertAlign w:val="baseline"/>
                <w:lang w:val="en-US" w:eastAsia="zh-CN"/>
              </w:rPr>
              <w:t>.5</w:t>
            </w:r>
          </w:p>
        </w:tc>
        <w:tc>
          <w:tcPr>
            <w:tcW w:w="957" w:type="pct"/>
            <w:tcBorders>
              <w:tl2br w:val="nil"/>
              <w:tr2bl w:val="nil"/>
            </w:tcBorders>
            <w:noWrap w:val="0"/>
            <w:vAlign w:val="center"/>
          </w:tcPr>
          <w:p w14:paraId="4DCA5817">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2.5</w:t>
            </w:r>
          </w:p>
        </w:tc>
        <w:tc>
          <w:tcPr>
            <w:tcW w:w="759" w:type="pct"/>
            <w:tcBorders>
              <w:tl2br w:val="nil"/>
              <w:tr2bl w:val="nil"/>
            </w:tcBorders>
            <w:noWrap w:val="0"/>
            <w:vAlign w:val="center"/>
          </w:tcPr>
          <w:p w14:paraId="2C45CFFB">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r w14:paraId="42186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7D5E418A">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6</w:t>
            </w:r>
          </w:p>
        </w:tc>
        <w:tc>
          <w:tcPr>
            <w:tcW w:w="1376" w:type="pct"/>
            <w:gridSpan w:val="2"/>
            <w:tcBorders>
              <w:tl2br w:val="nil"/>
              <w:tr2bl w:val="nil"/>
            </w:tcBorders>
            <w:noWrap w:val="0"/>
            <w:vAlign w:val="center"/>
          </w:tcPr>
          <w:p w14:paraId="5C36130A">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土路肩宽度</w:t>
            </w:r>
          </w:p>
        </w:tc>
        <w:tc>
          <w:tcPr>
            <w:tcW w:w="522" w:type="pct"/>
            <w:tcBorders>
              <w:tl2br w:val="nil"/>
              <w:tr2bl w:val="nil"/>
            </w:tcBorders>
            <w:noWrap w:val="0"/>
            <w:vAlign w:val="center"/>
          </w:tcPr>
          <w:p w14:paraId="0131DF3B">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m</w:t>
            </w:r>
          </w:p>
        </w:tc>
        <w:tc>
          <w:tcPr>
            <w:tcW w:w="895" w:type="pct"/>
            <w:tcBorders>
              <w:tl2br w:val="nil"/>
              <w:tr2bl w:val="nil"/>
            </w:tcBorders>
            <w:noWrap w:val="0"/>
            <w:vAlign w:val="center"/>
          </w:tcPr>
          <w:p w14:paraId="248403F1">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2×0.75</w:t>
            </w:r>
          </w:p>
        </w:tc>
        <w:tc>
          <w:tcPr>
            <w:tcW w:w="957" w:type="pct"/>
            <w:tcBorders>
              <w:tl2br w:val="nil"/>
              <w:tr2bl w:val="nil"/>
            </w:tcBorders>
            <w:noWrap w:val="0"/>
            <w:vAlign w:val="center"/>
          </w:tcPr>
          <w:p w14:paraId="6381B2E1">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2×0.75</w:t>
            </w:r>
          </w:p>
        </w:tc>
        <w:tc>
          <w:tcPr>
            <w:tcW w:w="759" w:type="pct"/>
            <w:tcBorders>
              <w:tl2br w:val="nil"/>
              <w:tr2bl w:val="nil"/>
            </w:tcBorders>
            <w:noWrap w:val="0"/>
            <w:vAlign w:val="center"/>
          </w:tcPr>
          <w:p w14:paraId="22CAF69F">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r w14:paraId="13AD1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119FC53B">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w:t>
            </w:r>
          </w:p>
        </w:tc>
        <w:tc>
          <w:tcPr>
            <w:tcW w:w="1376" w:type="pct"/>
            <w:gridSpan w:val="2"/>
            <w:tcBorders>
              <w:tl2br w:val="nil"/>
              <w:tr2bl w:val="nil"/>
            </w:tcBorders>
            <w:noWrap w:val="0"/>
            <w:vAlign w:val="center"/>
          </w:tcPr>
          <w:p w14:paraId="3650062F">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路基设计洪水频率</w:t>
            </w:r>
          </w:p>
        </w:tc>
        <w:tc>
          <w:tcPr>
            <w:tcW w:w="522" w:type="pct"/>
            <w:tcBorders>
              <w:tl2br w:val="nil"/>
              <w:tr2bl w:val="nil"/>
            </w:tcBorders>
            <w:noWrap w:val="0"/>
            <w:vAlign w:val="center"/>
          </w:tcPr>
          <w:p w14:paraId="45BE575D">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w:t>
            </w:r>
          </w:p>
        </w:tc>
        <w:tc>
          <w:tcPr>
            <w:tcW w:w="1852" w:type="pct"/>
            <w:gridSpan w:val="2"/>
            <w:tcBorders>
              <w:tl2br w:val="nil"/>
              <w:tr2bl w:val="nil"/>
            </w:tcBorders>
            <w:noWrap w:val="0"/>
            <w:vAlign w:val="center"/>
          </w:tcPr>
          <w:p w14:paraId="7CC4F758">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1/100</w:t>
            </w:r>
          </w:p>
        </w:tc>
        <w:tc>
          <w:tcPr>
            <w:tcW w:w="759" w:type="pct"/>
            <w:tcBorders>
              <w:tl2br w:val="nil"/>
              <w:tr2bl w:val="nil"/>
            </w:tcBorders>
            <w:noWrap w:val="0"/>
            <w:vAlign w:val="center"/>
          </w:tcPr>
          <w:p w14:paraId="61D8EEAB">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r w14:paraId="73429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55000A3C">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三</w:t>
            </w:r>
          </w:p>
        </w:tc>
        <w:tc>
          <w:tcPr>
            <w:tcW w:w="1376" w:type="pct"/>
            <w:gridSpan w:val="2"/>
            <w:tcBorders>
              <w:tl2br w:val="nil"/>
              <w:tr2bl w:val="nil"/>
            </w:tcBorders>
            <w:noWrap w:val="0"/>
            <w:vAlign w:val="center"/>
          </w:tcPr>
          <w:p w14:paraId="24288EA3">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路线指标</w:t>
            </w:r>
          </w:p>
        </w:tc>
        <w:tc>
          <w:tcPr>
            <w:tcW w:w="522" w:type="pct"/>
            <w:tcBorders>
              <w:tl2br w:val="nil"/>
              <w:tr2bl w:val="nil"/>
            </w:tcBorders>
            <w:noWrap w:val="0"/>
            <w:vAlign w:val="center"/>
          </w:tcPr>
          <w:p w14:paraId="3F1476C8">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p>
        </w:tc>
        <w:tc>
          <w:tcPr>
            <w:tcW w:w="1852" w:type="pct"/>
            <w:gridSpan w:val="2"/>
            <w:tcBorders>
              <w:tl2br w:val="nil"/>
              <w:tr2bl w:val="nil"/>
            </w:tcBorders>
            <w:noWrap w:val="0"/>
            <w:vAlign w:val="center"/>
          </w:tcPr>
          <w:p w14:paraId="6A0B6E4E">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p>
        </w:tc>
        <w:tc>
          <w:tcPr>
            <w:tcW w:w="759" w:type="pct"/>
            <w:tcBorders>
              <w:tl2br w:val="nil"/>
              <w:tr2bl w:val="nil"/>
            </w:tcBorders>
            <w:noWrap w:val="0"/>
            <w:vAlign w:val="center"/>
          </w:tcPr>
          <w:p w14:paraId="77DE726D">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r>
      <w:tr w14:paraId="17E53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2794F237">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1376" w:type="pct"/>
            <w:gridSpan w:val="2"/>
            <w:tcBorders>
              <w:tl2br w:val="nil"/>
              <w:tr2bl w:val="nil"/>
            </w:tcBorders>
            <w:noWrap w:val="0"/>
            <w:vAlign w:val="center"/>
          </w:tcPr>
          <w:p w14:paraId="716172B8">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最小平曲线半径</w:t>
            </w:r>
          </w:p>
        </w:tc>
        <w:tc>
          <w:tcPr>
            <w:tcW w:w="522" w:type="pct"/>
            <w:tcBorders>
              <w:tl2br w:val="nil"/>
              <w:tr2bl w:val="nil"/>
            </w:tcBorders>
            <w:noWrap w:val="0"/>
            <w:vAlign w:val="center"/>
          </w:tcPr>
          <w:p w14:paraId="1A439BD7">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m</w:t>
            </w:r>
          </w:p>
        </w:tc>
        <w:tc>
          <w:tcPr>
            <w:tcW w:w="1852" w:type="pct"/>
            <w:gridSpan w:val="2"/>
            <w:tcBorders>
              <w:tl2br w:val="nil"/>
              <w:tr2bl w:val="nil"/>
            </w:tcBorders>
            <w:noWrap w:val="0"/>
            <w:vAlign w:val="center"/>
          </w:tcPr>
          <w:p w14:paraId="4A772C40">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850</w:t>
            </w:r>
          </w:p>
        </w:tc>
        <w:tc>
          <w:tcPr>
            <w:tcW w:w="759" w:type="pct"/>
            <w:tcBorders>
              <w:tl2br w:val="nil"/>
              <w:tr2bl w:val="nil"/>
            </w:tcBorders>
            <w:noWrap w:val="0"/>
            <w:vAlign w:val="center"/>
          </w:tcPr>
          <w:p w14:paraId="0E43B021">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r w14:paraId="194B5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22DB4511">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1376" w:type="pct"/>
            <w:gridSpan w:val="2"/>
            <w:tcBorders>
              <w:tl2br w:val="nil"/>
              <w:tr2bl w:val="nil"/>
            </w:tcBorders>
            <w:noWrap w:val="0"/>
            <w:vAlign w:val="center"/>
          </w:tcPr>
          <w:p w14:paraId="2A0B0011">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最小停车视距</w:t>
            </w:r>
          </w:p>
        </w:tc>
        <w:tc>
          <w:tcPr>
            <w:tcW w:w="522" w:type="pct"/>
            <w:tcBorders>
              <w:tl2br w:val="nil"/>
              <w:tr2bl w:val="nil"/>
            </w:tcBorders>
            <w:noWrap w:val="0"/>
            <w:vAlign w:val="center"/>
          </w:tcPr>
          <w:p w14:paraId="236CAA92">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m</w:t>
            </w:r>
          </w:p>
        </w:tc>
        <w:tc>
          <w:tcPr>
            <w:tcW w:w="1852" w:type="pct"/>
            <w:gridSpan w:val="2"/>
            <w:tcBorders>
              <w:tl2br w:val="nil"/>
              <w:tr2bl w:val="nil"/>
            </w:tcBorders>
            <w:noWrap w:val="0"/>
            <w:vAlign w:val="center"/>
          </w:tcPr>
          <w:p w14:paraId="77023109">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110</w:t>
            </w:r>
          </w:p>
        </w:tc>
        <w:tc>
          <w:tcPr>
            <w:tcW w:w="759" w:type="pct"/>
            <w:tcBorders>
              <w:tl2br w:val="nil"/>
              <w:tr2bl w:val="nil"/>
            </w:tcBorders>
            <w:noWrap w:val="0"/>
            <w:vAlign w:val="center"/>
          </w:tcPr>
          <w:p w14:paraId="24A9237A">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r w14:paraId="3F637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1A740430">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w:t>
            </w:r>
          </w:p>
        </w:tc>
        <w:tc>
          <w:tcPr>
            <w:tcW w:w="1376" w:type="pct"/>
            <w:gridSpan w:val="2"/>
            <w:tcBorders>
              <w:tl2br w:val="nil"/>
              <w:tr2bl w:val="nil"/>
            </w:tcBorders>
            <w:noWrap w:val="0"/>
            <w:vAlign w:val="center"/>
          </w:tcPr>
          <w:p w14:paraId="7B3F9FEA">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最大纵坡</w:t>
            </w:r>
          </w:p>
        </w:tc>
        <w:tc>
          <w:tcPr>
            <w:tcW w:w="522" w:type="pct"/>
            <w:tcBorders>
              <w:tl2br w:val="nil"/>
              <w:tr2bl w:val="nil"/>
            </w:tcBorders>
            <w:noWrap w:val="0"/>
            <w:vAlign w:val="center"/>
          </w:tcPr>
          <w:p w14:paraId="540B9FF6">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852" w:type="pct"/>
            <w:gridSpan w:val="2"/>
            <w:tcBorders>
              <w:tl2br w:val="nil"/>
              <w:tr2bl w:val="nil"/>
            </w:tcBorders>
            <w:noWrap w:val="0"/>
            <w:vAlign w:val="center"/>
          </w:tcPr>
          <w:p w14:paraId="41150280">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rPr>
            </w:pPr>
            <w:r>
              <w:rPr>
                <w:rFonts w:hint="default" w:ascii="Times New Roman" w:hAnsi="Times New Roman" w:eastAsia="宋体" w:cs="Times New Roman"/>
                <w:color w:val="auto"/>
                <w:kern w:val="0"/>
                <w:sz w:val="21"/>
                <w:szCs w:val="21"/>
                <w:lang w:val="en-US" w:eastAsia="zh-CN" w:bidi="ar"/>
              </w:rPr>
              <w:t>3.95</w:t>
            </w:r>
          </w:p>
        </w:tc>
        <w:tc>
          <w:tcPr>
            <w:tcW w:w="759" w:type="pct"/>
            <w:tcBorders>
              <w:tl2br w:val="nil"/>
              <w:tr2bl w:val="nil"/>
            </w:tcBorders>
            <w:noWrap w:val="0"/>
            <w:vAlign w:val="center"/>
          </w:tcPr>
          <w:p w14:paraId="562EA21E">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r w14:paraId="60F49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6B2234BA">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w:t>
            </w:r>
          </w:p>
        </w:tc>
        <w:tc>
          <w:tcPr>
            <w:tcW w:w="1376" w:type="pct"/>
            <w:gridSpan w:val="2"/>
            <w:tcBorders>
              <w:tl2br w:val="nil"/>
              <w:tr2bl w:val="nil"/>
            </w:tcBorders>
            <w:noWrap w:val="0"/>
            <w:vAlign w:val="center"/>
          </w:tcPr>
          <w:p w14:paraId="2EEA463C">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最大坡长</w:t>
            </w:r>
          </w:p>
        </w:tc>
        <w:tc>
          <w:tcPr>
            <w:tcW w:w="522" w:type="pct"/>
            <w:tcBorders>
              <w:tl2br w:val="nil"/>
              <w:tr2bl w:val="nil"/>
            </w:tcBorders>
            <w:noWrap w:val="0"/>
            <w:vAlign w:val="center"/>
          </w:tcPr>
          <w:p w14:paraId="078C37D5">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m</w:t>
            </w:r>
          </w:p>
        </w:tc>
        <w:tc>
          <w:tcPr>
            <w:tcW w:w="1852" w:type="pct"/>
            <w:gridSpan w:val="2"/>
            <w:tcBorders>
              <w:tl2br w:val="nil"/>
              <w:tr2bl w:val="nil"/>
            </w:tcBorders>
            <w:noWrap w:val="0"/>
            <w:vAlign w:val="center"/>
          </w:tcPr>
          <w:p w14:paraId="3F11857D">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1403.061</w:t>
            </w:r>
          </w:p>
        </w:tc>
        <w:tc>
          <w:tcPr>
            <w:tcW w:w="759" w:type="pct"/>
            <w:tcBorders>
              <w:tl2br w:val="nil"/>
              <w:tr2bl w:val="nil"/>
            </w:tcBorders>
            <w:noWrap w:val="0"/>
            <w:vAlign w:val="center"/>
          </w:tcPr>
          <w:p w14:paraId="51449C2D">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r w14:paraId="59773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0253AEA1">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w:t>
            </w:r>
          </w:p>
        </w:tc>
        <w:tc>
          <w:tcPr>
            <w:tcW w:w="1376" w:type="pct"/>
            <w:gridSpan w:val="2"/>
            <w:tcBorders>
              <w:tl2br w:val="nil"/>
              <w:tr2bl w:val="nil"/>
            </w:tcBorders>
            <w:noWrap w:val="0"/>
            <w:vAlign w:val="center"/>
          </w:tcPr>
          <w:p w14:paraId="0E5077C7">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最小坡长</w:t>
            </w:r>
          </w:p>
        </w:tc>
        <w:tc>
          <w:tcPr>
            <w:tcW w:w="522" w:type="pct"/>
            <w:tcBorders>
              <w:tl2br w:val="nil"/>
              <w:tr2bl w:val="nil"/>
            </w:tcBorders>
            <w:noWrap w:val="0"/>
            <w:vAlign w:val="center"/>
          </w:tcPr>
          <w:p w14:paraId="4E69FB10">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m</w:t>
            </w:r>
          </w:p>
        </w:tc>
        <w:tc>
          <w:tcPr>
            <w:tcW w:w="1852" w:type="pct"/>
            <w:gridSpan w:val="2"/>
            <w:tcBorders>
              <w:tl2br w:val="nil"/>
              <w:tr2bl w:val="nil"/>
            </w:tcBorders>
            <w:noWrap w:val="0"/>
            <w:vAlign w:val="center"/>
          </w:tcPr>
          <w:p w14:paraId="02F056CC">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378.606</w:t>
            </w:r>
          </w:p>
        </w:tc>
        <w:tc>
          <w:tcPr>
            <w:tcW w:w="759" w:type="pct"/>
            <w:tcBorders>
              <w:tl2br w:val="nil"/>
              <w:tr2bl w:val="nil"/>
            </w:tcBorders>
            <w:noWrap w:val="0"/>
            <w:vAlign w:val="center"/>
          </w:tcPr>
          <w:p w14:paraId="20C8C8CD">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r w14:paraId="72650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488" w:type="pct"/>
            <w:vMerge w:val="restart"/>
            <w:tcBorders>
              <w:tl2br w:val="nil"/>
              <w:tr2bl w:val="nil"/>
            </w:tcBorders>
            <w:noWrap w:val="0"/>
            <w:vAlign w:val="center"/>
          </w:tcPr>
          <w:p w14:paraId="20CB55BC">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w:t>
            </w:r>
          </w:p>
        </w:tc>
        <w:tc>
          <w:tcPr>
            <w:tcW w:w="683" w:type="pct"/>
            <w:vMerge w:val="restart"/>
            <w:tcBorders>
              <w:tl2br w:val="nil"/>
              <w:tr2bl w:val="nil"/>
            </w:tcBorders>
            <w:noWrap w:val="0"/>
            <w:vAlign w:val="center"/>
          </w:tcPr>
          <w:p w14:paraId="037E2CFC">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竖曲线最小半径</w:t>
            </w:r>
          </w:p>
        </w:tc>
        <w:tc>
          <w:tcPr>
            <w:tcW w:w="693" w:type="pct"/>
            <w:tcBorders>
              <w:tl2br w:val="nil"/>
              <w:tr2bl w:val="nil"/>
            </w:tcBorders>
            <w:noWrap w:val="0"/>
            <w:vAlign w:val="center"/>
          </w:tcPr>
          <w:p w14:paraId="13A9C74E">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凸</w:t>
            </w:r>
          </w:p>
        </w:tc>
        <w:tc>
          <w:tcPr>
            <w:tcW w:w="522" w:type="pct"/>
            <w:tcBorders>
              <w:tl2br w:val="nil"/>
              <w:tr2bl w:val="nil"/>
            </w:tcBorders>
            <w:noWrap w:val="0"/>
            <w:vAlign w:val="center"/>
          </w:tcPr>
          <w:p w14:paraId="58F301E3">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m</w:t>
            </w:r>
          </w:p>
        </w:tc>
        <w:tc>
          <w:tcPr>
            <w:tcW w:w="1852" w:type="pct"/>
            <w:gridSpan w:val="2"/>
            <w:tcBorders>
              <w:tl2br w:val="nil"/>
              <w:tr2bl w:val="nil"/>
            </w:tcBorders>
            <w:noWrap w:val="0"/>
            <w:vAlign w:val="center"/>
          </w:tcPr>
          <w:p w14:paraId="64E18D0A">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rPr>
            </w:pPr>
            <w:r>
              <w:rPr>
                <w:rFonts w:hint="default" w:ascii="Times New Roman" w:hAnsi="Times New Roman" w:eastAsia="宋体" w:cs="Times New Roman"/>
                <w:color w:val="auto"/>
                <w:kern w:val="0"/>
                <w:sz w:val="21"/>
                <w:szCs w:val="21"/>
                <w:lang w:val="en-US" w:eastAsia="zh-CN" w:bidi="ar"/>
              </w:rPr>
              <w:t>12000</w:t>
            </w:r>
          </w:p>
        </w:tc>
        <w:tc>
          <w:tcPr>
            <w:tcW w:w="759" w:type="pct"/>
            <w:tcBorders>
              <w:tl2br w:val="nil"/>
              <w:tr2bl w:val="nil"/>
            </w:tcBorders>
            <w:noWrap w:val="0"/>
            <w:vAlign w:val="center"/>
          </w:tcPr>
          <w:p w14:paraId="15E4395D">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r w14:paraId="4E584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88" w:type="pct"/>
            <w:vMerge w:val="continue"/>
            <w:tcBorders>
              <w:tl2br w:val="nil"/>
              <w:tr2bl w:val="nil"/>
            </w:tcBorders>
            <w:noWrap w:val="0"/>
            <w:vAlign w:val="center"/>
          </w:tcPr>
          <w:p w14:paraId="3FDDFB50">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683" w:type="pct"/>
            <w:vMerge w:val="continue"/>
            <w:tcBorders>
              <w:tl2br w:val="nil"/>
              <w:tr2bl w:val="nil"/>
            </w:tcBorders>
            <w:noWrap w:val="0"/>
            <w:vAlign w:val="center"/>
          </w:tcPr>
          <w:p w14:paraId="3CD6576C">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693" w:type="pct"/>
            <w:tcBorders>
              <w:tl2br w:val="nil"/>
              <w:tr2bl w:val="nil"/>
            </w:tcBorders>
            <w:noWrap w:val="0"/>
            <w:vAlign w:val="center"/>
          </w:tcPr>
          <w:p w14:paraId="20DE25A5">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凹</w:t>
            </w:r>
          </w:p>
        </w:tc>
        <w:tc>
          <w:tcPr>
            <w:tcW w:w="522" w:type="pct"/>
            <w:tcBorders>
              <w:tl2br w:val="nil"/>
              <w:tr2bl w:val="nil"/>
            </w:tcBorders>
            <w:noWrap w:val="0"/>
            <w:vAlign w:val="center"/>
          </w:tcPr>
          <w:p w14:paraId="7902CDDD">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m</w:t>
            </w:r>
          </w:p>
        </w:tc>
        <w:tc>
          <w:tcPr>
            <w:tcW w:w="1852" w:type="pct"/>
            <w:gridSpan w:val="2"/>
            <w:tcBorders>
              <w:tl2br w:val="nil"/>
              <w:tr2bl w:val="nil"/>
            </w:tcBorders>
            <w:noWrap w:val="0"/>
            <w:vAlign w:val="center"/>
          </w:tcPr>
          <w:p w14:paraId="40FE27BA">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8000</w:t>
            </w:r>
          </w:p>
        </w:tc>
        <w:tc>
          <w:tcPr>
            <w:tcW w:w="759" w:type="pct"/>
            <w:tcBorders>
              <w:tl2br w:val="nil"/>
              <w:tr2bl w:val="nil"/>
            </w:tcBorders>
            <w:noWrap w:val="0"/>
            <w:vAlign w:val="center"/>
          </w:tcPr>
          <w:p w14:paraId="12319FF7">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r w14:paraId="1BE61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349F9CED">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w:t>
            </w:r>
          </w:p>
        </w:tc>
        <w:tc>
          <w:tcPr>
            <w:tcW w:w="1376" w:type="pct"/>
            <w:gridSpan w:val="2"/>
            <w:tcBorders>
              <w:tl2br w:val="nil"/>
              <w:tr2bl w:val="nil"/>
            </w:tcBorders>
            <w:noWrap w:val="0"/>
            <w:vAlign w:val="center"/>
          </w:tcPr>
          <w:p w14:paraId="605346DE">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竖曲线最小长度</w:t>
            </w:r>
          </w:p>
        </w:tc>
        <w:tc>
          <w:tcPr>
            <w:tcW w:w="522" w:type="pct"/>
            <w:tcBorders>
              <w:tl2br w:val="nil"/>
              <w:tr2bl w:val="nil"/>
            </w:tcBorders>
            <w:noWrap w:val="0"/>
            <w:vAlign w:val="center"/>
          </w:tcPr>
          <w:p w14:paraId="321BCA28">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m</w:t>
            </w:r>
          </w:p>
        </w:tc>
        <w:tc>
          <w:tcPr>
            <w:tcW w:w="1852" w:type="pct"/>
            <w:gridSpan w:val="2"/>
            <w:tcBorders>
              <w:tl2br w:val="nil"/>
              <w:tr2bl w:val="nil"/>
            </w:tcBorders>
            <w:noWrap w:val="0"/>
            <w:vAlign w:val="center"/>
          </w:tcPr>
          <w:p w14:paraId="43D4D4FC">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rPr>
            </w:pPr>
            <w:r>
              <w:rPr>
                <w:rFonts w:hint="default" w:ascii="Times New Roman" w:hAnsi="Times New Roman" w:eastAsia="宋体" w:cs="Times New Roman"/>
                <w:color w:val="auto"/>
                <w:kern w:val="0"/>
                <w:sz w:val="21"/>
                <w:szCs w:val="21"/>
                <w:lang w:val="en-US" w:eastAsia="zh-CN" w:bidi="ar"/>
              </w:rPr>
              <w:t>190</w:t>
            </w:r>
          </w:p>
        </w:tc>
        <w:tc>
          <w:tcPr>
            <w:tcW w:w="759" w:type="pct"/>
            <w:tcBorders>
              <w:tl2br w:val="nil"/>
              <w:tr2bl w:val="nil"/>
            </w:tcBorders>
            <w:noWrap w:val="0"/>
            <w:vAlign w:val="center"/>
          </w:tcPr>
          <w:p w14:paraId="0567968D">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r w14:paraId="76E86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1E26427C">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四</w:t>
            </w:r>
          </w:p>
        </w:tc>
        <w:tc>
          <w:tcPr>
            <w:tcW w:w="1376" w:type="pct"/>
            <w:gridSpan w:val="2"/>
            <w:tcBorders>
              <w:tl2br w:val="nil"/>
              <w:tr2bl w:val="nil"/>
            </w:tcBorders>
            <w:noWrap w:val="0"/>
            <w:vAlign w:val="center"/>
          </w:tcPr>
          <w:p w14:paraId="20A1ACC4">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桥梁指标</w:t>
            </w:r>
          </w:p>
        </w:tc>
        <w:tc>
          <w:tcPr>
            <w:tcW w:w="522" w:type="pct"/>
            <w:tcBorders>
              <w:tl2br w:val="nil"/>
              <w:tr2bl w:val="nil"/>
            </w:tcBorders>
            <w:noWrap w:val="0"/>
            <w:vAlign w:val="center"/>
          </w:tcPr>
          <w:p w14:paraId="519F3CF9">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852" w:type="pct"/>
            <w:gridSpan w:val="2"/>
            <w:tcBorders>
              <w:tl2br w:val="nil"/>
              <w:tr2bl w:val="nil"/>
            </w:tcBorders>
            <w:noWrap w:val="0"/>
            <w:vAlign w:val="center"/>
          </w:tcPr>
          <w:p w14:paraId="5CDF5338">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BZ-100</w:t>
            </w:r>
          </w:p>
        </w:tc>
        <w:tc>
          <w:tcPr>
            <w:tcW w:w="759" w:type="pct"/>
            <w:tcBorders>
              <w:tl2br w:val="nil"/>
              <w:tr2bl w:val="nil"/>
            </w:tcBorders>
            <w:noWrap w:val="0"/>
            <w:vAlign w:val="center"/>
          </w:tcPr>
          <w:p w14:paraId="51FFE691">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r w14:paraId="3DD10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5FDCFE32">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1376" w:type="pct"/>
            <w:gridSpan w:val="2"/>
            <w:tcBorders>
              <w:tl2br w:val="nil"/>
              <w:tr2bl w:val="nil"/>
            </w:tcBorders>
            <w:noWrap w:val="0"/>
            <w:vAlign w:val="center"/>
          </w:tcPr>
          <w:p w14:paraId="20F75FBB">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桥面宽</w:t>
            </w:r>
          </w:p>
        </w:tc>
        <w:tc>
          <w:tcPr>
            <w:tcW w:w="522" w:type="pct"/>
            <w:tcBorders>
              <w:tl2br w:val="nil"/>
              <w:tr2bl w:val="nil"/>
            </w:tcBorders>
            <w:noWrap w:val="0"/>
            <w:vAlign w:val="center"/>
          </w:tcPr>
          <w:p w14:paraId="5C1BEE79">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m</w:t>
            </w:r>
          </w:p>
        </w:tc>
        <w:tc>
          <w:tcPr>
            <w:tcW w:w="1852" w:type="pct"/>
            <w:gridSpan w:val="2"/>
            <w:tcBorders>
              <w:tl2br w:val="nil"/>
              <w:tr2bl w:val="nil"/>
            </w:tcBorders>
            <w:noWrap w:val="0"/>
            <w:vAlign w:val="center"/>
          </w:tcPr>
          <w:p w14:paraId="55C30FB5">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rPr>
            </w:pPr>
            <w:r>
              <w:rPr>
                <w:rFonts w:hint="default" w:ascii="Times New Roman" w:hAnsi="Times New Roman" w:eastAsia="宋体" w:cs="Times New Roman"/>
                <w:color w:val="auto"/>
                <w:kern w:val="0"/>
                <w:sz w:val="21"/>
                <w:szCs w:val="21"/>
                <w:lang w:val="en-US" w:eastAsia="zh-CN" w:bidi="ar"/>
              </w:rPr>
              <w:t>2×12m</w:t>
            </w:r>
          </w:p>
        </w:tc>
        <w:tc>
          <w:tcPr>
            <w:tcW w:w="759" w:type="pct"/>
            <w:tcBorders>
              <w:tl2br w:val="nil"/>
              <w:tr2bl w:val="nil"/>
            </w:tcBorders>
            <w:noWrap w:val="0"/>
            <w:vAlign w:val="center"/>
          </w:tcPr>
          <w:p w14:paraId="6BC57709">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r w14:paraId="7BF18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488" w:type="pct"/>
            <w:tcBorders>
              <w:tl2br w:val="nil"/>
              <w:tr2bl w:val="nil"/>
            </w:tcBorders>
            <w:noWrap w:val="0"/>
            <w:vAlign w:val="center"/>
          </w:tcPr>
          <w:p w14:paraId="1A681ABD">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1376" w:type="pct"/>
            <w:gridSpan w:val="2"/>
            <w:tcBorders>
              <w:tl2br w:val="nil"/>
              <w:tr2bl w:val="nil"/>
            </w:tcBorders>
            <w:noWrap w:val="0"/>
            <w:vAlign w:val="center"/>
          </w:tcPr>
          <w:p w14:paraId="4988BF3A">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桥涵设计荷载</w:t>
            </w:r>
          </w:p>
        </w:tc>
        <w:tc>
          <w:tcPr>
            <w:tcW w:w="522" w:type="pct"/>
            <w:tcBorders>
              <w:tl2br w:val="nil"/>
              <w:tr2bl w:val="nil"/>
            </w:tcBorders>
            <w:noWrap w:val="0"/>
            <w:vAlign w:val="center"/>
          </w:tcPr>
          <w:p w14:paraId="05D99B92">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852" w:type="pct"/>
            <w:gridSpan w:val="2"/>
            <w:tcBorders>
              <w:tl2br w:val="nil"/>
              <w:tr2bl w:val="nil"/>
            </w:tcBorders>
            <w:noWrap w:val="0"/>
            <w:vAlign w:val="center"/>
          </w:tcPr>
          <w:p w14:paraId="30F170F8">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vertAlign w:val="baseline"/>
                <w:lang w:val="en-US" w:eastAsia="zh-CN"/>
              </w:rPr>
              <w:t>公路－Ⅰ级</w:t>
            </w:r>
          </w:p>
        </w:tc>
        <w:tc>
          <w:tcPr>
            <w:tcW w:w="759" w:type="pct"/>
            <w:tcBorders>
              <w:tl2br w:val="nil"/>
              <w:tr2bl w:val="nil"/>
            </w:tcBorders>
            <w:noWrap w:val="0"/>
            <w:vAlign w:val="center"/>
          </w:tcPr>
          <w:p w14:paraId="4546053A">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r w14:paraId="6CC97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488" w:type="pct"/>
            <w:tcBorders>
              <w:tl2br w:val="nil"/>
              <w:tr2bl w:val="nil"/>
            </w:tcBorders>
            <w:noWrap w:val="0"/>
            <w:vAlign w:val="center"/>
          </w:tcPr>
          <w:p w14:paraId="4BD0835E">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w:t>
            </w:r>
          </w:p>
        </w:tc>
        <w:tc>
          <w:tcPr>
            <w:tcW w:w="1376" w:type="pct"/>
            <w:gridSpan w:val="2"/>
            <w:tcBorders>
              <w:tl2br w:val="nil"/>
              <w:tr2bl w:val="nil"/>
            </w:tcBorders>
            <w:noWrap w:val="0"/>
            <w:vAlign w:val="center"/>
          </w:tcPr>
          <w:p w14:paraId="51DB8BF9">
            <w:pPr>
              <w:keepNext w:val="0"/>
              <w:keepLines w:val="0"/>
              <w:pageBreakBefore w:val="0"/>
              <w:widowControl/>
              <w:suppressLineNumbers w:val="0"/>
              <w:kinsoku/>
              <w:wordWrap/>
              <w:bidi w:val="0"/>
              <w:adjustRightInd/>
              <w:snapToGrid/>
              <w:spacing w:line="240" w:lineRule="auto"/>
              <w:ind w:right="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桥涵设计洪水频率</w:t>
            </w:r>
          </w:p>
        </w:tc>
        <w:tc>
          <w:tcPr>
            <w:tcW w:w="522" w:type="pct"/>
            <w:tcBorders>
              <w:tl2br w:val="nil"/>
              <w:tr2bl w:val="nil"/>
            </w:tcBorders>
            <w:noWrap w:val="0"/>
            <w:vAlign w:val="center"/>
          </w:tcPr>
          <w:p w14:paraId="4AB547E0">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852" w:type="pct"/>
            <w:gridSpan w:val="2"/>
            <w:tcBorders>
              <w:tl2br w:val="nil"/>
              <w:tr2bl w:val="nil"/>
            </w:tcBorders>
            <w:noWrap w:val="0"/>
            <w:vAlign w:val="center"/>
          </w:tcPr>
          <w:p w14:paraId="71D82F5E">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759" w:type="pct"/>
            <w:tcBorders>
              <w:tl2br w:val="nil"/>
              <w:tr2bl w:val="nil"/>
            </w:tcBorders>
            <w:noWrap w:val="0"/>
            <w:vAlign w:val="center"/>
          </w:tcPr>
          <w:p w14:paraId="17D6F9C7">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r>
      <w:tr w14:paraId="3C8DE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488" w:type="pct"/>
            <w:tcBorders>
              <w:tl2br w:val="nil"/>
              <w:tr2bl w:val="nil"/>
            </w:tcBorders>
            <w:noWrap w:val="0"/>
            <w:vAlign w:val="center"/>
          </w:tcPr>
          <w:p w14:paraId="4C9FD6BB">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五</w:t>
            </w:r>
          </w:p>
        </w:tc>
        <w:tc>
          <w:tcPr>
            <w:tcW w:w="1376" w:type="pct"/>
            <w:gridSpan w:val="2"/>
            <w:tcBorders>
              <w:tl2br w:val="nil"/>
              <w:tr2bl w:val="nil"/>
            </w:tcBorders>
            <w:noWrap w:val="0"/>
            <w:vAlign w:val="center"/>
          </w:tcPr>
          <w:p w14:paraId="0D374DF2">
            <w:pPr>
              <w:keepNext w:val="0"/>
              <w:keepLines w:val="0"/>
              <w:pageBreakBefore w:val="0"/>
              <w:widowControl/>
              <w:suppressLineNumbers w:val="0"/>
              <w:kinsoku/>
              <w:wordWrap/>
              <w:bidi w:val="0"/>
              <w:adjustRightInd/>
              <w:snapToGrid/>
              <w:spacing w:line="240" w:lineRule="auto"/>
              <w:ind w:right="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路面指标</w:t>
            </w:r>
          </w:p>
        </w:tc>
        <w:tc>
          <w:tcPr>
            <w:tcW w:w="522" w:type="pct"/>
            <w:tcBorders>
              <w:tl2br w:val="nil"/>
              <w:tr2bl w:val="nil"/>
            </w:tcBorders>
            <w:noWrap w:val="0"/>
            <w:vAlign w:val="center"/>
          </w:tcPr>
          <w:p w14:paraId="5523CF7E">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852" w:type="pct"/>
            <w:gridSpan w:val="2"/>
            <w:tcBorders>
              <w:tl2br w:val="nil"/>
              <w:tr2bl w:val="nil"/>
            </w:tcBorders>
            <w:noWrap w:val="0"/>
            <w:vAlign w:val="center"/>
          </w:tcPr>
          <w:p w14:paraId="1AED83DC">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759" w:type="pct"/>
            <w:tcBorders>
              <w:tl2br w:val="nil"/>
              <w:tr2bl w:val="nil"/>
            </w:tcBorders>
            <w:noWrap w:val="0"/>
            <w:vAlign w:val="center"/>
          </w:tcPr>
          <w:p w14:paraId="2D04C4C0">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r>
      <w:tr w14:paraId="3553C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488" w:type="pct"/>
            <w:tcBorders>
              <w:tl2br w:val="nil"/>
              <w:tr2bl w:val="nil"/>
            </w:tcBorders>
            <w:noWrap w:val="0"/>
            <w:vAlign w:val="center"/>
          </w:tcPr>
          <w:p w14:paraId="2B0A0379">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1376" w:type="pct"/>
            <w:gridSpan w:val="2"/>
            <w:tcBorders>
              <w:tl2br w:val="nil"/>
              <w:tr2bl w:val="nil"/>
            </w:tcBorders>
            <w:noWrap w:val="0"/>
            <w:vAlign w:val="center"/>
          </w:tcPr>
          <w:p w14:paraId="5BBADAC7">
            <w:pPr>
              <w:keepNext w:val="0"/>
              <w:keepLines w:val="0"/>
              <w:pageBreakBefore w:val="0"/>
              <w:widowControl/>
              <w:suppressLineNumbers w:val="0"/>
              <w:kinsoku/>
              <w:wordWrap/>
              <w:bidi w:val="0"/>
              <w:adjustRightInd/>
              <w:snapToGrid/>
              <w:spacing w:line="240" w:lineRule="auto"/>
              <w:ind w:right="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路面面层类型</w:t>
            </w:r>
          </w:p>
        </w:tc>
        <w:tc>
          <w:tcPr>
            <w:tcW w:w="522" w:type="pct"/>
            <w:tcBorders>
              <w:tl2br w:val="nil"/>
              <w:tr2bl w:val="nil"/>
            </w:tcBorders>
            <w:noWrap w:val="0"/>
            <w:vAlign w:val="center"/>
          </w:tcPr>
          <w:p w14:paraId="4AB31DCC">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852" w:type="pct"/>
            <w:gridSpan w:val="2"/>
            <w:tcBorders>
              <w:tl2br w:val="nil"/>
              <w:tr2bl w:val="nil"/>
            </w:tcBorders>
            <w:noWrap w:val="0"/>
            <w:vAlign w:val="center"/>
          </w:tcPr>
          <w:p w14:paraId="40ED52BD">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沥青混凝土</w:t>
            </w:r>
          </w:p>
        </w:tc>
        <w:tc>
          <w:tcPr>
            <w:tcW w:w="759" w:type="pct"/>
            <w:tcBorders>
              <w:tl2br w:val="nil"/>
              <w:tr2bl w:val="nil"/>
            </w:tcBorders>
            <w:noWrap w:val="0"/>
            <w:vAlign w:val="center"/>
          </w:tcPr>
          <w:p w14:paraId="766AD164">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r w14:paraId="453AD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488" w:type="pct"/>
            <w:tcBorders>
              <w:tl2br w:val="nil"/>
              <w:tr2bl w:val="nil"/>
            </w:tcBorders>
            <w:noWrap w:val="0"/>
            <w:vAlign w:val="center"/>
          </w:tcPr>
          <w:p w14:paraId="2073CBB6">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1376" w:type="pct"/>
            <w:gridSpan w:val="2"/>
            <w:tcBorders>
              <w:tl2br w:val="nil"/>
              <w:tr2bl w:val="nil"/>
            </w:tcBorders>
            <w:noWrap w:val="0"/>
            <w:vAlign w:val="center"/>
          </w:tcPr>
          <w:p w14:paraId="39C33623">
            <w:pPr>
              <w:keepNext w:val="0"/>
              <w:keepLines w:val="0"/>
              <w:pageBreakBefore w:val="0"/>
              <w:widowControl/>
              <w:suppressLineNumbers w:val="0"/>
              <w:kinsoku/>
              <w:wordWrap/>
              <w:bidi w:val="0"/>
              <w:adjustRightInd/>
              <w:snapToGrid/>
              <w:spacing w:line="240" w:lineRule="auto"/>
              <w:ind w:right="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路面横坡</w:t>
            </w:r>
          </w:p>
        </w:tc>
        <w:tc>
          <w:tcPr>
            <w:tcW w:w="522" w:type="pct"/>
            <w:tcBorders>
              <w:tl2br w:val="nil"/>
              <w:tr2bl w:val="nil"/>
            </w:tcBorders>
            <w:noWrap w:val="0"/>
            <w:vAlign w:val="center"/>
          </w:tcPr>
          <w:p w14:paraId="0652F3E3">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852" w:type="pct"/>
            <w:gridSpan w:val="2"/>
            <w:tcBorders>
              <w:tl2br w:val="nil"/>
              <w:tr2bl w:val="nil"/>
            </w:tcBorders>
            <w:noWrap w:val="0"/>
            <w:vAlign w:val="center"/>
          </w:tcPr>
          <w:p w14:paraId="57471735">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1.5</w:t>
            </w:r>
          </w:p>
        </w:tc>
        <w:tc>
          <w:tcPr>
            <w:tcW w:w="759" w:type="pct"/>
            <w:tcBorders>
              <w:tl2br w:val="nil"/>
              <w:tr2bl w:val="nil"/>
            </w:tcBorders>
            <w:noWrap w:val="0"/>
            <w:vAlign w:val="center"/>
          </w:tcPr>
          <w:p w14:paraId="3BC9A367">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bl>
    <w:p w14:paraId="23BE8A9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p>
    <w:p w14:paraId="4D706DFA">
      <w:pPr>
        <w:pStyle w:val="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3.2.3 建设方案</w:t>
      </w:r>
    </w:p>
    <w:p w14:paraId="3186FD66">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3.2.3.1 路基</w:t>
      </w:r>
    </w:p>
    <w:p w14:paraId="26AD83BA">
      <w:pPr>
        <w:pStyle w:val="6"/>
        <w:bidi w:val="0"/>
        <w:rPr>
          <w:rFonts w:hint="default" w:ascii="Times New Roman" w:hAnsi="Times New Roman" w:cs="Times New Roman"/>
          <w:color w:val="auto"/>
        </w:rPr>
      </w:pPr>
      <w:r>
        <w:rPr>
          <w:rFonts w:hint="default" w:ascii="Times New Roman" w:hAnsi="Times New Roman" w:cs="Times New Roman"/>
          <w:color w:val="auto"/>
          <w:lang w:val="en-US" w:eastAsia="zh-CN"/>
        </w:rPr>
        <w:t>3.2.3.1.1 路基断面</w:t>
      </w:r>
    </w:p>
    <w:p w14:paraId="6DCE8302">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本项目按一级公路标准设计，设计速度 80km/h，一般路段整体式路基标准横断面宽24.5m，分离式路基宽度12.25m，具体横断面布置如下：整体式路基：路基总宽24.5m，中分带2.0m，左侧路缘带2×0.5m，行车道宽 2×2×3.75m，硬路肩2×2.5m，土路肩2×0.75m。</w:t>
      </w:r>
    </w:p>
    <w:p w14:paraId="41740353">
      <w:pPr>
        <w:keepNext w:val="0"/>
        <w:keepLines w:val="0"/>
        <w:pageBreakBefore w:val="0"/>
        <w:widowControl w:val="0"/>
        <w:suppressLineNumbers w:val="0"/>
        <w:kinsoku/>
        <w:wordWrap/>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drawing>
          <wp:inline distT="0" distB="0" distL="114300" distR="114300">
            <wp:extent cx="4686935" cy="1965325"/>
            <wp:effectExtent l="0" t="0" r="18415" b="15875"/>
            <wp:docPr id="54" name="图片 8"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8" descr="21"/>
                    <pic:cNvPicPr>
                      <a:picLocks noChangeAspect="1"/>
                    </pic:cNvPicPr>
                  </pic:nvPicPr>
                  <pic:blipFill>
                    <a:blip r:embed="rId20"/>
                    <a:stretch>
                      <a:fillRect/>
                    </a:stretch>
                  </pic:blipFill>
                  <pic:spPr>
                    <a:xfrm>
                      <a:off x="0" y="0"/>
                      <a:ext cx="4686935" cy="1965325"/>
                    </a:xfrm>
                    <a:prstGeom prst="rect">
                      <a:avLst/>
                    </a:prstGeom>
                    <a:noFill/>
                    <a:ln>
                      <a:noFill/>
                    </a:ln>
                  </pic:spPr>
                </pic:pic>
              </a:graphicData>
            </a:graphic>
          </wp:inline>
        </w:drawing>
      </w:r>
    </w:p>
    <w:p w14:paraId="59958E2E">
      <w:pPr>
        <w:keepNext w:val="0"/>
        <w:keepLines w:val="0"/>
        <w:pageBreakBefore w:val="0"/>
        <w:widowControl w:val="0"/>
        <w:kinsoku/>
        <w:wordWrap/>
        <w:overflowPunct/>
        <w:topLinePunct w:val="0"/>
        <w:autoSpaceDE/>
        <w:autoSpaceDN/>
        <w:bidi w:val="0"/>
        <w:adjustRightInd w:val="0"/>
        <w:snapToGrid w:val="0"/>
        <w:spacing w:line="360" w:lineRule="auto"/>
        <w:ind w:right="0" w:firstLine="422" w:firstLineChars="20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示意图3-1   路基标准横断面（整体式路基）</w:t>
      </w:r>
    </w:p>
    <w:p w14:paraId="70ED8B15">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color w:val="auto"/>
          <w:sz w:val="24"/>
          <w:lang w:val="en-US" w:eastAsia="zh-CN"/>
        </w:rPr>
        <w:drawing>
          <wp:anchor distT="0" distB="0" distL="114300" distR="114300" simplePos="0" relativeHeight="251673600" behindDoc="0" locked="0" layoutInCell="1" allowOverlap="1">
            <wp:simplePos x="0" y="0"/>
            <wp:positionH relativeFrom="column">
              <wp:posOffset>238125</wp:posOffset>
            </wp:positionH>
            <wp:positionV relativeFrom="paragraph">
              <wp:posOffset>99060</wp:posOffset>
            </wp:positionV>
            <wp:extent cx="4797425" cy="2091055"/>
            <wp:effectExtent l="0" t="0" r="3175" b="4445"/>
            <wp:wrapTopAndBottom/>
            <wp:docPr id="55" name="图片 3"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descr="33"/>
                    <pic:cNvPicPr>
                      <a:picLocks noChangeAspect="1"/>
                    </pic:cNvPicPr>
                  </pic:nvPicPr>
                  <pic:blipFill>
                    <a:blip r:embed="rId21"/>
                    <a:stretch>
                      <a:fillRect/>
                    </a:stretch>
                  </pic:blipFill>
                  <pic:spPr>
                    <a:xfrm>
                      <a:off x="0" y="0"/>
                      <a:ext cx="4797425" cy="2091055"/>
                    </a:xfrm>
                    <a:prstGeom prst="rect">
                      <a:avLst/>
                    </a:prstGeom>
                    <a:noFill/>
                    <a:ln>
                      <a:noFill/>
                    </a:ln>
                  </pic:spPr>
                </pic:pic>
              </a:graphicData>
            </a:graphic>
          </wp:anchor>
        </w:drawing>
      </w:r>
    </w:p>
    <w:p w14:paraId="6D471EFA">
      <w:pPr>
        <w:keepNext w:val="0"/>
        <w:keepLines w:val="0"/>
        <w:pageBreakBefore w:val="0"/>
        <w:widowControl w:val="0"/>
        <w:kinsoku/>
        <w:wordWrap/>
        <w:overflowPunct/>
        <w:topLinePunct w:val="0"/>
        <w:autoSpaceDE/>
        <w:autoSpaceDN/>
        <w:bidi w:val="0"/>
        <w:adjustRightInd w:val="0"/>
        <w:snapToGrid w:val="0"/>
        <w:spacing w:line="360" w:lineRule="auto"/>
        <w:ind w:right="0" w:firstLine="422" w:firstLineChars="20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示意图3-2  路基标准横断面（分离式路基）</w:t>
      </w:r>
    </w:p>
    <w:p w14:paraId="4605AEC7">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（1）路拱横坡</w:t>
      </w:r>
    </w:p>
    <w:p w14:paraId="25989C14">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行车道、硬路肩横坡采用1.5%，土路肩采用3.0%。</w:t>
      </w:r>
    </w:p>
    <w:p w14:paraId="30EBF2DD">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（2）路基排水</w:t>
      </w:r>
    </w:p>
    <w:p w14:paraId="56A5BA4F">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在设置复合土工布的低填方盐渍土路段，当复合土工布距离路基坡脚高度小于30cm时，路基坡脚需开挖加深边沟，使复合土工布高出路基坡脚或加深边沟流水位30cm以上，在加深边沟迎水面一侧设置挡水埝。</w:t>
      </w:r>
    </w:p>
    <w:p w14:paraId="19AA60CD">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（3）路面结构设计</w:t>
      </w:r>
    </w:p>
    <w:p w14:paraId="677349E8">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项目采用沥青混凝土路面。沥青混凝土路面具有表面平整、行车舒适、振动小，噪声低等优点。虽然路面易损坏，但容易修复，对土基和水文地质条件有较强的适应性。施工质量易于控制，但使用寿命短，养护费用较高。</w:t>
      </w:r>
    </w:p>
    <w:p w14:paraId="63106337">
      <w:pPr>
        <w:pStyle w:val="6"/>
        <w:keepNext/>
        <w:keepLines/>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3.2.3.1.2 路基填土高度、挖方深度、路基填筑方案、路基压实度要求</w:t>
      </w:r>
    </w:p>
    <w:p w14:paraId="71AE6DA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（1）路基高度</w:t>
      </w:r>
    </w:p>
    <w:p w14:paraId="46C2178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新建路段路基高度，结合工地地质条件、不良地质灾害、桥涵构造物净空、路基排水防护等综合确定，满足使用需求的情况下，尽量降低路基高度，减少征地拆迁数量，同时尽量做到纵面协调顺实、填挖平衡。一般情况下盐渍土路段控制路基高度不低于1.5m，路堤高度应大于最大积雪深度0.6m。实际纵面可视现场实际情况确定，并配合相关特殊路基处理措施，保证路基稳定。</w:t>
      </w:r>
    </w:p>
    <w:p w14:paraId="397B522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（2）路基填筑方案</w:t>
      </w:r>
    </w:p>
    <w:p w14:paraId="15BEBA55">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通过对项目区沿线土质调查，并充分研究项目沿线土质的物理性质，项目所在区表层土多为砾类土、风积沙。路基填筑前须先清除地表草皮、腐殖土等非适用性材料，清表后将地基表层碾压密实，在一般土质地段压实度（重型）不应小于路表所处层位压实度标准。</w:t>
      </w:r>
    </w:p>
    <w:p w14:paraId="4BF982E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项目沿线全线借方由砾类土料场拉运，当路基挖方路段为砾类土、碎石土等粗粒土时予以利用。</w:t>
      </w:r>
    </w:p>
    <w:p w14:paraId="1DEE4AE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（3）路基压实度、填料最小强度</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CBR</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 xml:space="preserve">、最大粒径要求 </w:t>
      </w:r>
    </w:p>
    <w:p w14:paraId="286338F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路基应分层铺筑，均匀压实，路基压实度以重型击实试验法为准，执行新疆维吾尔自治区交通厅新交质监</w:t>
      </w:r>
      <w:r>
        <w:rPr>
          <w:rFonts w:hint="default" w:ascii="Times New Roman" w:hAnsi="Times New Roman" w:cs="Times New Roman"/>
          <w:color w:val="auto"/>
          <w:kern w:val="0"/>
          <w:sz w:val="24"/>
          <w:szCs w:val="24"/>
          <w:lang w:val="en-US" w:eastAsia="zh-CN" w:bidi="ar"/>
        </w:rPr>
        <w:t>〔2002〕</w:t>
      </w:r>
      <w:r>
        <w:rPr>
          <w:rFonts w:hint="default" w:ascii="Times New Roman" w:hAnsi="Times New Roman" w:eastAsia="宋体" w:cs="Times New Roman"/>
          <w:color w:val="auto"/>
          <w:kern w:val="0"/>
          <w:sz w:val="24"/>
          <w:szCs w:val="24"/>
          <w:lang w:val="en-US" w:eastAsia="zh-CN" w:bidi="ar"/>
        </w:rPr>
        <w:t>2号文件、《城市道路工程设计规范》（CJJ</w:t>
      </w:r>
      <w:r>
        <w:rPr>
          <w:rFonts w:hint="default" w:ascii="Times New Roman" w:hAnsi="Times New Roman" w:cs="Times New Roman"/>
          <w:color w:val="auto"/>
          <w:kern w:val="0"/>
          <w:sz w:val="24"/>
          <w:szCs w:val="24"/>
          <w:lang w:val="en-US" w:eastAsia="zh-CN" w:bidi="ar"/>
        </w:rPr>
        <w:t xml:space="preserve"> </w:t>
      </w:r>
      <w:r>
        <w:rPr>
          <w:rFonts w:hint="default" w:ascii="Times New Roman" w:hAnsi="Times New Roman" w:eastAsia="宋体" w:cs="Times New Roman"/>
          <w:color w:val="auto"/>
          <w:kern w:val="0"/>
          <w:sz w:val="24"/>
          <w:szCs w:val="24"/>
          <w:lang w:val="en-US" w:eastAsia="zh-CN" w:bidi="ar"/>
        </w:rPr>
        <w:t>37-2012）和《公路工程技术标准》JTG B01</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2014中较高的压实标准、填料最小强度</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CBR</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、最大粒径要求，本项目推荐采用下表中一级公路压实度要求。</w:t>
      </w:r>
    </w:p>
    <w:p w14:paraId="3166BCE7">
      <w:pPr>
        <w:pStyle w:val="39"/>
        <w:bidi w:val="0"/>
        <w:rPr>
          <w:rFonts w:hint="default" w:ascii="Times New Roman" w:hAnsi="Times New Roman" w:cs="Times New Roman"/>
          <w:color w:val="auto"/>
        </w:rPr>
      </w:pPr>
      <w:r>
        <w:rPr>
          <w:rFonts w:hint="default" w:ascii="Times New Roman" w:hAnsi="Times New Roman" w:cs="Times New Roman"/>
          <w:color w:val="auto"/>
          <w:lang w:val="en-US" w:eastAsia="zh-CN"/>
        </w:rPr>
        <w:t>表3.2-</w:t>
      </w:r>
      <w:r>
        <w:rPr>
          <w:rFonts w:hint="eastAsia" w:ascii="Times New Roman" w:hAnsi="Times New Roman" w:cs="Times New Roman"/>
          <w:color w:val="auto"/>
          <w:lang w:val="en-US" w:eastAsia="zh-CN"/>
        </w:rPr>
        <w:t>3</w:t>
      </w:r>
      <w:r>
        <w:rPr>
          <w:rFonts w:hint="default" w:ascii="Times New Roman" w:hAnsi="Times New Roman" w:cs="Times New Roman"/>
          <w:color w:val="auto"/>
          <w:lang w:val="en-US" w:eastAsia="zh-CN"/>
        </w:rPr>
        <w:t xml:space="preserve"> 路基压实度、填料最小强度（CBR）、最大粒径要求</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9"/>
        <w:gridCol w:w="2069"/>
        <w:gridCol w:w="1406"/>
        <w:gridCol w:w="2150"/>
        <w:gridCol w:w="1559"/>
      </w:tblGrid>
      <w:tr w14:paraId="6C057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39" w:type="dxa"/>
            <w:vAlign w:val="center"/>
          </w:tcPr>
          <w:p w14:paraId="49EC597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填挖类别</w:t>
            </w:r>
          </w:p>
        </w:tc>
        <w:tc>
          <w:tcPr>
            <w:tcW w:w="2069" w:type="dxa"/>
            <w:vAlign w:val="center"/>
          </w:tcPr>
          <w:p w14:paraId="65730DA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路床顶面以下深度</w:t>
            </w:r>
          </w:p>
          <w:p w14:paraId="24B75E6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(cm)</w:t>
            </w:r>
          </w:p>
        </w:tc>
        <w:tc>
          <w:tcPr>
            <w:tcW w:w="1406" w:type="dxa"/>
            <w:vAlign w:val="center"/>
          </w:tcPr>
          <w:p w14:paraId="6F6F6C1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路基压实度</w:t>
            </w:r>
          </w:p>
          <w:p w14:paraId="2976CDA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w:t>
            </w:r>
          </w:p>
        </w:tc>
        <w:tc>
          <w:tcPr>
            <w:tcW w:w="2150" w:type="dxa"/>
            <w:vAlign w:val="center"/>
          </w:tcPr>
          <w:p w14:paraId="75F918F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路基填料最小强度</w:t>
            </w:r>
          </w:p>
          <w:p w14:paraId="3C29949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（CBR）(%)</w:t>
            </w:r>
          </w:p>
        </w:tc>
        <w:tc>
          <w:tcPr>
            <w:tcW w:w="1559" w:type="dxa"/>
            <w:vAlign w:val="center"/>
          </w:tcPr>
          <w:p w14:paraId="44191C5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最大粒径要求</w:t>
            </w:r>
          </w:p>
          <w:p w14:paraId="12FBE39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(mm)</w:t>
            </w:r>
          </w:p>
        </w:tc>
      </w:tr>
      <w:tr w14:paraId="7AE7E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39" w:type="dxa"/>
            <w:vMerge w:val="restart"/>
            <w:vAlign w:val="center"/>
          </w:tcPr>
          <w:p w14:paraId="62503B75">
            <w:pPr>
              <w:pStyle w:val="36"/>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零填及挖方</w:t>
            </w:r>
          </w:p>
        </w:tc>
        <w:tc>
          <w:tcPr>
            <w:tcW w:w="2069" w:type="dxa"/>
            <w:vAlign w:val="center"/>
          </w:tcPr>
          <w:p w14:paraId="0F01108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0～30</w:t>
            </w:r>
          </w:p>
        </w:tc>
        <w:tc>
          <w:tcPr>
            <w:tcW w:w="1406" w:type="dxa"/>
            <w:vAlign w:val="center"/>
          </w:tcPr>
          <w:p w14:paraId="7F9620A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≥97</w:t>
            </w:r>
          </w:p>
        </w:tc>
        <w:tc>
          <w:tcPr>
            <w:tcW w:w="2150" w:type="dxa"/>
            <w:vAlign w:val="center"/>
          </w:tcPr>
          <w:p w14:paraId="752C6AE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8</w:t>
            </w:r>
          </w:p>
        </w:tc>
        <w:tc>
          <w:tcPr>
            <w:tcW w:w="1559" w:type="dxa"/>
            <w:vAlign w:val="center"/>
          </w:tcPr>
          <w:p w14:paraId="3824EE9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100</w:t>
            </w:r>
          </w:p>
        </w:tc>
      </w:tr>
      <w:tr w14:paraId="2D449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39" w:type="dxa"/>
            <w:vMerge w:val="continue"/>
            <w:vAlign w:val="center"/>
          </w:tcPr>
          <w:p w14:paraId="0815203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p>
        </w:tc>
        <w:tc>
          <w:tcPr>
            <w:tcW w:w="2069" w:type="dxa"/>
            <w:vAlign w:val="center"/>
          </w:tcPr>
          <w:p w14:paraId="57716E7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30～80</w:t>
            </w:r>
          </w:p>
        </w:tc>
        <w:tc>
          <w:tcPr>
            <w:tcW w:w="1406" w:type="dxa"/>
            <w:vAlign w:val="center"/>
          </w:tcPr>
          <w:p w14:paraId="50FF013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≥97</w:t>
            </w:r>
          </w:p>
        </w:tc>
        <w:tc>
          <w:tcPr>
            <w:tcW w:w="2150" w:type="dxa"/>
            <w:vAlign w:val="center"/>
          </w:tcPr>
          <w:p w14:paraId="55015AB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5</w:t>
            </w:r>
          </w:p>
        </w:tc>
        <w:tc>
          <w:tcPr>
            <w:tcW w:w="1559" w:type="dxa"/>
            <w:vAlign w:val="center"/>
          </w:tcPr>
          <w:p w14:paraId="1A6F6A0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100</w:t>
            </w:r>
          </w:p>
        </w:tc>
      </w:tr>
      <w:tr w14:paraId="7113D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39" w:type="dxa"/>
            <w:vMerge w:val="restart"/>
            <w:vAlign w:val="center"/>
          </w:tcPr>
          <w:p w14:paraId="27CA647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填方</w:t>
            </w:r>
          </w:p>
        </w:tc>
        <w:tc>
          <w:tcPr>
            <w:tcW w:w="2069" w:type="dxa"/>
            <w:vAlign w:val="center"/>
          </w:tcPr>
          <w:p w14:paraId="52F6B46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0～30</w:t>
            </w:r>
          </w:p>
        </w:tc>
        <w:tc>
          <w:tcPr>
            <w:tcW w:w="1406" w:type="dxa"/>
            <w:vAlign w:val="center"/>
          </w:tcPr>
          <w:p w14:paraId="4611DE9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≥97</w:t>
            </w:r>
          </w:p>
        </w:tc>
        <w:tc>
          <w:tcPr>
            <w:tcW w:w="2150" w:type="dxa"/>
            <w:vAlign w:val="center"/>
          </w:tcPr>
          <w:p w14:paraId="5C6756D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8</w:t>
            </w:r>
          </w:p>
        </w:tc>
        <w:tc>
          <w:tcPr>
            <w:tcW w:w="1559" w:type="dxa"/>
            <w:vAlign w:val="center"/>
          </w:tcPr>
          <w:p w14:paraId="797E81D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100</w:t>
            </w:r>
          </w:p>
        </w:tc>
      </w:tr>
      <w:tr w14:paraId="7EBE4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39" w:type="dxa"/>
            <w:vMerge w:val="continue"/>
            <w:vAlign w:val="center"/>
          </w:tcPr>
          <w:p w14:paraId="011513D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p>
        </w:tc>
        <w:tc>
          <w:tcPr>
            <w:tcW w:w="2069" w:type="dxa"/>
            <w:vAlign w:val="center"/>
          </w:tcPr>
          <w:p w14:paraId="41BBCD3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30～80</w:t>
            </w:r>
          </w:p>
        </w:tc>
        <w:tc>
          <w:tcPr>
            <w:tcW w:w="1406" w:type="dxa"/>
            <w:vAlign w:val="center"/>
          </w:tcPr>
          <w:p w14:paraId="7E45583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≥97</w:t>
            </w:r>
          </w:p>
        </w:tc>
        <w:tc>
          <w:tcPr>
            <w:tcW w:w="2150" w:type="dxa"/>
            <w:vAlign w:val="center"/>
          </w:tcPr>
          <w:p w14:paraId="58CA521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5</w:t>
            </w:r>
          </w:p>
        </w:tc>
        <w:tc>
          <w:tcPr>
            <w:tcW w:w="1559" w:type="dxa"/>
            <w:vAlign w:val="center"/>
          </w:tcPr>
          <w:p w14:paraId="4A3311E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100</w:t>
            </w:r>
          </w:p>
        </w:tc>
      </w:tr>
      <w:tr w14:paraId="3FD96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39" w:type="dxa"/>
            <w:vMerge w:val="continue"/>
            <w:vAlign w:val="center"/>
          </w:tcPr>
          <w:p w14:paraId="227C8B1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p>
        </w:tc>
        <w:tc>
          <w:tcPr>
            <w:tcW w:w="2069" w:type="dxa"/>
            <w:vAlign w:val="center"/>
          </w:tcPr>
          <w:p w14:paraId="70547A7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80～150</w:t>
            </w:r>
          </w:p>
        </w:tc>
        <w:tc>
          <w:tcPr>
            <w:tcW w:w="1406" w:type="dxa"/>
            <w:vAlign w:val="center"/>
          </w:tcPr>
          <w:p w14:paraId="7A4B8DC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≥95</w:t>
            </w:r>
          </w:p>
        </w:tc>
        <w:tc>
          <w:tcPr>
            <w:tcW w:w="2150" w:type="dxa"/>
            <w:vAlign w:val="center"/>
          </w:tcPr>
          <w:p w14:paraId="6406C3F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4</w:t>
            </w:r>
          </w:p>
        </w:tc>
        <w:tc>
          <w:tcPr>
            <w:tcW w:w="1559" w:type="dxa"/>
            <w:vAlign w:val="center"/>
          </w:tcPr>
          <w:p w14:paraId="0E5FEB0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150</w:t>
            </w:r>
          </w:p>
        </w:tc>
      </w:tr>
      <w:tr w14:paraId="3B686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39" w:type="dxa"/>
            <w:vMerge w:val="continue"/>
            <w:vAlign w:val="center"/>
          </w:tcPr>
          <w:p w14:paraId="005AD55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p>
        </w:tc>
        <w:tc>
          <w:tcPr>
            <w:tcW w:w="2069" w:type="dxa"/>
            <w:vAlign w:val="center"/>
          </w:tcPr>
          <w:p w14:paraId="3C23B02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＞150</w:t>
            </w:r>
          </w:p>
        </w:tc>
        <w:tc>
          <w:tcPr>
            <w:tcW w:w="1406" w:type="dxa"/>
            <w:vAlign w:val="center"/>
          </w:tcPr>
          <w:p w14:paraId="739E533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≥93</w:t>
            </w:r>
          </w:p>
        </w:tc>
        <w:tc>
          <w:tcPr>
            <w:tcW w:w="2150" w:type="dxa"/>
            <w:vAlign w:val="center"/>
          </w:tcPr>
          <w:p w14:paraId="3B0C89B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3</w:t>
            </w:r>
          </w:p>
        </w:tc>
        <w:tc>
          <w:tcPr>
            <w:tcW w:w="1559" w:type="dxa"/>
            <w:vAlign w:val="center"/>
          </w:tcPr>
          <w:p w14:paraId="0F2047F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150</w:t>
            </w:r>
          </w:p>
        </w:tc>
      </w:tr>
    </w:tbl>
    <w:p w14:paraId="4945FEBE">
      <w:pPr>
        <w:pStyle w:val="6"/>
        <w:bidi w:val="0"/>
        <w:rPr>
          <w:rFonts w:hint="default" w:ascii="Times New Roman" w:hAnsi="Times New Roman" w:cs="Times New Roman"/>
          <w:color w:val="auto"/>
        </w:rPr>
      </w:pPr>
      <w:r>
        <w:rPr>
          <w:rFonts w:hint="default" w:ascii="Times New Roman" w:hAnsi="Times New Roman" w:cs="Times New Roman"/>
          <w:color w:val="auto"/>
          <w:lang w:val="en-US" w:eastAsia="zh-CN"/>
        </w:rPr>
        <w:t>3.2.3.1.3 特殊路基设计</w:t>
      </w:r>
    </w:p>
    <w:p w14:paraId="64C3789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w:t>
      </w:r>
      <w:r>
        <w:rPr>
          <w:rFonts w:hint="eastAsia" w:cs="Times New Roman"/>
          <w:color w:val="auto"/>
          <w:kern w:val="0"/>
          <w:sz w:val="24"/>
          <w:szCs w:val="24"/>
          <w:lang w:val="en-US" w:eastAsia="zh-CN" w:bidi="ar"/>
        </w:rPr>
        <w:t>不</w:t>
      </w:r>
      <w:r>
        <w:rPr>
          <w:rFonts w:hint="default" w:ascii="Times New Roman" w:hAnsi="Times New Roman" w:eastAsia="宋体" w:cs="Times New Roman"/>
          <w:color w:val="auto"/>
          <w:kern w:val="0"/>
          <w:sz w:val="24"/>
          <w:szCs w:val="24"/>
          <w:lang w:val="en-US" w:eastAsia="zh-CN" w:bidi="ar"/>
        </w:rPr>
        <w:t>良地质</w:t>
      </w:r>
    </w:p>
    <w:p w14:paraId="4D2A754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拟建项目区存在的不良地质类型有强震区。</w:t>
      </w:r>
    </w:p>
    <w:p w14:paraId="2EFC34D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根据《中国地震动参数区划图》（GB 18306-2015）及《中国地震动峰值加速度区划图》（GB</w:t>
      </w:r>
      <w:r>
        <w:rPr>
          <w:rFonts w:hint="default" w:ascii="Times New Roman" w:hAnsi="Times New Roman" w:cs="Times New Roman"/>
          <w:color w:val="auto"/>
          <w:kern w:val="0"/>
          <w:sz w:val="24"/>
          <w:szCs w:val="24"/>
          <w:lang w:val="en-US" w:eastAsia="zh-CN" w:bidi="ar"/>
        </w:rPr>
        <w:t xml:space="preserve"> </w:t>
      </w:r>
      <w:r>
        <w:rPr>
          <w:rFonts w:hint="default" w:ascii="Times New Roman" w:hAnsi="Times New Roman" w:eastAsia="宋体" w:cs="Times New Roman"/>
          <w:color w:val="auto"/>
          <w:kern w:val="0"/>
          <w:sz w:val="24"/>
          <w:szCs w:val="24"/>
          <w:lang w:val="en-US" w:eastAsia="zh-CN" w:bidi="ar"/>
        </w:rPr>
        <w:t>18306 2015图A1、B1），结合地质条件及工程情况，沿线地震烈度划分为：本项目区地震动峰值加速度为0.3g，其相应的地震基本烈度为8度。全区地震动反应谱特征周期为0.45s。</w:t>
      </w:r>
    </w:p>
    <w:p w14:paraId="78E9A88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根据新疆区域构造地质图可知，本项目区沿线构造较稳定，无全新世活动断裂切割。</w:t>
      </w:r>
    </w:p>
    <w:p w14:paraId="0905EDBB">
      <w:pPr>
        <w:keepNext w:val="0"/>
        <w:keepLines w:val="0"/>
        <w:widowControl/>
        <w:suppressLineNumbers w:val="0"/>
        <w:jc w:val="left"/>
        <w:rPr>
          <w:rFonts w:hint="default" w:ascii="Times New Roman" w:hAnsi="Times New Roman" w:cs="Times New Roman"/>
          <w:color w:val="auto"/>
        </w:rPr>
      </w:pPr>
      <w:r>
        <w:rPr>
          <w:rFonts w:hint="eastAsia" w:ascii="Times New Roman" w:hAnsi="Times New Roman"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特殊性岩土</w:t>
      </w:r>
    </w:p>
    <w:p w14:paraId="66BF9BC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特殊性岩土主要为极软岩、膨胀性岩土</w:t>
      </w:r>
      <w:r>
        <w:rPr>
          <w:rFonts w:hint="default" w:ascii="Times New Roman" w:hAnsi="Times New Roman" w:cs="Times New Roman"/>
          <w:color w:val="auto"/>
          <w:kern w:val="0"/>
          <w:sz w:val="24"/>
          <w:szCs w:val="24"/>
          <w:lang w:val="en-US" w:eastAsia="zh-CN" w:bidi="ar"/>
        </w:rPr>
        <w:t>和</w:t>
      </w:r>
      <w:r>
        <w:rPr>
          <w:rFonts w:hint="default" w:ascii="Times New Roman" w:hAnsi="Times New Roman" w:eastAsia="宋体" w:cs="Times New Roman"/>
          <w:color w:val="auto"/>
          <w:kern w:val="0"/>
          <w:sz w:val="24"/>
          <w:szCs w:val="24"/>
          <w:lang w:val="en-US" w:eastAsia="zh-CN" w:bidi="ar"/>
        </w:rPr>
        <w:t>季节性冻土。</w:t>
      </w:r>
    </w:p>
    <w:p w14:paraId="7442EA8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①极软岩、膨胀性岩土</w:t>
      </w:r>
    </w:p>
    <w:p w14:paraId="3CD30FC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本项目沿线第三系、第四系泥、砂岩分布广泛，出露地表，其成岩作用不完全，天然单轴抗压强度低，遇水极易软化，为极软岩。当</w:t>
      </w:r>
      <w:r>
        <w:rPr>
          <w:rFonts w:hint="eastAsia" w:cs="Times New Roman"/>
          <w:color w:val="auto"/>
          <w:kern w:val="0"/>
          <w:sz w:val="24"/>
          <w:szCs w:val="24"/>
          <w:lang w:val="en-US" w:eastAsia="zh-CN" w:bidi="ar"/>
        </w:rPr>
        <w:t>路线</w:t>
      </w:r>
      <w:r>
        <w:rPr>
          <w:rFonts w:hint="default" w:ascii="Times New Roman" w:hAnsi="Times New Roman" w:eastAsia="宋体" w:cs="Times New Roman"/>
          <w:color w:val="auto"/>
          <w:kern w:val="0"/>
          <w:sz w:val="24"/>
          <w:szCs w:val="24"/>
          <w:lang w:val="en-US" w:eastAsia="zh-CN" w:bidi="ar"/>
        </w:rPr>
        <w:t>通过该地层段落时，应做好路基的截排水设计，对构造物基底宜进行一定厚度的换填，适当放缓路堑边坡坡率。具体段落分布见极软岩分布段落一览表。</w:t>
      </w:r>
    </w:p>
    <w:p w14:paraId="4A141555">
      <w:pPr>
        <w:pStyle w:val="39"/>
        <w:bidi w:val="0"/>
        <w:rPr>
          <w:rFonts w:hint="default" w:ascii="Times New Roman" w:hAnsi="Times New Roman" w:cs="Times New Roman"/>
          <w:color w:val="auto"/>
        </w:rPr>
      </w:pPr>
      <w:r>
        <w:rPr>
          <w:rFonts w:hint="default" w:ascii="Times New Roman" w:hAnsi="Times New Roman" w:cs="Times New Roman"/>
          <w:color w:val="auto"/>
          <w:lang w:val="en-US" w:eastAsia="zh-CN"/>
        </w:rPr>
        <w:t>表3.2-</w:t>
      </w:r>
      <w:r>
        <w:rPr>
          <w:rFonts w:hint="eastAsia" w:ascii="Times New Roman" w:hAnsi="Times New Roman" w:cs="Times New Roman"/>
          <w:color w:val="auto"/>
          <w:lang w:val="en-US" w:eastAsia="zh-CN"/>
        </w:rPr>
        <w:t>4</w:t>
      </w:r>
      <w:r>
        <w:rPr>
          <w:rFonts w:hint="default" w:ascii="Times New Roman" w:hAnsi="Times New Roman" w:cs="Times New Roman"/>
          <w:color w:val="auto"/>
          <w:lang w:val="en-US" w:eastAsia="zh-CN"/>
        </w:rPr>
        <w:t xml:space="preserve"> 极软岩分布段落一览表</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2"/>
        <w:gridCol w:w="1910"/>
        <w:gridCol w:w="2351"/>
      </w:tblGrid>
      <w:tr w14:paraId="73983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Align w:val="center"/>
          </w:tcPr>
          <w:p w14:paraId="1000FBAE">
            <w:pPr>
              <w:pStyle w:val="38"/>
              <w:keepNext w:val="0"/>
              <w:keepLines w:val="0"/>
              <w:pageBreakBefore w:val="0"/>
              <w:kinsoku/>
              <w:wordWrap/>
              <w:overflowPunct/>
              <w:topLinePunct w:val="0"/>
              <w:autoSpaceDE/>
              <w:autoSpaceDN/>
              <w:bidi w:val="0"/>
              <w:adjustRightInd w:val="0"/>
              <w:snapToGrid w:val="0"/>
              <w:spacing w:before="0" w:after="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起点</w:t>
            </w:r>
          </w:p>
        </w:tc>
        <w:tc>
          <w:tcPr>
            <w:tcW w:w="1250" w:type="pct"/>
            <w:vAlign w:val="center"/>
          </w:tcPr>
          <w:p w14:paraId="63F07C4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终点</w:t>
            </w:r>
          </w:p>
        </w:tc>
        <w:tc>
          <w:tcPr>
            <w:tcW w:w="1120" w:type="pct"/>
            <w:vAlign w:val="center"/>
          </w:tcPr>
          <w:p w14:paraId="2483257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长度（km）</w:t>
            </w:r>
          </w:p>
        </w:tc>
        <w:tc>
          <w:tcPr>
            <w:tcW w:w="1379" w:type="pct"/>
            <w:vAlign w:val="center"/>
          </w:tcPr>
          <w:p w14:paraId="3F8B62D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1"/>
                <w:szCs w:val="21"/>
                <w:vertAlign w:val="baseline"/>
                <w:lang w:val="en-US"/>
              </w:rPr>
            </w:pPr>
            <w:r>
              <w:rPr>
                <w:rFonts w:hint="default" w:ascii="Times New Roman" w:hAnsi="Times New Roman" w:cs="Times New Roman"/>
                <w:color w:val="auto"/>
                <w:kern w:val="0"/>
                <w:sz w:val="21"/>
                <w:szCs w:val="21"/>
                <w:lang w:val="en-US" w:eastAsia="zh-CN" w:bidi="ar"/>
              </w:rPr>
              <w:t>不良状况</w:t>
            </w:r>
          </w:p>
        </w:tc>
      </w:tr>
      <w:tr w14:paraId="4BE13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Align w:val="center"/>
          </w:tcPr>
          <w:p w14:paraId="6FC6557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K6+710</w:t>
            </w:r>
          </w:p>
        </w:tc>
        <w:tc>
          <w:tcPr>
            <w:tcW w:w="1250" w:type="pct"/>
            <w:vAlign w:val="center"/>
          </w:tcPr>
          <w:p w14:paraId="11E7488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1"/>
                <w:szCs w:val="21"/>
                <w:vertAlign w:val="baseline"/>
                <w:lang w:val="en-US"/>
              </w:rPr>
            </w:pPr>
            <w:r>
              <w:rPr>
                <w:rFonts w:hint="default" w:ascii="Times New Roman" w:hAnsi="Times New Roman" w:eastAsia="宋体" w:cs="Times New Roman"/>
                <w:color w:val="auto"/>
                <w:kern w:val="0"/>
                <w:sz w:val="21"/>
                <w:szCs w:val="21"/>
                <w:lang w:val="en-US" w:eastAsia="zh-CN" w:bidi="ar"/>
              </w:rPr>
              <w:t>K10+970</w:t>
            </w:r>
          </w:p>
        </w:tc>
        <w:tc>
          <w:tcPr>
            <w:tcW w:w="1120" w:type="pct"/>
            <w:vAlign w:val="center"/>
          </w:tcPr>
          <w:p w14:paraId="12690AB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1"/>
                <w:szCs w:val="21"/>
                <w:vertAlign w:val="baseline"/>
                <w:lang w:val="en-US"/>
              </w:rPr>
            </w:pPr>
            <w:r>
              <w:rPr>
                <w:rFonts w:hint="default" w:ascii="Times New Roman" w:hAnsi="Times New Roman" w:eastAsia="宋体" w:cs="Times New Roman"/>
                <w:color w:val="auto"/>
                <w:kern w:val="0"/>
                <w:sz w:val="21"/>
                <w:szCs w:val="21"/>
                <w:lang w:val="en-US" w:eastAsia="zh-CN" w:bidi="ar"/>
              </w:rPr>
              <w:t>10</w:t>
            </w:r>
            <w:r>
              <w:rPr>
                <w:rFonts w:hint="default" w:ascii="Times New Roman" w:hAnsi="Times New Roman" w:cs="Times New Roman"/>
                <w:color w:val="auto"/>
                <w:kern w:val="0"/>
                <w:sz w:val="21"/>
                <w:szCs w:val="21"/>
                <w:lang w:val="en-US" w:eastAsia="zh-CN" w:bidi="ar"/>
              </w:rPr>
              <w:t>60</w:t>
            </w:r>
          </w:p>
        </w:tc>
        <w:tc>
          <w:tcPr>
            <w:tcW w:w="1379" w:type="pct"/>
            <w:vAlign w:val="center"/>
          </w:tcPr>
          <w:p w14:paraId="705B5BB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极软岩，遇水极易软化。</w:t>
            </w:r>
          </w:p>
        </w:tc>
      </w:tr>
    </w:tbl>
    <w:p w14:paraId="6FA4F348">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本段线路部分路段有新近系泥岩出露，主要在填土兰干塔格山中低山区不连续分布，多为全风化、强风化状，表面干裂，裂隙较发育，呈网纹状。根据</w:t>
      </w:r>
      <w:r>
        <w:rPr>
          <w:rFonts w:hint="eastAsia" w:cs="Times New Roman"/>
          <w:color w:val="auto"/>
          <w:kern w:val="0"/>
          <w:sz w:val="24"/>
          <w:szCs w:val="24"/>
          <w:lang w:val="en-US" w:eastAsia="zh-CN" w:bidi="ar"/>
        </w:rPr>
        <w:t>本次</w:t>
      </w:r>
      <w:r>
        <w:rPr>
          <w:rFonts w:hint="default" w:ascii="Times New Roman" w:hAnsi="Times New Roman" w:eastAsia="宋体" w:cs="Times New Roman"/>
          <w:color w:val="auto"/>
          <w:kern w:val="0"/>
          <w:sz w:val="24"/>
          <w:szCs w:val="24"/>
          <w:lang w:val="en-US" w:eastAsia="zh-CN" w:bidi="ar"/>
        </w:rPr>
        <w:t>所取土样试验可知，其自由膨胀率 66~70%，泥岩具中等膨胀潜势。涵洞基础建议基础底面下设置砂砾石垫层，垫层厚度不小于 0.5m。同时，对于挖方路段边坡高度较大情形，应加强防排水设计，必要时应对坡面进行护脚及封闭处理。</w:t>
      </w:r>
    </w:p>
    <w:p w14:paraId="3172B28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②季节性冻土</w:t>
      </w:r>
    </w:p>
    <w:p w14:paraId="3CF1072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项目沿线季节性标准冻土深度在 80~100cm 之间。沿线路基土均为角砾、圆砾、砂岩、泥岩等，冻胀等级为Ⅰ级，冻胀类别为不冻胀。</w:t>
      </w:r>
    </w:p>
    <w:p w14:paraId="2BCC970B">
      <w:pPr>
        <w:pStyle w:val="39"/>
        <w:bidi w:val="0"/>
        <w:rPr>
          <w:rFonts w:hint="default" w:ascii="Times New Roman" w:hAnsi="Times New Roman" w:cs="Times New Roman"/>
          <w:color w:val="auto"/>
          <w:lang w:val="en-US" w:eastAsia="zh-CN"/>
        </w:rPr>
      </w:pPr>
    </w:p>
    <w:p w14:paraId="606F07D9">
      <w:pPr>
        <w:pStyle w:val="39"/>
        <w:bidi w:val="0"/>
        <w:rPr>
          <w:rFonts w:hint="default" w:ascii="Times New Roman" w:hAnsi="Times New Roman" w:cs="Times New Roman"/>
          <w:color w:val="auto"/>
        </w:rPr>
      </w:pPr>
      <w:r>
        <w:rPr>
          <w:rFonts w:hint="default" w:ascii="Times New Roman" w:hAnsi="Times New Roman" w:cs="Times New Roman"/>
          <w:color w:val="auto"/>
          <w:lang w:val="en-US" w:eastAsia="zh-CN"/>
        </w:rPr>
        <w:t>表3.2-</w:t>
      </w:r>
      <w:r>
        <w:rPr>
          <w:rFonts w:hint="eastAsia" w:ascii="Times New Roman" w:hAnsi="Times New Roman" w:cs="Times New Roman"/>
          <w:color w:val="auto"/>
          <w:lang w:val="en-US" w:eastAsia="zh-CN"/>
        </w:rPr>
        <w:t>5</w:t>
      </w:r>
      <w:r>
        <w:rPr>
          <w:rFonts w:hint="default" w:ascii="Times New Roman" w:hAnsi="Times New Roman" w:cs="Times New Roman"/>
          <w:color w:val="auto"/>
          <w:lang w:val="en-US" w:eastAsia="zh-CN"/>
        </w:rPr>
        <w:t xml:space="preserve"> 季节性冻土分布段落一览表</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24"/>
        <w:gridCol w:w="1736"/>
        <w:gridCol w:w="1500"/>
        <w:gridCol w:w="1290"/>
        <w:gridCol w:w="1090"/>
        <w:gridCol w:w="1083"/>
      </w:tblGrid>
      <w:tr w14:paraId="742E2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24" w:type="dxa"/>
            <w:vAlign w:val="center"/>
          </w:tcPr>
          <w:p w14:paraId="1D2EBEEE">
            <w:pPr>
              <w:pStyle w:val="38"/>
              <w:keepNext w:val="0"/>
              <w:keepLines w:val="0"/>
              <w:pageBreakBefore w:val="0"/>
              <w:widowControl w:val="0"/>
              <w:kinsoku/>
              <w:wordWrap/>
              <w:overflowPunct/>
              <w:topLinePunct w:val="0"/>
              <w:autoSpaceDE/>
              <w:autoSpaceDN/>
              <w:bidi w:val="0"/>
              <w:adjustRightInd w:val="0"/>
              <w:snapToGrid w:val="0"/>
              <w:spacing w:before="0" w:after="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里程号</w:t>
            </w:r>
          </w:p>
        </w:tc>
        <w:tc>
          <w:tcPr>
            <w:tcW w:w="1736" w:type="dxa"/>
            <w:vAlign w:val="center"/>
          </w:tcPr>
          <w:p w14:paraId="00B1F964">
            <w:pPr>
              <w:pStyle w:val="38"/>
              <w:keepNext w:val="0"/>
              <w:keepLines w:val="0"/>
              <w:pageBreakBefore w:val="0"/>
              <w:widowControl w:val="0"/>
              <w:kinsoku/>
              <w:wordWrap/>
              <w:overflowPunct/>
              <w:topLinePunct w:val="0"/>
              <w:autoSpaceDE/>
              <w:autoSpaceDN/>
              <w:bidi w:val="0"/>
              <w:adjustRightInd w:val="0"/>
              <w:snapToGrid w:val="0"/>
              <w:spacing w:before="0" w:after="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冻前天然含水率</w:t>
            </w:r>
          </w:p>
        </w:tc>
        <w:tc>
          <w:tcPr>
            <w:tcW w:w="1500" w:type="dxa"/>
            <w:vAlign w:val="center"/>
          </w:tcPr>
          <w:p w14:paraId="385EF39B">
            <w:pPr>
              <w:pStyle w:val="38"/>
              <w:keepNext w:val="0"/>
              <w:keepLines w:val="0"/>
              <w:pageBreakBefore w:val="0"/>
              <w:widowControl w:val="0"/>
              <w:kinsoku/>
              <w:wordWrap/>
              <w:overflowPunct/>
              <w:topLinePunct w:val="0"/>
              <w:autoSpaceDE/>
              <w:autoSpaceDN/>
              <w:bidi w:val="0"/>
              <w:adjustRightInd w:val="0"/>
              <w:snapToGrid w:val="0"/>
              <w:spacing w:before="0" w:after="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冻前最小距离</w:t>
            </w:r>
          </w:p>
        </w:tc>
        <w:tc>
          <w:tcPr>
            <w:tcW w:w="1290" w:type="dxa"/>
            <w:vAlign w:val="center"/>
          </w:tcPr>
          <w:p w14:paraId="2AB30993">
            <w:pPr>
              <w:pStyle w:val="38"/>
              <w:keepNext w:val="0"/>
              <w:keepLines w:val="0"/>
              <w:pageBreakBefore w:val="0"/>
              <w:widowControl w:val="0"/>
              <w:kinsoku/>
              <w:wordWrap/>
              <w:overflowPunct/>
              <w:topLinePunct w:val="0"/>
              <w:autoSpaceDE/>
              <w:autoSpaceDN/>
              <w:bidi w:val="0"/>
              <w:adjustRightInd w:val="0"/>
              <w:snapToGrid w:val="0"/>
              <w:spacing w:before="0" w:after="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平均冻胀率</w:t>
            </w:r>
          </w:p>
        </w:tc>
        <w:tc>
          <w:tcPr>
            <w:tcW w:w="1090" w:type="dxa"/>
            <w:vAlign w:val="center"/>
          </w:tcPr>
          <w:p w14:paraId="3048E27F">
            <w:pPr>
              <w:pStyle w:val="38"/>
              <w:keepNext w:val="0"/>
              <w:keepLines w:val="0"/>
              <w:pageBreakBefore w:val="0"/>
              <w:widowControl w:val="0"/>
              <w:kinsoku/>
              <w:wordWrap/>
              <w:overflowPunct/>
              <w:topLinePunct w:val="0"/>
              <w:autoSpaceDE/>
              <w:autoSpaceDN/>
              <w:bidi w:val="0"/>
              <w:adjustRightInd w:val="0"/>
              <w:snapToGrid w:val="0"/>
              <w:spacing w:before="0" w:after="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冻胀等级</w:t>
            </w:r>
          </w:p>
        </w:tc>
        <w:tc>
          <w:tcPr>
            <w:tcW w:w="1083" w:type="dxa"/>
            <w:vAlign w:val="center"/>
          </w:tcPr>
          <w:p w14:paraId="53010145">
            <w:pPr>
              <w:pStyle w:val="38"/>
              <w:keepNext w:val="0"/>
              <w:keepLines w:val="0"/>
              <w:pageBreakBefore w:val="0"/>
              <w:widowControl w:val="0"/>
              <w:kinsoku/>
              <w:wordWrap/>
              <w:overflowPunct/>
              <w:topLinePunct w:val="0"/>
              <w:autoSpaceDE/>
              <w:autoSpaceDN/>
              <w:bidi w:val="0"/>
              <w:adjustRightInd w:val="0"/>
              <w:snapToGrid w:val="0"/>
              <w:spacing w:before="0" w:after="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冻胀类别</w:t>
            </w:r>
          </w:p>
        </w:tc>
      </w:tr>
      <w:tr w14:paraId="66A9F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24" w:type="dxa"/>
            <w:vAlign w:val="center"/>
          </w:tcPr>
          <w:p w14:paraId="05F6D00D">
            <w:pPr>
              <w:pStyle w:val="38"/>
              <w:keepNext w:val="0"/>
              <w:keepLines w:val="0"/>
              <w:pageBreakBefore w:val="0"/>
              <w:widowControl w:val="0"/>
              <w:kinsoku/>
              <w:wordWrap/>
              <w:overflowPunct/>
              <w:topLinePunct w:val="0"/>
              <w:autoSpaceDE/>
              <w:autoSpaceDN/>
              <w:bidi w:val="0"/>
              <w:adjustRightInd w:val="0"/>
              <w:snapToGrid w:val="0"/>
              <w:spacing w:before="0" w:after="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K6+710-K10+931</w:t>
            </w:r>
          </w:p>
        </w:tc>
        <w:tc>
          <w:tcPr>
            <w:tcW w:w="1736" w:type="dxa"/>
            <w:vAlign w:val="center"/>
          </w:tcPr>
          <w:p w14:paraId="42D913C8">
            <w:pPr>
              <w:pStyle w:val="38"/>
              <w:keepNext w:val="0"/>
              <w:keepLines w:val="0"/>
              <w:pageBreakBefore w:val="0"/>
              <w:widowControl w:val="0"/>
              <w:kinsoku/>
              <w:wordWrap/>
              <w:overflowPunct/>
              <w:topLinePunct w:val="0"/>
              <w:autoSpaceDE/>
              <w:autoSpaceDN/>
              <w:bidi w:val="0"/>
              <w:adjustRightInd w:val="0"/>
              <w:snapToGrid w:val="0"/>
              <w:spacing w:before="0" w:after="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w≤12</w:t>
            </w:r>
          </w:p>
        </w:tc>
        <w:tc>
          <w:tcPr>
            <w:tcW w:w="1500" w:type="dxa"/>
            <w:vAlign w:val="center"/>
          </w:tcPr>
          <w:p w14:paraId="1ECAFE5B">
            <w:pPr>
              <w:pStyle w:val="38"/>
              <w:keepNext w:val="0"/>
              <w:keepLines w:val="0"/>
              <w:pageBreakBefore w:val="0"/>
              <w:widowControl w:val="0"/>
              <w:kinsoku/>
              <w:wordWrap/>
              <w:overflowPunct/>
              <w:topLinePunct w:val="0"/>
              <w:autoSpaceDE/>
              <w:autoSpaceDN/>
              <w:bidi w:val="0"/>
              <w:adjustRightInd w:val="0"/>
              <w:snapToGrid w:val="0"/>
              <w:spacing w:before="0" w:after="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＞1.0</w:t>
            </w:r>
          </w:p>
        </w:tc>
        <w:tc>
          <w:tcPr>
            <w:tcW w:w="1290" w:type="dxa"/>
            <w:vAlign w:val="center"/>
          </w:tcPr>
          <w:p w14:paraId="1DFBAF4F">
            <w:pPr>
              <w:pStyle w:val="38"/>
              <w:keepNext w:val="0"/>
              <w:keepLines w:val="0"/>
              <w:pageBreakBefore w:val="0"/>
              <w:widowControl w:val="0"/>
              <w:kinsoku/>
              <w:wordWrap/>
              <w:overflowPunct/>
              <w:topLinePunct w:val="0"/>
              <w:autoSpaceDE/>
              <w:autoSpaceDN/>
              <w:bidi w:val="0"/>
              <w:adjustRightInd w:val="0"/>
              <w:snapToGrid w:val="0"/>
              <w:spacing w:before="0" w:after="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n≤1</w:t>
            </w:r>
          </w:p>
        </w:tc>
        <w:tc>
          <w:tcPr>
            <w:tcW w:w="1090" w:type="dxa"/>
            <w:vAlign w:val="center"/>
          </w:tcPr>
          <w:p w14:paraId="433D11F5">
            <w:pPr>
              <w:pStyle w:val="38"/>
              <w:keepNext w:val="0"/>
              <w:keepLines w:val="0"/>
              <w:pageBreakBefore w:val="0"/>
              <w:widowControl w:val="0"/>
              <w:kinsoku/>
              <w:wordWrap/>
              <w:overflowPunct/>
              <w:topLinePunct w:val="0"/>
              <w:autoSpaceDE/>
              <w:autoSpaceDN/>
              <w:bidi w:val="0"/>
              <w:adjustRightInd w:val="0"/>
              <w:snapToGrid w:val="0"/>
              <w:spacing w:before="0" w:after="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I</w:t>
            </w:r>
          </w:p>
        </w:tc>
        <w:tc>
          <w:tcPr>
            <w:tcW w:w="1083" w:type="dxa"/>
            <w:vAlign w:val="center"/>
          </w:tcPr>
          <w:p w14:paraId="05FBA3FF">
            <w:pPr>
              <w:pStyle w:val="38"/>
              <w:keepNext w:val="0"/>
              <w:keepLines w:val="0"/>
              <w:pageBreakBefore w:val="0"/>
              <w:widowControl w:val="0"/>
              <w:kinsoku/>
              <w:wordWrap/>
              <w:overflowPunct/>
              <w:topLinePunct w:val="0"/>
              <w:autoSpaceDE/>
              <w:autoSpaceDN/>
              <w:bidi w:val="0"/>
              <w:adjustRightInd w:val="0"/>
              <w:snapToGrid w:val="0"/>
              <w:spacing w:before="0" w:after="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不冻胀</w:t>
            </w:r>
          </w:p>
        </w:tc>
      </w:tr>
    </w:tbl>
    <w:p w14:paraId="3D193E2A">
      <w:pPr>
        <w:pStyle w:val="6"/>
        <w:bidi w:val="0"/>
        <w:rPr>
          <w:rFonts w:hint="default" w:ascii="Times New Roman" w:hAnsi="Times New Roman" w:cs="Times New Roman"/>
          <w:color w:val="auto"/>
        </w:rPr>
      </w:pPr>
      <w:r>
        <w:rPr>
          <w:rFonts w:hint="default" w:ascii="Times New Roman" w:hAnsi="Times New Roman" w:cs="Times New Roman"/>
          <w:color w:val="auto"/>
          <w:lang w:val="en-US" w:eastAsia="zh-CN"/>
        </w:rPr>
        <w:t>3.2.3.1.4 路基取土、弃土</w:t>
      </w:r>
    </w:p>
    <w:p w14:paraId="189345C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路基填料全线采取沿线集中取土方式，土质为砾类土，路基填料必须在指定的取土料场取用，严禁乱掘、乱挖。清表土方以及其他废方必须按指定的弃土场</w:t>
      </w:r>
      <w:r>
        <w:rPr>
          <w:rFonts w:hint="default" w:ascii="Times New Roman" w:hAnsi="Times New Roman" w:cs="Times New Roman"/>
          <w:color w:val="auto"/>
          <w:kern w:val="0"/>
          <w:sz w:val="24"/>
          <w:szCs w:val="24"/>
          <w:lang w:val="en-US" w:eastAsia="zh-CN" w:bidi="ar"/>
        </w:rPr>
        <w:t>弃置</w:t>
      </w:r>
      <w:r>
        <w:rPr>
          <w:rFonts w:hint="default" w:ascii="Times New Roman" w:hAnsi="Times New Roman" w:eastAsia="宋体" w:cs="Times New Roman"/>
          <w:color w:val="auto"/>
          <w:kern w:val="0"/>
          <w:sz w:val="24"/>
          <w:szCs w:val="24"/>
          <w:lang w:val="en-US" w:eastAsia="zh-CN" w:bidi="ar"/>
        </w:rPr>
        <w:t>，根据地方政府指定地点进行临时堆放。挖除的旧路面必须按指定的掩埋方式进行处理掩埋。本着因地制宜，综合利用的原则，弃土场除选择沿线取土坑以外还可以选用相邻其他项目遗留取土坑。</w:t>
      </w:r>
    </w:p>
    <w:p w14:paraId="00DF3C8B">
      <w:pPr>
        <w:pStyle w:val="6"/>
        <w:bidi w:val="0"/>
        <w:rPr>
          <w:rFonts w:hint="default" w:ascii="Times New Roman" w:hAnsi="Times New Roman" w:cs="Times New Roman"/>
          <w:color w:val="auto"/>
        </w:rPr>
      </w:pPr>
      <w:r>
        <w:rPr>
          <w:rFonts w:hint="default" w:ascii="Times New Roman" w:hAnsi="Times New Roman" w:cs="Times New Roman"/>
          <w:color w:val="auto"/>
          <w:lang w:val="en-US" w:eastAsia="zh-CN"/>
        </w:rPr>
        <w:t>3.2.3.1.5 路基排水</w:t>
      </w:r>
    </w:p>
    <w:p w14:paraId="12A6EA6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公路路基排水设计应防、排、疏结合，并与路面排水、路基防护、地基处理等措施相互协调、形成完善的排水系统，同时遵循环境保护及与当地排灌系统协调原则。路基排水结合路线、桥涵设计，在充分调查沿线水文的基础上综合考虑，本项目路基排水工程类型主要包括边沟、排水沟等。</w:t>
      </w:r>
    </w:p>
    <w:p w14:paraId="2352FA96">
      <w:pPr>
        <w:pStyle w:val="6"/>
        <w:bidi w:val="0"/>
        <w:outlineLvl w:val="4"/>
        <w:rPr>
          <w:rFonts w:hint="default" w:ascii="Times New Roman" w:hAnsi="Times New Roman" w:cs="Times New Roman"/>
          <w:color w:val="auto"/>
        </w:rPr>
      </w:pPr>
      <w:r>
        <w:rPr>
          <w:rFonts w:hint="default" w:ascii="Times New Roman" w:hAnsi="Times New Roman" w:cs="Times New Roman"/>
          <w:color w:val="auto"/>
          <w:lang w:val="en-US" w:eastAsia="zh-CN"/>
        </w:rPr>
        <w:t>3.2.3.1.6 路基防护</w:t>
      </w:r>
    </w:p>
    <w:p w14:paraId="001B3EFA">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本段沿线以填方路基为主，山区部分路段开挖山体，原有老路路基防护以现浇混凝土预制块护坡、路肩墙、路堑墙为主。本次路基防护工程具体方案如下：</w:t>
      </w:r>
    </w:p>
    <w:p w14:paraId="1D07DEBA">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①一般路段，考虑减小对自然环境的影响，进行自然坡面防护。坡面施工后可利用清表土对其进行绿化恢复。</w:t>
      </w:r>
    </w:p>
    <w:p w14:paraId="43B8B925">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②临山挖方路段，根据具体地质和开挖情况，设置路堑墙防护。对易碎落的碎石土边坡，第一级边坡采用路堑墙防护。</w:t>
      </w:r>
    </w:p>
    <w:p w14:paraId="0E2CB3D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（1）方格网</w:t>
      </w:r>
    </w:p>
    <w:p w14:paraId="43645FC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适用于H＞3m路段的填方路堤边坡防护、挖方边坡及构造物台背后10m～20m路堤边坡防护，方格内铺筑清表土。方格网采用C30混凝土预制块砌筑，M10砂浆勾缝；镶边及肋柱采用C30混凝土预制，护脚及护坡基础采用C30现浇混凝土。沿边坡每10m设一伸缩缝，缝宽2cm，采用沥青麻絮填塞。路基边坡方格网护坡必须达到路基压实度，经刷坡后方可施工。</w:t>
      </w:r>
    </w:p>
    <w:p w14:paraId="06AB5D1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w:t>
      </w:r>
      <w:r>
        <w:rPr>
          <w:rFonts w:hint="default" w:ascii="Times New Roman" w:hAnsi="Times New Roman" w:cs="Times New Roman"/>
          <w:color w:val="auto"/>
          <w:kern w:val="0"/>
          <w:sz w:val="24"/>
          <w:szCs w:val="24"/>
          <w:lang w:val="en-US" w:eastAsia="zh-CN" w:bidi="ar"/>
        </w:rPr>
        <w:t>挡土墙</w:t>
      </w:r>
    </w:p>
    <w:p w14:paraId="40DBD347">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本项目挡土墙主要用于：深路堑土质路段及泥岩路段，采用仰斜式路堑墙。</w:t>
      </w:r>
    </w:p>
    <w:p w14:paraId="07CFA9D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挡墙墙身采用C30现浇混凝土砌筑，挡土墙每隔10～15m或地形突变</w:t>
      </w:r>
      <w:r>
        <w:rPr>
          <w:rFonts w:hint="eastAsia" w:cs="Times New Roman"/>
          <w:color w:val="auto"/>
          <w:kern w:val="0"/>
          <w:sz w:val="24"/>
          <w:szCs w:val="24"/>
          <w:lang w:val="en-US" w:eastAsia="zh-CN" w:bidi="ar"/>
        </w:rPr>
        <w:t>处</w:t>
      </w:r>
      <w:r>
        <w:rPr>
          <w:rFonts w:hint="default" w:ascii="Times New Roman" w:hAnsi="Times New Roman" w:eastAsia="宋体" w:cs="Times New Roman"/>
          <w:color w:val="auto"/>
          <w:kern w:val="0"/>
          <w:sz w:val="24"/>
          <w:szCs w:val="24"/>
          <w:lang w:val="en-US" w:eastAsia="zh-CN" w:bidi="ar"/>
        </w:rPr>
        <w:t>设一道沉降缝，缝宽2cm，以沥青麻絮填塞，沿墙内、外、顶三侧填塞，填塞深度15cm。墙背填料采用透水性好的填料分层夯实，填料摩擦角不低于35°。挡墙泄水孔尺寸10×10cm，挡墙泄水孔应在清理回填线上30cm处沿墙长方向布设一排，横向间距2.0~3.0m，竖向间距不小于2.5m，最下一排泄水孔应高出地面0.3米，或高出沟底0.6米。泄水孔采用反滤土工布，进水口底部沿墙长范围铺设一层反滤土工布（泄水孔处20×30cm开口），反滤土工布上铺设砂砾反滤层，在泄水口进口30cm长度范围用2~4cm砾石反滤层，以免孔道淤塞。基础埋置深度不小于最大冻结深度。</w:t>
      </w:r>
    </w:p>
    <w:p w14:paraId="1F467D6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w:t>
      </w:r>
      <w:r>
        <w:rPr>
          <w:rFonts w:hint="default" w:ascii="Times New Roman" w:hAnsi="Times New Roman" w:cs="Times New Roman"/>
          <w:color w:val="auto"/>
          <w:kern w:val="0"/>
          <w:sz w:val="24"/>
          <w:szCs w:val="24"/>
          <w:lang w:val="en-US" w:eastAsia="zh-CN" w:bidi="ar"/>
        </w:rPr>
        <w:t>护面</w:t>
      </w:r>
      <w:r>
        <w:rPr>
          <w:rFonts w:hint="default" w:ascii="Times New Roman" w:hAnsi="Times New Roman" w:eastAsia="宋体" w:cs="Times New Roman"/>
          <w:color w:val="auto"/>
          <w:kern w:val="0"/>
          <w:sz w:val="24"/>
          <w:szCs w:val="24"/>
          <w:lang w:val="en-US" w:eastAsia="zh-CN" w:bidi="ar"/>
        </w:rPr>
        <w:t>墙</w:t>
      </w:r>
    </w:p>
    <w:p w14:paraId="53AE306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对于强风化、中风化岩质及深挖路堑，采用“固脚、强腰”的设计原则，在第一级边坡坡面设置护面墙，护面墙采用仰斜式，顶宽0.4m，采用C30现浇混凝土，护面墙布设于第一级挖方边坡，一般情况下基础埋深距边沟底面距离为1m；如遇到基岩段落，则在清理表面风化层后嵌入基岩50cm即可。当墙高H＞5m时，护面墙中部应设置耳墙，耳墙宽度取1m。护面墙上设置Φ10cm PVC管泄水孔，上下排交错，呈梅花形布置间距2.0至3.0m,间距可根据实际情况适当调整。底排泄水孔距地面及常水位以上0.3m。墙背设置50cm厚碎石反滤层，反滤层下用80cm宽的防渗土工布。每隔10m设一道伸缩缝，缝宽2cm，用橡胶止水带填塞。</w:t>
      </w:r>
    </w:p>
    <w:p w14:paraId="0A82AD57">
      <w:pPr>
        <w:pStyle w:val="5"/>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3.2.</w:t>
      </w:r>
      <w:r>
        <w:rPr>
          <w:rFonts w:hint="eastAsia" w:ascii="Times New Roman" w:hAnsi="Times New Roman" w:cs="Times New Roman"/>
          <w:color w:val="auto"/>
          <w:lang w:val="en-US" w:eastAsia="zh-CN"/>
        </w:rPr>
        <w:t>3</w:t>
      </w:r>
      <w:r>
        <w:rPr>
          <w:rFonts w:hint="default" w:ascii="Times New Roman" w:hAnsi="Times New Roman" w:eastAsia="宋体" w:cs="Times New Roman"/>
          <w:color w:val="auto"/>
          <w:lang w:val="en-US" w:eastAsia="zh-CN"/>
        </w:rPr>
        <w:t>.2 路面工程</w:t>
      </w:r>
    </w:p>
    <w:p w14:paraId="1FEC2834">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（1）</w:t>
      </w:r>
      <w:r>
        <w:rPr>
          <w:rFonts w:hint="default" w:ascii="Times New Roman" w:hAnsi="Times New Roman" w:eastAsia="宋体" w:cs="Times New Roman"/>
          <w:color w:val="auto"/>
          <w:kern w:val="0"/>
          <w:sz w:val="24"/>
          <w:szCs w:val="24"/>
          <w:lang w:val="en-US" w:eastAsia="zh-CN" w:bidi="ar"/>
        </w:rPr>
        <w:t>一般路段新建路段：</w:t>
      </w:r>
    </w:p>
    <w:p w14:paraId="32E6F710">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面层：4cm细粒式沥青混凝土AC-13C+6cm中粒式沥青混凝土AC-20C</w:t>
      </w:r>
    </w:p>
    <w:p w14:paraId="236E424A">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粘层：改性乳化沥青</w:t>
      </w:r>
    </w:p>
    <w:p w14:paraId="517582BD">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下封层：改性乳化沥青碎石封层</w:t>
      </w:r>
    </w:p>
    <w:p w14:paraId="2781B389">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基 层：32cm4.5%水泥稳定砂砾</w:t>
      </w:r>
    </w:p>
    <w:p w14:paraId="7EE4E1E7">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底基层：20cm天然砂砾</w:t>
      </w:r>
    </w:p>
    <w:p w14:paraId="45F51C67">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老路利用加铺段：</w:t>
      </w:r>
    </w:p>
    <w:p w14:paraId="3A413F06">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面层：5cm中粒式沥青混凝土AC-16C </w:t>
      </w:r>
    </w:p>
    <w:p w14:paraId="473B813E">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下封层：改性乳化沥青碎石封层</w:t>
      </w:r>
    </w:p>
    <w:p w14:paraId="55EB42FA">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基 层：20～30cm 4.5%水泥稳定砂砾兼调平层</w:t>
      </w:r>
    </w:p>
    <w:p w14:paraId="74053A5F">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桥面铺装：</w:t>
      </w:r>
    </w:p>
    <w:p w14:paraId="00598BF7">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面层：4cm细粒式沥青混凝土AC-13C+6cm中粒式沥青混凝土AC-20C</w:t>
      </w:r>
    </w:p>
    <w:p w14:paraId="54C5D0AA">
      <w:pPr>
        <w:keepNext w:val="0"/>
        <w:keepLines w:val="0"/>
        <w:widowControl/>
        <w:suppressLineNumbers w:val="0"/>
        <w:jc w:val="left"/>
        <w:rPr>
          <w:rFonts w:hint="default" w:ascii="Times New Roman" w:hAnsi="Times New Roman" w:eastAsia="宋体" w:cs="Times New Roman"/>
          <w:b w:val="0"/>
          <w:bCs w:val="0"/>
          <w:color w:val="auto"/>
          <w:kern w:val="0"/>
          <w:sz w:val="24"/>
          <w:szCs w:val="24"/>
          <w:lang w:val="en-US" w:eastAsia="zh-CN" w:bidi="ar"/>
        </w:rPr>
      </w:pPr>
      <w:r>
        <w:rPr>
          <w:rFonts w:hint="eastAsia" w:ascii="Times New Roman" w:hAnsi="Times New Roman" w:cs="Times New Roman"/>
          <w:b w:val="0"/>
          <w:bCs w:val="0"/>
          <w:color w:val="auto"/>
          <w:kern w:val="0"/>
          <w:sz w:val="24"/>
          <w:szCs w:val="24"/>
          <w:lang w:val="en-US" w:eastAsia="zh-CN" w:bidi="ar"/>
        </w:rPr>
        <w:t>（4）</w:t>
      </w:r>
      <w:r>
        <w:rPr>
          <w:rFonts w:hint="default" w:ascii="Times New Roman" w:hAnsi="Times New Roman" w:eastAsia="宋体" w:cs="Times New Roman"/>
          <w:b w:val="0"/>
          <w:bCs w:val="0"/>
          <w:color w:val="auto"/>
          <w:kern w:val="0"/>
          <w:sz w:val="24"/>
          <w:szCs w:val="24"/>
          <w:lang w:val="en-US" w:eastAsia="zh-CN" w:bidi="ar"/>
        </w:rPr>
        <w:t>平交口：</w:t>
      </w:r>
    </w:p>
    <w:p w14:paraId="1EA58FE9">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面层：5cm中粒式沥青混凝土AC-16C </w:t>
      </w:r>
    </w:p>
    <w:p w14:paraId="65C183B8">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下封层：改性乳化沥青碎石封层</w:t>
      </w:r>
    </w:p>
    <w:p w14:paraId="095D5A72">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基 层：30cm 4.5%水泥稳定砂砾：</w:t>
      </w:r>
    </w:p>
    <w:p w14:paraId="1F11F4EE">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底基层：20cm天然砂砾</w:t>
      </w:r>
    </w:p>
    <w:p w14:paraId="5742DA25">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3.2.</w:t>
      </w:r>
      <w:r>
        <w:rPr>
          <w:rFonts w:hint="eastAsia" w:ascii="Times New Roman" w:hAnsi="Times New Roman" w:cs="Times New Roman"/>
          <w:color w:val="auto"/>
          <w:lang w:val="en-US" w:eastAsia="zh-CN"/>
        </w:rPr>
        <w:t>3</w:t>
      </w:r>
      <w:r>
        <w:rPr>
          <w:rFonts w:hint="default" w:ascii="Times New Roman" w:hAnsi="Times New Roman" w:cs="Times New Roman"/>
          <w:color w:val="auto"/>
          <w:lang w:val="en-US" w:eastAsia="zh-CN"/>
        </w:rPr>
        <w:t>.3 桥梁涵洞工程</w:t>
      </w:r>
    </w:p>
    <w:p w14:paraId="71F08F54">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全线共设大桥275/2座，其中位于K7+006.5处设计一座大桥（兰干山大桥）；K10+861.7设置一座大桥（G3012跨线桥），桥梁路面净宽与路面宽度一致；涵洞与路基同宽，设置钢波纹管涵22道。</w:t>
      </w:r>
    </w:p>
    <w:p w14:paraId="102F82C2">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本项目桥梁一览表详见下表。根据现场调查及区域地形地貌勘察结果，项目</w:t>
      </w:r>
      <w:r>
        <w:rPr>
          <w:rFonts w:hint="eastAsia" w:cs="Times New Roman"/>
          <w:color w:val="auto"/>
          <w:kern w:val="0"/>
          <w:sz w:val="24"/>
          <w:szCs w:val="24"/>
          <w:lang w:val="en-US" w:eastAsia="zh-CN" w:bidi="ar"/>
        </w:rPr>
        <w:t>不跨越河流，</w:t>
      </w:r>
      <w:r>
        <w:rPr>
          <w:rFonts w:hint="default" w:ascii="Times New Roman" w:hAnsi="Times New Roman" w:eastAsia="宋体" w:cs="Times New Roman"/>
          <w:color w:val="auto"/>
          <w:kern w:val="0"/>
          <w:sz w:val="24"/>
          <w:szCs w:val="24"/>
          <w:lang w:val="en-US" w:eastAsia="zh-CN" w:bidi="ar"/>
        </w:rPr>
        <w:t>周边</w:t>
      </w:r>
      <w:r>
        <w:rPr>
          <w:rFonts w:hint="eastAsia" w:cs="Times New Roman"/>
          <w:color w:val="auto"/>
          <w:kern w:val="0"/>
          <w:sz w:val="24"/>
          <w:szCs w:val="24"/>
          <w:lang w:val="en-US" w:eastAsia="zh-CN" w:bidi="ar"/>
        </w:rPr>
        <w:t>也</w:t>
      </w:r>
      <w:r>
        <w:rPr>
          <w:rFonts w:hint="default" w:ascii="Times New Roman" w:hAnsi="Times New Roman" w:eastAsia="宋体" w:cs="Times New Roman"/>
          <w:color w:val="auto"/>
          <w:kern w:val="0"/>
          <w:sz w:val="24"/>
          <w:szCs w:val="24"/>
          <w:lang w:val="en-US" w:eastAsia="zh-CN" w:bidi="ar"/>
        </w:rPr>
        <w:t>无自然河流等地表径流分布，项目区水文形势常年无流水。</w:t>
      </w:r>
    </w:p>
    <w:p w14:paraId="1116DBC5">
      <w:pPr>
        <w:pStyle w:val="39"/>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w:t>
      </w:r>
      <w:r>
        <w:rPr>
          <w:rFonts w:hint="eastAsia" w:cs="Times New Roman"/>
          <w:color w:val="auto"/>
          <w:lang w:val="en-US" w:eastAsia="zh-CN"/>
        </w:rPr>
        <w:t>3.2</w:t>
      </w:r>
      <w:r>
        <w:rPr>
          <w:rFonts w:hint="default" w:ascii="Times New Roman" w:hAnsi="Times New Roman" w:cs="Times New Roman"/>
          <w:color w:val="auto"/>
          <w:lang w:val="en-US" w:eastAsia="zh-CN"/>
        </w:rPr>
        <w:t>-</w:t>
      </w:r>
      <w:r>
        <w:rPr>
          <w:rFonts w:hint="eastAsia" w:cs="Times New Roman"/>
          <w:color w:val="auto"/>
          <w:lang w:val="en-US" w:eastAsia="zh-CN"/>
        </w:rPr>
        <w:t>6</w:t>
      </w:r>
      <w:r>
        <w:rPr>
          <w:rFonts w:hint="default" w:ascii="Times New Roman" w:hAnsi="Times New Roman" w:cs="Times New Roman"/>
          <w:color w:val="auto"/>
          <w:lang w:val="en-US" w:eastAsia="zh-CN"/>
        </w:rPr>
        <w:t xml:space="preserve"> </w:t>
      </w:r>
      <w:r>
        <w:rPr>
          <w:rFonts w:hint="eastAsia" w:cs="Times New Roman"/>
          <w:color w:val="auto"/>
          <w:lang w:val="en-US" w:eastAsia="zh-CN"/>
        </w:rPr>
        <w:t xml:space="preserve"> </w:t>
      </w:r>
      <w:r>
        <w:rPr>
          <w:rFonts w:hint="default" w:ascii="Times New Roman" w:hAnsi="Times New Roman" w:cs="Times New Roman"/>
          <w:color w:val="auto"/>
          <w:lang w:val="en-US" w:eastAsia="zh-CN"/>
        </w:rPr>
        <w:t xml:space="preserve">  桥梁一览表</w:t>
      </w:r>
    </w:p>
    <w:tbl>
      <w:tblPr>
        <w:tblStyle w:val="3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1"/>
        <w:gridCol w:w="1993"/>
        <w:gridCol w:w="1693"/>
        <w:gridCol w:w="1529"/>
        <w:gridCol w:w="1454"/>
      </w:tblGrid>
      <w:tr w14:paraId="5DE59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1086" w:type="pct"/>
            <w:tcBorders>
              <w:tl2br w:val="nil"/>
              <w:tr2bl w:val="nil"/>
            </w:tcBorders>
            <w:noWrap w:val="0"/>
            <w:vAlign w:val="center"/>
          </w:tcPr>
          <w:p w14:paraId="40B06E9B">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桥梁中心桩号</w:t>
            </w:r>
          </w:p>
        </w:tc>
        <w:tc>
          <w:tcPr>
            <w:tcW w:w="1169" w:type="pct"/>
            <w:tcBorders>
              <w:tl2br w:val="nil"/>
              <w:tr2bl w:val="nil"/>
            </w:tcBorders>
            <w:noWrap w:val="0"/>
            <w:vAlign w:val="center"/>
          </w:tcPr>
          <w:p w14:paraId="1E511AA6">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桥名</w:t>
            </w:r>
          </w:p>
        </w:tc>
        <w:tc>
          <w:tcPr>
            <w:tcW w:w="993" w:type="pct"/>
            <w:tcBorders>
              <w:tl2br w:val="nil"/>
              <w:tr2bl w:val="nil"/>
            </w:tcBorders>
            <w:noWrap w:val="0"/>
            <w:vAlign w:val="center"/>
          </w:tcPr>
          <w:p w14:paraId="145D8EA4">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桥长（m）</w:t>
            </w:r>
          </w:p>
        </w:tc>
        <w:tc>
          <w:tcPr>
            <w:tcW w:w="897" w:type="pct"/>
            <w:tcBorders>
              <w:tl2br w:val="nil"/>
              <w:tr2bl w:val="nil"/>
            </w:tcBorders>
            <w:noWrap w:val="0"/>
            <w:vAlign w:val="center"/>
          </w:tcPr>
          <w:p w14:paraId="782A039A">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桥梁宽度</w:t>
            </w:r>
          </w:p>
        </w:tc>
        <w:tc>
          <w:tcPr>
            <w:tcW w:w="853" w:type="pct"/>
            <w:tcBorders>
              <w:tl2br w:val="nil"/>
              <w:tr2bl w:val="nil"/>
            </w:tcBorders>
            <w:noWrap w:val="0"/>
            <w:vAlign w:val="center"/>
          </w:tcPr>
          <w:p w14:paraId="7C8B33A5">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备注</w:t>
            </w:r>
          </w:p>
        </w:tc>
      </w:tr>
      <w:tr w14:paraId="05D97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1086" w:type="pct"/>
            <w:tcBorders>
              <w:tl2br w:val="nil"/>
              <w:tr2bl w:val="nil"/>
            </w:tcBorders>
            <w:noWrap w:val="0"/>
            <w:vAlign w:val="center"/>
          </w:tcPr>
          <w:p w14:paraId="7C71DF59">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K7+006.5</w:t>
            </w:r>
          </w:p>
        </w:tc>
        <w:tc>
          <w:tcPr>
            <w:tcW w:w="1169" w:type="pct"/>
            <w:tcBorders>
              <w:tl2br w:val="nil"/>
              <w:tr2bl w:val="nil"/>
            </w:tcBorders>
            <w:noWrap w:val="0"/>
            <w:vAlign w:val="center"/>
          </w:tcPr>
          <w:p w14:paraId="41D1D117">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兰干山大桥</w:t>
            </w:r>
          </w:p>
        </w:tc>
        <w:tc>
          <w:tcPr>
            <w:tcW w:w="993" w:type="pct"/>
            <w:tcBorders>
              <w:tl2br w:val="nil"/>
              <w:tr2bl w:val="nil"/>
            </w:tcBorders>
            <w:noWrap w:val="0"/>
            <w:vAlign w:val="center"/>
          </w:tcPr>
          <w:p w14:paraId="17CC954D">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167</w:t>
            </w:r>
          </w:p>
        </w:tc>
        <w:tc>
          <w:tcPr>
            <w:tcW w:w="897" w:type="pct"/>
            <w:tcBorders>
              <w:tl2br w:val="nil"/>
              <w:tr2bl w:val="nil"/>
            </w:tcBorders>
            <w:noWrap w:val="0"/>
            <w:vAlign w:val="top"/>
          </w:tcPr>
          <w:p w14:paraId="401C0D9F">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24.5</w:t>
            </w:r>
          </w:p>
        </w:tc>
        <w:tc>
          <w:tcPr>
            <w:tcW w:w="853" w:type="pct"/>
            <w:tcBorders>
              <w:tl2br w:val="nil"/>
              <w:tr2bl w:val="nil"/>
            </w:tcBorders>
            <w:noWrap w:val="0"/>
            <w:vAlign w:val="top"/>
          </w:tcPr>
          <w:p w14:paraId="103B32D7">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跨越冲沟</w:t>
            </w:r>
          </w:p>
        </w:tc>
      </w:tr>
      <w:tr w14:paraId="55C0B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trPr>
        <w:tc>
          <w:tcPr>
            <w:tcW w:w="1086" w:type="pct"/>
            <w:tcBorders>
              <w:tl2br w:val="nil"/>
              <w:tr2bl w:val="nil"/>
            </w:tcBorders>
            <w:noWrap w:val="0"/>
            <w:vAlign w:val="center"/>
          </w:tcPr>
          <w:p w14:paraId="00BCA4D7">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K10+961.7</w:t>
            </w:r>
          </w:p>
        </w:tc>
        <w:tc>
          <w:tcPr>
            <w:tcW w:w="1169" w:type="pct"/>
            <w:tcBorders>
              <w:tl2br w:val="nil"/>
              <w:tr2bl w:val="nil"/>
            </w:tcBorders>
            <w:noWrap w:val="0"/>
            <w:vAlign w:val="center"/>
          </w:tcPr>
          <w:p w14:paraId="55DF035A">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G3012跨线桥</w:t>
            </w:r>
          </w:p>
        </w:tc>
        <w:tc>
          <w:tcPr>
            <w:tcW w:w="993" w:type="pct"/>
            <w:tcBorders>
              <w:tl2br w:val="nil"/>
              <w:tr2bl w:val="nil"/>
            </w:tcBorders>
            <w:noWrap w:val="0"/>
            <w:vAlign w:val="center"/>
          </w:tcPr>
          <w:p w14:paraId="071FD7E4">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108</w:t>
            </w:r>
          </w:p>
        </w:tc>
        <w:tc>
          <w:tcPr>
            <w:tcW w:w="897" w:type="pct"/>
            <w:tcBorders>
              <w:tl2br w:val="nil"/>
              <w:tr2bl w:val="nil"/>
            </w:tcBorders>
            <w:noWrap w:val="0"/>
            <w:vAlign w:val="top"/>
          </w:tcPr>
          <w:p w14:paraId="646B9DEE">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24.5</w:t>
            </w:r>
          </w:p>
        </w:tc>
        <w:tc>
          <w:tcPr>
            <w:tcW w:w="853" w:type="pct"/>
            <w:tcBorders>
              <w:tl2br w:val="nil"/>
              <w:tr2bl w:val="nil"/>
            </w:tcBorders>
            <w:noWrap w:val="0"/>
            <w:vAlign w:val="top"/>
          </w:tcPr>
          <w:p w14:paraId="1213F818">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跨越G3012</w:t>
            </w:r>
          </w:p>
        </w:tc>
      </w:tr>
    </w:tbl>
    <w:p w14:paraId="25B4A0FA">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3.2.</w:t>
      </w:r>
      <w:r>
        <w:rPr>
          <w:rFonts w:hint="eastAsia" w:ascii="Times New Roman" w:hAnsi="Times New Roman" w:cs="Times New Roman"/>
          <w:color w:val="auto"/>
          <w:lang w:val="en-US" w:eastAsia="zh-CN"/>
        </w:rPr>
        <w:t>3</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4</w:t>
      </w:r>
      <w:r>
        <w:rPr>
          <w:rFonts w:hint="default" w:ascii="Times New Roman" w:hAnsi="Times New Roman" w:cs="Times New Roman"/>
          <w:color w:val="auto"/>
          <w:lang w:val="en-US" w:eastAsia="zh-CN"/>
        </w:rPr>
        <w:t xml:space="preserve"> 隧道总体设计</w:t>
      </w:r>
    </w:p>
    <w:p w14:paraId="29BC3404">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本项目隧道采用分离式隧道</w:t>
      </w:r>
      <w:r>
        <w:rPr>
          <w:rFonts w:hint="eastAsia" w:cs="Times New Roman"/>
          <w:color w:val="auto"/>
          <w:kern w:val="0"/>
          <w:sz w:val="24"/>
          <w:szCs w:val="24"/>
          <w:lang w:val="en-US" w:eastAsia="zh-CN" w:bidi="ar"/>
        </w:rPr>
        <w:t>1座，长1155米</w:t>
      </w:r>
      <w:r>
        <w:rPr>
          <w:rFonts w:hint="default" w:ascii="Times New Roman" w:hAnsi="Times New Roman" w:eastAsia="宋体" w:cs="Times New Roman"/>
          <w:color w:val="auto"/>
          <w:kern w:val="0"/>
          <w:sz w:val="24"/>
          <w:szCs w:val="24"/>
          <w:lang w:val="en-US" w:eastAsia="zh-CN" w:bidi="ar"/>
        </w:rPr>
        <w:t>，隧道洞口段最小线间距 15.5m，洞身段线间距30m。</w:t>
      </w:r>
      <w:r>
        <w:rPr>
          <w:rFonts w:hint="eastAsia" w:cs="Times New Roman"/>
          <w:color w:val="auto"/>
          <w:kern w:val="0"/>
          <w:sz w:val="24"/>
          <w:szCs w:val="24"/>
          <w:lang w:val="en-US" w:eastAsia="zh-CN" w:bidi="ar"/>
        </w:rPr>
        <w:t>本项目隧道设计指标见表3.2-7。</w:t>
      </w:r>
    </w:p>
    <w:p w14:paraId="27050475">
      <w:pPr>
        <w:keepNext w:val="0"/>
        <w:keepLines w:val="0"/>
        <w:pageBreakBefore w:val="0"/>
        <w:widowControl w:val="0"/>
        <w:kinsoku/>
        <w:wordWrap/>
        <w:overflowPunct/>
        <w:topLinePunct w:val="0"/>
        <w:autoSpaceDE/>
        <w:autoSpaceDN/>
        <w:bidi w:val="0"/>
        <w:adjustRightInd w:val="0"/>
        <w:snapToGrid w:val="0"/>
        <w:spacing w:line="240" w:lineRule="auto"/>
        <w:ind w:right="0" w:firstLine="2108" w:firstLineChars="1000"/>
        <w:textAlignment w:val="auto"/>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rPr>
        <w:t>表</w:t>
      </w:r>
      <w:r>
        <w:rPr>
          <w:rFonts w:hint="eastAsia" w:ascii="Times New Roman" w:hAnsi="Times New Roman" w:cs="Times New Roman"/>
          <w:b/>
          <w:color w:val="auto"/>
          <w:sz w:val="21"/>
          <w:szCs w:val="21"/>
          <w:lang w:val="en-US" w:eastAsia="zh-CN"/>
        </w:rPr>
        <w:t>3.2-</w:t>
      </w:r>
      <w:r>
        <w:rPr>
          <w:rFonts w:hint="eastAsia" w:cs="Times New Roman"/>
          <w:b/>
          <w:color w:val="auto"/>
          <w:sz w:val="21"/>
          <w:szCs w:val="21"/>
          <w:lang w:val="en-US" w:eastAsia="zh-CN"/>
        </w:rPr>
        <w:t>7</w:t>
      </w:r>
      <w:r>
        <w:rPr>
          <w:rFonts w:hint="default" w:ascii="Times New Roman" w:hAnsi="Times New Roman" w:eastAsia="宋体" w:cs="Times New Roman"/>
          <w:b/>
          <w:color w:val="auto"/>
          <w:sz w:val="21"/>
          <w:szCs w:val="21"/>
        </w:rPr>
        <w:t xml:space="preserve">        </w:t>
      </w:r>
      <w:r>
        <w:rPr>
          <w:rFonts w:hint="default" w:ascii="Times New Roman" w:hAnsi="Times New Roman" w:eastAsia="宋体" w:cs="Times New Roman"/>
          <w:b/>
          <w:color w:val="auto"/>
          <w:sz w:val="21"/>
          <w:szCs w:val="21"/>
          <w:lang w:val="en-US" w:eastAsia="zh-CN"/>
        </w:rPr>
        <w:t>项目隧道平纵设计指标表</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1"/>
        <w:gridCol w:w="614"/>
        <w:gridCol w:w="2014"/>
        <w:gridCol w:w="801"/>
        <w:gridCol w:w="1967"/>
        <w:gridCol w:w="2296"/>
      </w:tblGrid>
      <w:tr w14:paraId="477A6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1519" w:type="dxa"/>
            <w:gridSpan w:val="2"/>
            <w:vMerge w:val="restart"/>
            <w:tcBorders>
              <w:tl2br w:val="nil"/>
              <w:tr2bl w:val="nil"/>
            </w:tcBorders>
            <w:noWrap w:val="0"/>
            <w:vAlign w:val="center"/>
          </w:tcPr>
          <w:p w14:paraId="32A27ED5">
            <w:pPr>
              <w:keepNext w:val="0"/>
              <w:keepLines w:val="0"/>
              <w:pageBreakBefore w:val="0"/>
              <w:widowControl w:val="0"/>
              <w:kinsoku/>
              <w:wordWrap/>
              <w:bidi w:val="0"/>
              <w:spacing w:after="0"/>
              <w:ind w:left="0" w:leftChars="0" w:right="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隧道</w:t>
            </w:r>
          </w:p>
          <w:p w14:paraId="453ED4D3">
            <w:pPr>
              <w:keepNext w:val="0"/>
              <w:keepLines w:val="0"/>
              <w:pageBreakBefore w:val="0"/>
              <w:widowControl w:val="0"/>
              <w:kinsoku/>
              <w:wordWrap/>
              <w:bidi w:val="0"/>
              <w:spacing w:after="0"/>
              <w:ind w:left="0" w:leftChars="0" w:right="0" w:firstLine="0" w:firstLineChars="0"/>
              <w:jc w:val="center"/>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kern w:val="2"/>
                <w:sz w:val="21"/>
                <w:szCs w:val="21"/>
                <w:lang w:val="en-US" w:eastAsia="zh-CN" w:bidi="ar-SA"/>
              </w:rPr>
              <w:t>名称</w:t>
            </w:r>
          </w:p>
        </w:tc>
        <w:tc>
          <w:tcPr>
            <w:tcW w:w="1431" w:type="dxa"/>
            <w:vMerge w:val="restart"/>
            <w:tcBorders>
              <w:tl2br w:val="nil"/>
              <w:tr2bl w:val="nil"/>
            </w:tcBorders>
            <w:noWrap w:val="0"/>
            <w:vAlign w:val="center"/>
          </w:tcPr>
          <w:p w14:paraId="0611F69F">
            <w:pPr>
              <w:keepNext w:val="0"/>
              <w:keepLines w:val="0"/>
              <w:pageBreakBefore w:val="0"/>
              <w:widowControl w:val="0"/>
              <w:kinsoku/>
              <w:wordWrap/>
              <w:bidi w:val="0"/>
              <w:spacing w:after="0"/>
              <w:ind w:left="0" w:leftChars="0" w:right="0" w:firstLine="0" w:firstLineChars="0"/>
              <w:jc w:val="center"/>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kern w:val="2"/>
                <w:sz w:val="18"/>
                <w:szCs w:val="18"/>
                <w:lang w:val="en-US" w:eastAsia="zh-CN" w:bidi="ar-SA"/>
              </w:rPr>
              <w:t>桩号</w:t>
            </w:r>
          </w:p>
        </w:tc>
        <w:tc>
          <w:tcPr>
            <w:tcW w:w="810" w:type="dxa"/>
            <w:tcBorders>
              <w:tl2br w:val="nil"/>
              <w:tr2bl w:val="nil"/>
            </w:tcBorders>
            <w:noWrap w:val="0"/>
            <w:vAlign w:val="center"/>
          </w:tcPr>
          <w:p w14:paraId="6F8D4AD5">
            <w:pPr>
              <w:keepNext w:val="0"/>
              <w:keepLines w:val="0"/>
              <w:pageBreakBefore w:val="0"/>
              <w:widowControl w:val="0"/>
              <w:kinsoku/>
              <w:wordWrap/>
              <w:bidi w:val="0"/>
              <w:spacing w:after="0"/>
              <w:ind w:left="0" w:leftChars="0" w:right="0" w:firstLine="0" w:firstLineChars="0"/>
              <w:jc w:val="center"/>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kern w:val="2"/>
                <w:sz w:val="18"/>
                <w:szCs w:val="18"/>
                <w:lang w:val="en-US" w:eastAsia="zh-CN" w:bidi="ar-SA"/>
              </w:rPr>
              <w:t>隧道</w:t>
            </w:r>
          </w:p>
          <w:p w14:paraId="29436376">
            <w:pPr>
              <w:keepNext w:val="0"/>
              <w:keepLines w:val="0"/>
              <w:pageBreakBefore w:val="0"/>
              <w:widowControl w:val="0"/>
              <w:kinsoku/>
              <w:wordWrap/>
              <w:bidi w:val="0"/>
              <w:spacing w:after="0"/>
              <w:ind w:left="0" w:leftChars="0" w:right="0" w:firstLine="0" w:firstLineChars="0"/>
              <w:jc w:val="center"/>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kern w:val="2"/>
                <w:sz w:val="18"/>
                <w:szCs w:val="18"/>
                <w:lang w:val="en-US" w:eastAsia="zh-CN" w:bidi="ar-SA"/>
              </w:rPr>
              <w:t>长度</w:t>
            </w:r>
          </w:p>
        </w:tc>
        <w:tc>
          <w:tcPr>
            <w:tcW w:w="4394" w:type="dxa"/>
            <w:gridSpan w:val="2"/>
            <w:tcBorders>
              <w:tl2br w:val="nil"/>
              <w:tr2bl w:val="nil"/>
            </w:tcBorders>
            <w:noWrap w:val="0"/>
            <w:vAlign w:val="center"/>
          </w:tcPr>
          <w:p w14:paraId="7FD4E0F5">
            <w:pPr>
              <w:keepNext w:val="0"/>
              <w:keepLines w:val="0"/>
              <w:pageBreakBefore w:val="0"/>
              <w:widowControl w:val="0"/>
              <w:kinsoku/>
              <w:wordWrap/>
              <w:bidi w:val="0"/>
              <w:spacing w:after="0"/>
              <w:ind w:left="0" w:leftChars="0" w:right="0" w:firstLine="0" w:firstLineChars="0"/>
              <w:jc w:val="center"/>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kern w:val="2"/>
                <w:sz w:val="18"/>
                <w:szCs w:val="18"/>
                <w:lang w:val="en-US" w:eastAsia="zh-CN" w:bidi="ar-SA"/>
              </w:rPr>
              <w:t>洞内纵坡及平面线型</w:t>
            </w:r>
          </w:p>
        </w:tc>
      </w:tr>
      <w:tr w14:paraId="32B7F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1519" w:type="dxa"/>
            <w:gridSpan w:val="2"/>
            <w:vMerge w:val="continue"/>
            <w:tcBorders>
              <w:tl2br w:val="nil"/>
              <w:tr2bl w:val="nil"/>
            </w:tcBorders>
            <w:noWrap w:val="0"/>
            <w:vAlign w:val="center"/>
          </w:tcPr>
          <w:p w14:paraId="1076E80D">
            <w:pPr>
              <w:keepNext w:val="0"/>
              <w:keepLines w:val="0"/>
              <w:pageBreakBefore w:val="0"/>
              <w:widowControl w:val="0"/>
              <w:kinsoku/>
              <w:wordWrap/>
              <w:bidi w:val="0"/>
              <w:spacing w:after="0"/>
              <w:ind w:left="0" w:leftChars="0" w:right="0" w:firstLine="0" w:firstLineChars="0"/>
              <w:jc w:val="center"/>
              <w:rPr>
                <w:rFonts w:hint="default" w:ascii="Times New Roman" w:hAnsi="Times New Roman" w:eastAsia="宋体" w:cs="Times New Roman"/>
                <w:b/>
                <w:bCs/>
                <w:color w:val="auto"/>
                <w:kern w:val="2"/>
                <w:sz w:val="18"/>
                <w:szCs w:val="18"/>
                <w:lang w:val="en-US" w:eastAsia="zh-CN" w:bidi="ar-SA"/>
              </w:rPr>
            </w:pPr>
          </w:p>
        </w:tc>
        <w:tc>
          <w:tcPr>
            <w:tcW w:w="1431" w:type="dxa"/>
            <w:vMerge w:val="continue"/>
            <w:tcBorders>
              <w:tl2br w:val="nil"/>
              <w:tr2bl w:val="nil"/>
            </w:tcBorders>
            <w:noWrap w:val="0"/>
            <w:vAlign w:val="center"/>
          </w:tcPr>
          <w:p w14:paraId="5767EB09">
            <w:pPr>
              <w:keepNext w:val="0"/>
              <w:keepLines w:val="0"/>
              <w:pageBreakBefore w:val="0"/>
              <w:widowControl w:val="0"/>
              <w:kinsoku/>
              <w:wordWrap/>
              <w:bidi w:val="0"/>
              <w:spacing w:after="0"/>
              <w:ind w:left="0" w:leftChars="0" w:right="0" w:firstLine="0" w:firstLineChars="0"/>
              <w:jc w:val="center"/>
              <w:rPr>
                <w:rFonts w:hint="default" w:ascii="Times New Roman" w:hAnsi="Times New Roman" w:eastAsia="宋体" w:cs="Times New Roman"/>
                <w:b/>
                <w:bCs/>
                <w:color w:val="auto"/>
                <w:kern w:val="2"/>
                <w:sz w:val="18"/>
                <w:szCs w:val="18"/>
                <w:lang w:val="en-US" w:eastAsia="zh-CN" w:bidi="ar-SA"/>
              </w:rPr>
            </w:pPr>
          </w:p>
        </w:tc>
        <w:tc>
          <w:tcPr>
            <w:tcW w:w="810" w:type="dxa"/>
            <w:tcBorders>
              <w:tl2br w:val="nil"/>
              <w:tr2bl w:val="nil"/>
            </w:tcBorders>
            <w:noWrap w:val="0"/>
            <w:vAlign w:val="center"/>
          </w:tcPr>
          <w:p w14:paraId="550C8FF8">
            <w:pPr>
              <w:keepNext w:val="0"/>
              <w:keepLines w:val="0"/>
              <w:pageBreakBefore w:val="0"/>
              <w:widowControl w:val="0"/>
              <w:kinsoku/>
              <w:wordWrap/>
              <w:bidi w:val="0"/>
              <w:spacing w:after="0"/>
              <w:ind w:left="0" w:leftChars="0" w:right="0" w:firstLine="0" w:firstLineChars="0"/>
              <w:jc w:val="center"/>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kern w:val="2"/>
                <w:sz w:val="18"/>
                <w:szCs w:val="18"/>
                <w:lang w:val="en-US" w:eastAsia="zh-CN" w:bidi="ar-SA"/>
              </w:rPr>
              <w:t>（m）</w:t>
            </w:r>
          </w:p>
        </w:tc>
        <w:tc>
          <w:tcPr>
            <w:tcW w:w="2080" w:type="dxa"/>
            <w:tcBorders>
              <w:tl2br w:val="nil"/>
              <w:tr2bl w:val="nil"/>
            </w:tcBorders>
            <w:noWrap w:val="0"/>
            <w:vAlign w:val="center"/>
          </w:tcPr>
          <w:p w14:paraId="192F3EA2">
            <w:pPr>
              <w:keepNext w:val="0"/>
              <w:keepLines w:val="0"/>
              <w:pageBreakBefore w:val="0"/>
              <w:widowControl w:val="0"/>
              <w:kinsoku/>
              <w:wordWrap/>
              <w:bidi w:val="0"/>
              <w:spacing w:after="0"/>
              <w:ind w:left="0" w:leftChars="0" w:right="0" w:firstLine="0" w:firstLineChars="0"/>
              <w:jc w:val="center"/>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kern w:val="2"/>
                <w:sz w:val="18"/>
                <w:szCs w:val="18"/>
                <w:lang w:val="en-US" w:eastAsia="zh-CN" w:bidi="ar-SA"/>
              </w:rPr>
              <w:t>纵坡（%）/坡长（m）</w:t>
            </w:r>
          </w:p>
        </w:tc>
        <w:tc>
          <w:tcPr>
            <w:tcW w:w="2314" w:type="dxa"/>
            <w:tcBorders>
              <w:tl2br w:val="nil"/>
              <w:tr2bl w:val="nil"/>
            </w:tcBorders>
            <w:noWrap w:val="0"/>
            <w:vAlign w:val="center"/>
          </w:tcPr>
          <w:p w14:paraId="30ACB508">
            <w:pPr>
              <w:keepNext w:val="0"/>
              <w:keepLines w:val="0"/>
              <w:pageBreakBefore w:val="0"/>
              <w:widowControl w:val="0"/>
              <w:kinsoku/>
              <w:wordWrap/>
              <w:bidi w:val="0"/>
              <w:spacing w:after="0"/>
              <w:ind w:left="0" w:leftChars="0" w:right="0" w:firstLine="0" w:firstLineChars="0"/>
              <w:jc w:val="center"/>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kern w:val="2"/>
                <w:sz w:val="18"/>
                <w:szCs w:val="18"/>
                <w:lang w:val="en-US" w:eastAsia="zh-CN" w:bidi="ar-SA"/>
              </w:rPr>
              <w:t>平曲线半径（m）</w:t>
            </w:r>
          </w:p>
        </w:tc>
      </w:tr>
      <w:tr w14:paraId="3C27C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2" w:type="dxa"/>
            <w:vMerge w:val="restart"/>
            <w:tcBorders>
              <w:tl2br w:val="nil"/>
              <w:tr2bl w:val="nil"/>
            </w:tcBorders>
            <w:noWrap w:val="0"/>
            <w:vAlign w:val="center"/>
          </w:tcPr>
          <w:p w14:paraId="4B03E245">
            <w:pPr>
              <w:keepNext w:val="0"/>
              <w:keepLines w:val="0"/>
              <w:pageBreakBefore w:val="0"/>
              <w:widowControl w:val="0"/>
              <w:kinsoku/>
              <w:wordWrap/>
              <w:bidi w:val="0"/>
              <w:spacing w:after="0"/>
              <w:ind w:left="0" w:leftChars="0" w:right="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兰干山隧道</w:t>
            </w:r>
          </w:p>
        </w:tc>
        <w:tc>
          <w:tcPr>
            <w:tcW w:w="637" w:type="dxa"/>
            <w:tcBorders>
              <w:tl2br w:val="nil"/>
              <w:tr2bl w:val="nil"/>
            </w:tcBorders>
            <w:noWrap w:val="0"/>
            <w:vAlign w:val="center"/>
          </w:tcPr>
          <w:p w14:paraId="52101A80">
            <w:pPr>
              <w:keepNext w:val="0"/>
              <w:keepLines w:val="0"/>
              <w:pageBreakBefore w:val="0"/>
              <w:widowControl w:val="0"/>
              <w:kinsoku/>
              <w:wordWrap/>
              <w:bidi w:val="0"/>
              <w:spacing w:after="0"/>
              <w:ind w:left="0" w:leftChars="0" w:right="0" w:firstLine="0" w:firstLineChars="0"/>
              <w:jc w:val="both"/>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左线</w:t>
            </w:r>
          </w:p>
        </w:tc>
        <w:tc>
          <w:tcPr>
            <w:tcW w:w="1431" w:type="dxa"/>
            <w:tcBorders>
              <w:tl2br w:val="nil"/>
              <w:tr2bl w:val="nil"/>
            </w:tcBorders>
            <w:noWrap w:val="0"/>
            <w:vAlign w:val="center"/>
          </w:tcPr>
          <w:p w14:paraId="72A21C51">
            <w:pPr>
              <w:keepNext w:val="0"/>
              <w:keepLines w:val="0"/>
              <w:pageBreakBefore w:val="0"/>
              <w:widowControl w:val="0"/>
              <w:kinsoku/>
              <w:wordWrap/>
              <w:bidi w:val="0"/>
              <w:spacing w:after="0"/>
              <w:ind w:left="0" w:leftChars="0" w:right="0" w:firstLine="0" w:firstLineChars="0"/>
              <w:jc w:val="both"/>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ZK5+550~ZK6+712</w:t>
            </w:r>
          </w:p>
        </w:tc>
        <w:tc>
          <w:tcPr>
            <w:tcW w:w="810" w:type="dxa"/>
            <w:tcBorders>
              <w:tl2br w:val="nil"/>
              <w:tr2bl w:val="nil"/>
            </w:tcBorders>
            <w:noWrap w:val="0"/>
            <w:vAlign w:val="center"/>
          </w:tcPr>
          <w:p w14:paraId="634FCF86">
            <w:pPr>
              <w:keepNext w:val="0"/>
              <w:keepLines w:val="0"/>
              <w:pageBreakBefore w:val="0"/>
              <w:widowControl w:val="0"/>
              <w:kinsoku/>
              <w:wordWrap/>
              <w:bidi w:val="0"/>
              <w:spacing w:after="0"/>
              <w:ind w:left="0" w:leftChars="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1160</w:t>
            </w:r>
          </w:p>
        </w:tc>
        <w:tc>
          <w:tcPr>
            <w:tcW w:w="2080" w:type="dxa"/>
            <w:tcBorders>
              <w:tl2br w:val="nil"/>
              <w:tr2bl w:val="nil"/>
            </w:tcBorders>
            <w:noWrap w:val="0"/>
            <w:vAlign w:val="center"/>
          </w:tcPr>
          <w:p w14:paraId="0BF266A5">
            <w:pPr>
              <w:keepNext w:val="0"/>
              <w:keepLines w:val="0"/>
              <w:pageBreakBefore w:val="0"/>
              <w:widowControl w:val="0"/>
              <w:kinsoku/>
              <w:wordWrap/>
              <w:bidi w:val="0"/>
              <w:spacing w:after="0"/>
              <w:ind w:left="0" w:leftChars="0" w:right="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2.95/1160</w:t>
            </w:r>
          </w:p>
        </w:tc>
        <w:tc>
          <w:tcPr>
            <w:tcW w:w="2314" w:type="dxa"/>
            <w:tcBorders>
              <w:tl2br w:val="nil"/>
              <w:tr2bl w:val="nil"/>
            </w:tcBorders>
            <w:noWrap w:val="0"/>
            <w:vAlign w:val="center"/>
          </w:tcPr>
          <w:p w14:paraId="5DCBCA3D">
            <w:pPr>
              <w:keepNext w:val="0"/>
              <w:keepLines w:val="0"/>
              <w:pageBreakBefore w:val="0"/>
              <w:widowControl w:val="0"/>
              <w:kinsoku/>
              <w:wordWrap/>
              <w:bidi w:val="0"/>
              <w:spacing w:after="0"/>
              <w:ind w:left="0" w:leftChars="0" w:right="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R-950/Ls-120/R--∞/Ls</w:t>
            </w:r>
          </w:p>
          <w:p w14:paraId="2D03BF68">
            <w:pPr>
              <w:keepNext w:val="0"/>
              <w:keepLines w:val="0"/>
              <w:pageBreakBefore w:val="0"/>
              <w:widowControl w:val="0"/>
              <w:kinsoku/>
              <w:wordWrap/>
              <w:bidi w:val="0"/>
              <w:spacing w:after="0"/>
              <w:ind w:left="0" w:leftChars="0" w:right="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-120/R-1000</w:t>
            </w:r>
          </w:p>
        </w:tc>
      </w:tr>
      <w:tr w14:paraId="7673D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2" w:type="dxa"/>
            <w:vMerge w:val="continue"/>
            <w:tcBorders>
              <w:tl2br w:val="nil"/>
              <w:tr2bl w:val="nil"/>
            </w:tcBorders>
            <w:noWrap w:val="0"/>
            <w:vAlign w:val="center"/>
          </w:tcPr>
          <w:p w14:paraId="0BECE527">
            <w:pPr>
              <w:keepNext w:val="0"/>
              <w:keepLines w:val="0"/>
              <w:pageBreakBefore w:val="0"/>
              <w:widowControl w:val="0"/>
              <w:kinsoku/>
              <w:wordWrap/>
              <w:bidi w:val="0"/>
              <w:spacing w:after="0"/>
              <w:ind w:left="0" w:leftChars="0" w:right="0" w:firstLine="0" w:firstLineChars="0"/>
              <w:jc w:val="center"/>
              <w:rPr>
                <w:rFonts w:hint="default" w:ascii="Times New Roman" w:hAnsi="Times New Roman" w:eastAsia="宋体" w:cs="Times New Roman"/>
                <w:color w:val="auto"/>
                <w:kern w:val="2"/>
                <w:sz w:val="21"/>
                <w:szCs w:val="21"/>
                <w:lang w:val="en-US" w:eastAsia="zh-CN" w:bidi="ar-SA"/>
              </w:rPr>
            </w:pPr>
          </w:p>
        </w:tc>
        <w:tc>
          <w:tcPr>
            <w:tcW w:w="637" w:type="dxa"/>
            <w:tcBorders>
              <w:tl2br w:val="nil"/>
              <w:tr2bl w:val="nil"/>
            </w:tcBorders>
            <w:noWrap w:val="0"/>
            <w:vAlign w:val="center"/>
          </w:tcPr>
          <w:p w14:paraId="455247D3">
            <w:pPr>
              <w:keepNext w:val="0"/>
              <w:keepLines w:val="0"/>
              <w:pageBreakBefore w:val="0"/>
              <w:widowControl w:val="0"/>
              <w:kinsoku/>
              <w:wordWrap/>
              <w:bidi w:val="0"/>
              <w:spacing w:after="0"/>
              <w:ind w:left="0" w:leftChars="0" w:right="0" w:firstLine="0" w:firstLineChars="0"/>
              <w:jc w:val="both"/>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右线</w:t>
            </w:r>
          </w:p>
        </w:tc>
        <w:tc>
          <w:tcPr>
            <w:tcW w:w="1431" w:type="dxa"/>
            <w:tcBorders>
              <w:tl2br w:val="nil"/>
              <w:tr2bl w:val="nil"/>
            </w:tcBorders>
            <w:noWrap w:val="0"/>
            <w:vAlign w:val="center"/>
          </w:tcPr>
          <w:p w14:paraId="37C9748D">
            <w:pPr>
              <w:keepNext w:val="0"/>
              <w:keepLines w:val="0"/>
              <w:pageBreakBefore w:val="0"/>
              <w:widowControl w:val="0"/>
              <w:kinsoku/>
              <w:wordWrap/>
              <w:bidi w:val="0"/>
              <w:spacing w:after="0"/>
              <w:ind w:left="0" w:leftChars="0" w:right="0" w:firstLine="0" w:firstLineChars="0"/>
              <w:jc w:val="both"/>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YK5+546~YK6+695</w:t>
            </w:r>
          </w:p>
        </w:tc>
        <w:tc>
          <w:tcPr>
            <w:tcW w:w="810" w:type="dxa"/>
            <w:tcBorders>
              <w:tl2br w:val="nil"/>
              <w:tr2bl w:val="nil"/>
            </w:tcBorders>
            <w:noWrap w:val="0"/>
            <w:vAlign w:val="center"/>
          </w:tcPr>
          <w:p w14:paraId="489C0789">
            <w:pPr>
              <w:keepNext w:val="0"/>
              <w:keepLines w:val="0"/>
              <w:pageBreakBefore w:val="0"/>
              <w:widowControl w:val="0"/>
              <w:kinsoku/>
              <w:wordWrap/>
              <w:bidi w:val="0"/>
              <w:spacing w:after="0"/>
              <w:ind w:left="0" w:leftChars="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1149</w:t>
            </w:r>
          </w:p>
        </w:tc>
        <w:tc>
          <w:tcPr>
            <w:tcW w:w="2080" w:type="dxa"/>
            <w:tcBorders>
              <w:tl2br w:val="nil"/>
              <w:tr2bl w:val="nil"/>
            </w:tcBorders>
            <w:noWrap w:val="0"/>
            <w:vAlign w:val="center"/>
          </w:tcPr>
          <w:p w14:paraId="059637A2">
            <w:pPr>
              <w:keepNext w:val="0"/>
              <w:keepLines w:val="0"/>
              <w:pageBreakBefore w:val="0"/>
              <w:widowControl w:val="0"/>
              <w:kinsoku/>
              <w:wordWrap/>
              <w:bidi w:val="0"/>
              <w:spacing w:after="0"/>
              <w:ind w:left="0" w:leftChars="0" w:right="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2.5/1149</w:t>
            </w:r>
          </w:p>
        </w:tc>
        <w:tc>
          <w:tcPr>
            <w:tcW w:w="2314" w:type="dxa"/>
            <w:tcBorders>
              <w:tl2br w:val="nil"/>
              <w:tr2bl w:val="nil"/>
            </w:tcBorders>
            <w:noWrap w:val="0"/>
            <w:vAlign w:val="center"/>
          </w:tcPr>
          <w:p w14:paraId="582A8407">
            <w:pPr>
              <w:keepNext w:val="0"/>
              <w:keepLines w:val="0"/>
              <w:pageBreakBefore w:val="0"/>
              <w:widowControl w:val="0"/>
              <w:kinsoku/>
              <w:wordWrap/>
              <w:bidi w:val="0"/>
              <w:spacing w:after="0"/>
              <w:ind w:left="0" w:leftChars="0" w:right="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R-950/Ls-120/R--∞/Ls</w:t>
            </w:r>
          </w:p>
          <w:p w14:paraId="42D45488">
            <w:pPr>
              <w:keepNext w:val="0"/>
              <w:keepLines w:val="0"/>
              <w:pageBreakBefore w:val="0"/>
              <w:widowControl w:val="0"/>
              <w:kinsoku/>
              <w:wordWrap/>
              <w:bidi w:val="0"/>
              <w:spacing w:after="0"/>
              <w:ind w:left="0" w:leftChars="0" w:right="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-120/R-1000</w:t>
            </w:r>
          </w:p>
        </w:tc>
      </w:tr>
    </w:tbl>
    <w:p w14:paraId="6F50F389">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3.2.</w:t>
      </w:r>
      <w:r>
        <w:rPr>
          <w:rFonts w:hint="eastAsia" w:ascii="Times New Roman" w:hAnsi="Times New Roman" w:cs="Times New Roman"/>
          <w:color w:val="auto"/>
          <w:lang w:val="en-US" w:eastAsia="zh-CN"/>
        </w:rPr>
        <w:t>3</w:t>
      </w:r>
      <w:r>
        <w:rPr>
          <w:rFonts w:hint="default" w:ascii="Times New Roman" w:hAnsi="Times New Roman" w:cs="Times New Roman"/>
          <w:color w:val="auto"/>
          <w:lang w:val="en-US" w:eastAsia="zh-CN"/>
        </w:rPr>
        <w:t>.5沿线设施</w:t>
      </w:r>
    </w:p>
    <w:p w14:paraId="633DFF8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本项目沿线共设置收费站1处、隧道管理所1处（与收费站合建）</w:t>
      </w:r>
      <w:r>
        <w:rPr>
          <w:rFonts w:hint="default" w:ascii="Times New Roman" w:hAnsi="Times New Roman" w:cs="Times New Roman"/>
          <w:color w:val="auto"/>
          <w:kern w:val="0"/>
          <w:sz w:val="24"/>
          <w:szCs w:val="24"/>
          <w:lang w:val="en-US" w:eastAsia="zh-CN" w:bidi="ar"/>
        </w:rPr>
        <w:t>和隧道配电室1座</w:t>
      </w:r>
      <w:r>
        <w:rPr>
          <w:rFonts w:hint="default" w:ascii="Times New Roman" w:hAnsi="Times New Roman" w:eastAsia="宋体" w:cs="Times New Roman"/>
          <w:color w:val="auto"/>
          <w:kern w:val="0"/>
          <w:sz w:val="24"/>
          <w:szCs w:val="24"/>
          <w:lang w:val="en-US" w:eastAsia="zh-CN" w:bidi="ar"/>
        </w:rPr>
        <w:t>具体设置见下表：</w:t>
      </w:r>
    </w:p>
    <w:p w14:paraId="0E8EA67D">
      <w:pPr>
        <w:keepNext w:val="0"/>
        <w:keepLines w:val="0"/>
        <w:widowControl/>
        <w:suppressLineNumbers w:val="0"/>
        <w:spacing w:line="240" w:lineRule="auto"/>
        <w:jc w:val="center"/>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
        </w:rPr>
        <w:t>表</w:t>
      </w:r>
      <w:r>
        <w:rPr>
          <w:rFonts w:hint="default" w:ascii="Times New Roman" w:hAnsi="Times New Roman" w:cs="Times New Roman"/>
          <w:b/>
          <w:bCs/>
          <w:color w:val="auto"/>
          <w:kern w:val="0"/>
          <w:sz w:val="21"/>
          <w:szCs w:val="21"/>
          <w:lang w:val="en-US" w:eastAsia="zh-CN" w:bidi="ar"/>
        </w:rPr>
        <w:t>3.2</w:t>
      </w:r>
      <w:r>
        <w:rPr>
          <w:rFonts w:hint="default" w:ascii="Times New Roman" w:hAnsi="Times New Roman" w:eastAsia="宋体" w:cs="Times New Roman"/>
          <w:b/>
          <w:bCs/>
          <w:color w:val="auto"/>
          <w:kern w:val="0"/>
          <w:sz w:val="21"/>
          <w:szCs w:val="21"/>
          <w:lang w:val="en-US" w:eastAsia="zh-CN" w:bidi="ar"/>
        </w:rPr>
        <w:t>-</w:t>
      </w:r>
      <w:r>
        <w:rPr>
          <w:rFonts w:hint="eastAsia" w:cs="Times New Roman"/>
          <w:b/>
          <w:bCs/>
          <w:color w:val="auto"/>
          <w:kern w:val="0"/>
          <w:sz w:val="21"/>
          <w:szCs w:val="21"/>
          <w:lang w:val="en-US" w:eastAsia="zh-CN" w:bidi="ar"/>
        </w:rPr>
        <w:t>8</w:t>
      </w:r>
      <w:r>
        <w:rPr>
          <w:rFonts w:hint="default" w:ascii="Times New Roman" w:hAnsi="Times New Roman" w:cs="Times New Roman"/>
          <w:b/>
          <w:bCs/>
          <w:color w:val="auto"/>
          <w:kern w:val="0"/>
          <w:sz w:val="21"/>
          <w:szCs w:val="21"/>
          <w:lang w:val="en-US" w:eastAsia="zh-CN" w:bidi="ar"/>
        </w:rPr>
        <w:t xml:space="preserve">  </w:t>
      </w:r>
      <w:r>
        <w:rPr>
          <w:rFonts w:hint="default" w:ascii="Times New Roman" w:hAnsi="Times New Roman" w:eastAsia="宋体" w:cs="Times New Roman"/>
          <w:b/>
          <w:bCs/>
          <w:color w:val="auto"/>
          <w:kern w:val="0"/>
          <w:sz w:val="21"/>
          <w:szCs w:val="21"/>
          <w:lang w:val="en-US" w:eastAsia="zh-CN" w:bidi="ar"/>
        </w:rPr>
        <w:t xml:space="preserve"> 沿线设施设置一览表</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8"/>
        <w:gridCol w:w="2736"/>
        <w:gridCol w:w="1116"/>
        <w:gridCol w:w="1512"/>
        <w:gridCol w:w="1380"/>
        <w:gridCol w:w="991"/>
      </w:tblGrid>
      <w:tr w14:paraId="08382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8" w:type="dxa"/>
            <w:vAlign w:val="center"/>
          </w:tcPr>
          <w:p w14:paraId="438012A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序号</w:t>
            </w:r>
          </w:p>
        </w:tc>
        <w:tc>
          <w:tcPr>
            <w:tcW w:w="2736" w:type="dxa"/>
            <w:vAlign w:val="center"/>
          </w:tcPr>
          <w:p w14:paraId="2A070F7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站点</w:t>
            </w:r>
          </w:p>
        </w:tc>
        <w:tc>
          <w:tcPr>
            <w:tcW w:w="1116" w:type="dxa"/>
            <w:vAlign w:val="center"/>
          </w:tcPr>
          <w:p w14:paraId="0B2ED47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位置</w:t>
            </w:r>
          </w:p>
        </w:tc>
        <w:tc>
          <w:tcPr>
            <w:tcW w:w="1512" w:type="dxa"/>
            <w:vAlign w:val="center"/>
          </w:tcPr>
          <w:p w14:paraId="071B106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建设用地面积</w:t>
            </w:r>
          </w:p>
        </w:tc>
        <w:tc>
          <w:tcPr>
            <w:tcW w:w="1380" w:type="dxa"/>
            <w:vAlign w:val="center"/>
          </w:tcPr>
          <w:p w14:paraId="34DBEF5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总建筑面积</w:t>
            </w:r>
          </w:p>
        </w:tc>
        <w:tc>
          <w:tcPr>
            <w:tcW w:w="991" w:type="dxa"/>
            <w:vAlign w:val="center"/>
          </w:tcPr>
          <w:p w14:paraId="1CAA2E8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备注</w:t>
            </w:r>
          </w:p>
        </w:tc>
      </w:tr>
      <w:tr w14:paraId="6639B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8" w:type="dxa"/>
            <w:vAlign w:val="center"/>
          </w:tcPr>
          <w:p w14:paraId="1C365DB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1</w:t>
            </w:r>
          </w:p>
        </w:tc>
        <w:tc>
          <w:tcPr>
            <w:tcW w:w="2736" w:type="dxa"/>
            <w:vAlign w:val="center"/>
          </w:tcPr>
          <w:p w14:paraId="1956439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收费站（与隧道管理站合建）</w:t>
            </w:r>
          </w:p>
        </w:tc>
        <w:tc>
          <w:tcPr>
            <w:tcW w:w="1116" w:type="dxa"/>
            <w:vAlign w:val="center"/>
          </w:tcPr>
          <w:p w14:paraId="37576A2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K3+500</w:t>
            </w:r>
          </w:p>
        </w:tc>
        <w:tc>
          <w:tcPr>
            <w:tcW w:w="1512" w:type="dxa"/>
            <w:vAlign w:val="center"/>
          </w:tcPr>
          <w:p w14:paraId="6F94A15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1</w:t>
            </w:r>
            <w:r>
              <w:rPr>
                <w:rFonts w:hint="default" w:ascii="Times New Roman" w:hAnsi="Times New Roman" w:cs="Times New Roman"/>
                <w:color w:val="auto"/>
                <w:kern w:val="0"/>
                <w:sz w:val="21"/>
                <w:szCs w:val="21"/>
                <w:lang w:val="en-US" w:eastAsia="zh-CN" w:bidi="ar"/>
              </w:rPr>
              <w:t>400</w:t>
            </w:r>
            <w:r>
              <w:rPr>
                <w:rFonts w:hint="default" w:ascii="Times New Roman" w:hAnsi="Times New Roman" w:eastAsia="宋体" w:cs="Times New Roman"/>
                <w:color w:val="auto"/>
                <w:kern w:val="0"/>
                <w:sz w:val="21"/>
                <w:szCs w:val="21"/>
                <w:lang w:val="en-US" w:eastAsia="zh-CN" w:bidi="ar"/>
              </w:rPr>
              <w:t>0m</w:t>
            </w:r>
            <w:r>
              <w:rPr>
                <w:rFonts w:hint="default" w:ascii="Times New Roman" w:hAnsi="Times New Roman" w:eastAsia="宋体" w:cs="Times New Roman"/>
                <w:color w:val="auto"/>
                <w:kern w:val="0"/>
                <w:sz w:val="21"/>
                <w:szCs w:val="21"/>
                <w:vertAlign w:val="superscript"/>
                <w:lang w:val="en-US" w:eastAsia="zh-CN" w:bidi="ar"/>
              </w:rPr>
              <w:t>2</w:t>
            </w:r>
          </w:p>
        </w:tc>
        <w:tc>
          <w:tcPr>
            <w:tcW w:w="1380" w:type="dxa"/>
            <w:vAlign w:val="center"/>
          </w:tcPr>
          <w:p w14:paraId="02AD9A9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2919.12m</w:t>
            </w:r>
            <w:r>
              <w:rPr>
                <w:rFonts w:hint="default" w:ascii="Times New Roman" w:hAnsi="Times New Roman" w:eastAsia="宋体" w:cs="Times New Roman"/>
                <w:color w:val="auto"/>
                <w:kern w:val="0"/>
                <w:sz w:val="21"/>
                <w:szCs w:val="21"/>
                <w:vertAlign w:val="superscript"/>
                <w:lang w:val="en-US" w:eastAsia="zh-CN" w:bidi="ar"/>
              </w:rPr>
              <w:t>2</w:t>
            </w:r>
          </w:p>
        </w:tc>
        <w:tc>
          <w:tcPr>
            <w:tcW w:w="991" w:type="dxa"/>
            <w:vAlign w:val="center"/>
          </w:tcPr>
          <w:p w14:paraId="1C438EB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新建</w:t>
            </w:r>
          </w:p>
        </w:tc>
      </w:tr>
      <w:tr w14:paraId="0B3B9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8" w:type="dxa"/>
            <w:vAlign w:val="center"/>
          </w:tcPr>
          <w:p w14:paraId="3E43D2B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2</w:t>
            </w:r>
          </w:p>
        </w:tc>
        <w:tc>
          <w:tcPr>
            <w:tcW w:w="2736" w:type="dxa"/>
            <w:vAlign w:val="center"/>
          </w:tcPr>
          <w:p w14:paraId="44ED47A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隧道</w:t>
            </w:r>
            <w:r>
              <w:rPr>
                <w:rFonts w:hint="default" w:ascii="Times New Roman" w:hAnsi="Times New Roman" w:cs="Times New Roman"/>
                <w:color w:val="auto"/>
                <w:kern w:val="0"/>
                <w:sz w:val="21"/>
                <w:szCs w:val="21"/>
                <w:lang w:val="en-US" w:eastAsia="zh-CN" w:bidi="ar"/>
              </w:rPr>
              <w:t>配电室</w:t>
            </w:r>
          </w:p>
        </w:tc>
        <w:tc>
          <w:tcPr>
            <w:tcW w:w="1116" w:type="dxa"/>
            <w:vAlign w:val="center"/>
          </w:tcPr>
          <w:p w14:paraId="4A4B1FD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K</w:t>
            </w:r>
            <w:r>
              <w:rPr>
                <w:rFonts w:hint="default" w:ascii="Times New Roman" w:hAnsi="Times New Roman" w:cs="Times New Roman"/>
                <w:color w:val="auto"/>
                <w:kern w:val="0"/>
                <w:sz w:val="21"/>
                <w:szCs w:val="21"/>
                <w:lang w:val="en-US" w:eastAsia="zh-CN" w:bidi="ar"/>
              </w:rPr>
              <w:t>5</w:t>
            </w:r>
            <w:r>
              <w:rPr>
                <w:rFonts w:hint="default" w:ascii="Times New Roman" w:hAnsi="Times New Roman" w:eastAsia="宋体" w:cs="Times New Roman"/>
                <w:color w:val="auto"/>
                <w:kern w:val="0"/>
                <w:sz w:val="21"/>
                <w:szCs w:val="21"/>
                <w:lang w:val="en-US" w:eastAsia="zh-CN" w:bidi="ar"/>
              </w:rPr>
              <w:t>+</w:t>
            </w:r>
            <w:r>
              <w:rPr>
                <w:rFonts w:hint="default" w:ascii="Times New Roman" w:hAnsi="Times New Roman" w:cs="Times New Roman"/>
                <w:color w:val="auto"/>
                <w:kern w:val="0"/>
                <w:sz w:val="21"/>
                <w:szCs w:val="21"/>
                <w:lang w:val="en-US" w:eastAsia="zh-CN" w:bidi="ar"/>
              </w:rPr>
              <w:t>5</w:t>
            </w:r>
            <w:r>
              <w:rPr>
                <w:rFonts w:hint="default" w:ascii="Times New Roman" w:hAnsi="Times New Roman" w:eastAsia="宋体" w:cs="Times New Roman"/>
                <w:color w:val="auto"/>
                <w:kern w:val="0"/>
                <w:sz w:val="21"/>
                <w:szCs w:val="21"/>
                <w:lang w:val="en-US" w:eastAsia="zh-CN" w:bidi="ar"/>
              </w:rPr>
              <w:t>00</w:t>
            </w:r>
          </w:p>
        </w:tc>
        <w:tc>
          <w:tcPr>
            <w:tcW w:w="1512" w:type="dxa"/>
            <w:vAlign w:val="center"/>
          </w:tcPr>
          <w:p w14:paraId="0E80B4A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kern w:val="0"/>
                <w:sz w:val="21"/>
                <w:szCs w:val="21"/>
                <w:lang w:val="en-US" w:eastAsia="zh-CN" w:bidi="ar"/>
              </w:rPr>
              <w:t>1853.2</w:t>
            </w:r>
            <w:r>
              <w:rPr>
                <w:rFonts w:hint="default" w:ascii="Times New Roman" w:hAnsi="Times New Roman" w:eastAsia="宋体" w:cs="Times New Roman"/>
                <w:color w:val="auto"/>
                <w:kern w:val="0"/>
                <w:sz w:val="21"/>
                <w:szCs w:val="21"/>
                <w:lang w:val="en-US" w:eastAsia="zh-CN" w:bidi="ar"/>
              </w:rPr>
              <w:t>m</w:t>
            </w:r>
            <w:r>
              <w:rPr>
                <w:rFonts w:hint="default" w:ascii="Times New Roman" w:hAnsi="Times New Roman" w:eastAsia="宋体" w:cs="Times New Roman"/>
                <w:color w:val="auto"/>
                <w:kern w:val="0"/>
                <w:sz w:val="21"/>
                <w:szCs w:val="21"/>
                <w:vertAlign w:val="superscript"/>
                <w:lang w:val="en-US" w:eastAsia="zh-CN" w:bidi="ar"/>
              </w:rPr>
              <w:t>2</w:t>
            </w:r>
          </w:p>
        </w:tc>
        <w:tc>
          <w:tcPr>
            <w:tcW w:w="1380" w:type="dxa"/>
            <w:vAlign w:val="center"/>
          </w:tcPr>
          <w:p w14:paraId="3EB29C5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kern w:val="0"/>
                <w:sz w:val="21"/>
                <w:szCs w:val="21"/>
                <w:lang w:val="en-US" w:eastAsia="zh-CN" w:bidi="ar"/>
              </w:rPr>
              <w:t>376.64</w:t>
            </w:r>
            <w:r>
              <w:rPr>
                <w:rFonts w:hint="default" w:ascii="Times New Roman" w:hAnsi="Times New Roman" w:eastAsia="宋体" w:cs="Times New Roman"/>
                <w:color w:val="auto"/>
                <w:kern w:val="0"/>
                <w:sz w:val="21"/>
                <w:szCs w:val="21"/>
                <w:lang w:val="en-US" w:eastAsia="zh-CN" w:bidi="ar"/>
              </w:rPr>
              <w:t>m</w:t>
            </w:r>
            <w:r>
              <w:rPr>
                <w:rFonts w:hint="default" w:ascii="Times New Roman" w:hAnsi="Times New Roman" w:eastAsia="宋体" w:cs="Times New Roman"/>
                <w:color w:val="auto"/>
                <w:kern w:val="0"/>
                <w:sz w:val="21"/>
                <w:szCs w:val="21"/>
                <w:vertAlign w:val="superscript"/>
                <w:lang w:val="en-US" w:eastAsia="zh-CN" w:bidi="ar"/>
              </w:rPr>
              <w:t>2</w:t>
            </w:r>
          </w:p>
        </w:tc>
        <w:tc>
          <w:tcPr>
            <w:tcW w:w="991" w:type="dxa"/>
            <w:vAlign w:val="center"/>
          </w:tcPr>
          <w:p w14:paraId="59BF179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新建</w:t>
            </w:r>
          </w:p>
        </w:tc>
      </w:tr>
    </w:tbl>
    <w:p w14:paraId="4DAFD72B">
      <w:pPr>
        <w:pStyle w:val="4"/>
        <w:keepNext/>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3.2.</w:t>
      </w:r>
      <w:r>
        <w:rPr>
          <w:rFonts w:hint="eastAsia" w:cs="Times New Roman"/>
          <w:color w:val="auto"/>
          <w:lang w:val="en-US" w:eastAsia="zh-CN"/>
        </w:rPr>
        <w:t>4</w:t>
      </w:r>
      <w:r>
        <w:rPr>
          <w:rFonts w:hint="default" w:ascii="Times New Roman" w:hAnsi="Times New Roman" w:cs="Times New Roman"/>
          <w:color w:val="auto"/>
          <w:lang w:val="en-US" w:eastAsia="zh-CN"/>
        </w:rPr>
        <w:t xml:space="preserve"> </w:t>
      </w:r>
      <w:r>
        <w:rPr>
          <w:rFonts w:hint="eastAsia" w:cs="Times New Roman"/>
          <w:color w:val="auto"/>
          <w:lang w:val="en-US" w:eastAsia="zh-CN"/>
        </w:rPr>
        <w:t>交通量</w:t>
      </w:r>
      <w:r>
        <w:rPr>
          <w:rFonts w:hint="default" w:ascii="Times New Roman" w:hAnsi="Times New Roman" w:cs="Times New Roman"/>
          <w:color w:val="auto"/>
          <w:lang w:val="en-US" w:eastAsia="zh-CN"/>
        </w:rPr>
        <w:t>预测</w:t>
      </w:r>
    </w:p>
    <w:p w14:paraId="7C1625D4">
      <w:pPr>
        <w:keepNext w:val="0"/>
        <w:keepLines w:val="0"/>
        <w:pageBreakBefore w:val="0"/>
        <w:widowControl w:val="0"/>
        <w:suppressLineNumbers w:val="0"/>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项目预计于2028年4月通车，预测特征年为2028年（第一年）、20</w:t>
      </w:r>
      <w:r>
        <w:rPr>
          <w:rFonts w:hint="default" w:ascii="Times New Roman" w:hAnsi="Times New Roman" w:cs="Times New Roman"/>
          <w:color w:val="auto"/>
          <w:kern w:val="0"/>
          <w:sz w:val="24"/>
          <w:szCs w:val="24"/>
          <w:lang w:val="en-US" w:eastAsia="zh-CN" w:bidi="ar"/>
        </w:rPr>
        <w:t>3</w:t>
      </w:r>
      <w:r>
        <w:rPr>
          <w:rFonts w:hint="eastAsia" w:cs="Times New Roman"/>
          <w:color w:val="auto"/>
          <w:kern w:val="0"/>
          <w:sz w:val="24"/>
          <w:szCs w:val="24"/>
          <w:lang w:val="en-US" w:eastAsia="zh-CN" w:bidi="ar"/>
        </w:rPr>
        <w:t>4</w:t>
      </w:r>
      <w:r>
        <w:rPr>
          <w:rFonts w:hint="default" w:ascii="Times New Roman" w:hAnsi="Times New Roman" w:eastAsia="宋体" w:cs="Times New Roman"/>
          <w:color w:val="auto"/>
          <w:kern w:val="0"/>
          <w:sz w:val="24"/>
          <w:szCs w:val="24"/>
          <w:lang w:val="en-US" w:eastAsia="zh-CN" w:bidi="ar"/>
        </w:rPr>
        <w:t>年（</w:t>
      </w:r>
      <w:r>
        <w:rPr>
          <w:rFonts w:hint="default" w:ascii="Times New Roman" w:hAnsi="Times New Roman" w:eastAsia="宋体" w:cs="Times New Roman"/>
          <w:color w:val="auto"/>
          <w:kern w:val="0"/>
          <w:sz w:val="24"/>
          <w:szCs w:val="24"/>
          <w:highlight w:val="none"/>
          <w:lang w:val="en-US" w:eastAsia="zh-CN" w:bidi="ar"/>
        </w:rPr>
        <w:t>第七年</w:t>
      </w:r>
      <w:r>
        <w:rPr>
          <w:rFonts w:hint="default" w:ascii="Times New Roman" w:hAnsi="Times New Roman" w:eastAsia="宋体" w:cs="Times New Roman"/>
          <w:color w:val="auto"/>
          <w:kern w:val="0"/>
          <w:sz w:val="24"/>
          <w:szCs w:val="24"/>
          <w:lang w:val="en-US" w:eastAsia="zh-CN" w:bidi="ar"/>
        </w:rPr>
        <w:t>）、20</w:t>
      </w:r>
      <w:r>
        <w:rPr>
          <w:rFonts w:hint="default" w:ascii="Times New Roman" w:hAnsi="Times New Roman" w:cs="Times New Roman"/>
          <w:color w:val="auto"/>
          <w:kern w:val="0"/>
          <w:sz w:val="24"/>
          <w:szCs w:val="24"/>
          <w:lang w:val="en-US" w:eastAsia="zh-CN" w:bidi="ar"/>
        </w:rPr>
        <w:t>4</w:t>
      </w:r>
      <w:r>
        <w:rPr>
          <w:rFonts w:hint="eastAsia"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年（第十五年）。根据可行性研究报告中的数据，拟建项目各特征年总交通量预测，见表</w:t>
      </w:r>
      <w:r>
        <w:rPr>
          <w:rFonts w:hint="eastAsia" w:ascii="Times New Roman" w:hAnsi="Times New Roman" w:cs="Times New Roman"/>
          <w:color w:val="auto"/>
          <w:kern w:val="0"/>
          <w:sz w:val="24"/>
          <w:szCs w:val="24"/>
          <w:lang w:val="en-US" w:eastAsia="zh-CN" w:bidi="ar"/>
        </w:rPr>
        <w:t>3.2-</w:t>
      </w:r>
      <w:r>
        <w:rPr>
          <w:rFonts w:hint="eastAsia" w:cs="Times New Roman"/>
          <w:color w:val="auto"/>
          <w:kern w:val="0"/>
          <w:sz w:val="24"/>
          <w:szCs w:val="24"/>
          <w:lang w:val="en-US" w:eastAsia="zh-CN" w:bidi="ar"/>
        </w:rPr>
        <w:t>9</w:t>
      </w:r>
      <w:r>
        <w:rPr>
          <w:rFonts w:hint="default" w:ascii="Times New Roman" w:hAnsi="Times New Roman" w:eastAsia="宋体" w:cs="Times New Roman"/>
          <w:color w:val="auto"/>
          <w:kern w:val="0"/>
          <w:sz w:val="24"/>
          <w:szCs w:val="24"/>
          <w:lang w:val="en-US" w:eastAsia="zh-CN" w:bidi="ar"/>
        </w:rPr>
        <w:t>，未来车型构成比例预测，见表</w:t>
      </w:r>
      <w:r>
        <w:rPr>
          <w:rFonts w:hint="eastAsia" w:ascii="Times New Roman" w:hAnsi="Times New Roman" w:cs="Times New Roman"/>
          <w:color w:val="auto"/>
          <w:kern w:val="0"/>
          <w:sz w:val="24"/>
          <w:szCs w:val="24"/>
          <w:lang w:val="en-US" w:eastAsia="zh-CN" w:bidi="ar"/>
        </w:rPr>
        <w:t>3.2-1</w:t>
      </w:r>
      <w:r>
        <w:rPr>
          <w:rFonts w:hint="eastAsia" w:cs="Times New Roman"/>
          <w:color w:val="auto"/>
          <w:kern w:val="0"/>
          <w:sz w:val="24"/>
          <w:szCs w:val="24"/>
          <w:lang w:val="en-US" w:eastAsia="zh-CN" w:bidi="ar"/>
        </w:rPr>
        <w:t>0</w:t>
      </w:r>
      <w:r>
        <w:rPr>
          <w:rFonts w:hint="default" w:ascii="Times New Roman" w:hAnsi="Times New Roman" w:eastAsia="宋体" w:cs="Times New Roman"/>
          <w:color w:val="auto"/>
          <w:kern w:val="0"/>
          <w:sz w:val="24"/>
          <w:szCs w:val="24"/>
          <w:lang w:val="en-US" w:eastAsia="zh-CN" w:bidi="ar"/>
        </w:rPr>
        <w:t>，车型分类表见表</w:t>
      </w:r>
      <w:r>
        <w:rPr>
          <w:rFonts w:hint="eastAsia" w:ascii="Times New Roman" w:hAnsi="Times New Roman" w:cs="Times New Roman"/>
          <w:color w:val="auto"/>
          <w:kern w:val="0"/>
          <w:sz w:val="24"/>
          <w:szCs w:val="24"/>
          <w:lang w:val="en-US" w:eastAsia="zh-CN" w:bidi="ar"/>
        </w:rPr>
        <w:t>3.2-1</w:t>
      </w:r>
      <w:r>
        <w:rPr>
          <w:rFonts w:hint="eastAsia" w:cs="Times New Roman"/>
          <w:color w:val="auto"/>
          <w:kern w:val="0"/>
          <w:sz w:val="24"/>
          <w:szCs w:val="24"/>
          <w:lang w:val="en-US" w:eastAsia="zh-CN" w:bidi="ar"/>
        </w:rPr>
        <w:t>1</w:t>
      </w:r>
      <w:r>
        <w:rPr>
          <w:rFonts w:hint="default" w:ascii="Times New Roman" w:hAnsi="Times New Roman" w:eastAsia="宋体" w:cs="Times New Roman"/>
          <w:color w:val="auto"/>
          <w:kern w:val="0"/>
          <w:sz w:val="24"/>
          <w:szCs w:val="24"/>
          <w:lang w:val="en-US" w:eastAsia="zh-CN" w:bidi="ar"/>
        </w:rPr>
        <w:t>，线路评价年小时车流量预测值详见表</w:t>
      </w:r>
      <w:r>
        <w:rPr>
          <w:rFonts w:hint="eastAsia" w:ascii="Times New Roman" w:hAnsi="Times New Roman" w:cs="Times New Roman"/>
          <w:color w:val="auto"/>
          <w:kern w:val="0"/>
          <w:sz w:val="24"/>
          <w:szCs w:val="24"/>
          <w:lang w:val="en-US" w:eastAsia="zh-CN" w:bidi="ar"/>
        </w:rPr>
        <w:t>3.2-1</w:t>
      </w:r>
      <w:r>
        <w:rPr>
          <w:rFonts w:hint="eastAsia"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w:t>
      </w:r>
    </w:p>
    <w:p w14:paraId="4539947B">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cs="Times New Roman"/>
          <w:color w:val="auto"/>
          <w:sz w:val="21"/>
        </w:rPr>
      </w:pPr>
      <w:r>
        <w:rPr>
          <w:rFonts w:hint="default" w:ascii="Times New Roman" w:hAnsi="Times New Roman" w:eastAsia="宋体" w:cs="Times New Roman"/>
          <w:b/>
          <w:bCs/>
          <w:color w:val="auto"/>
          <w:kern w:val="0"/>
          <w:sz w:val="21"/>
          <w:szCs w:val="21"/>
          <w:lang w:val="en-US" w:eastAsia="zh-CN" w:bidi="ar"/>
        </w:rPr>
        <w:t>表</w:t>
      </w:r>
      <w:r>
        <w:rPr>
          <w:rFonts w:hint="eastAsia" w:ascii="Times New Roman" w:hAnsi="Times New Roman" w:cs="Times New Roman"/>
          <w:b/>
          <w:bCs/>
          <w:color w:val="auto"/>
          <w:kern w:val="0"/>
          <w:sz w:val="21"/>
          <w:szCs w:val="21"/>
          <w:lang w:val="en-US" w:eastAsia="zh-CN" w:bidi="ar"/>
        </w:rPr>
        <w:t>3.2-</w:t>
      </w:r>
      <w:r>
        <w:rPr>
          <w:rFonts w:hint="eastAsia" w:cs="Times New Roman"/>
          <w:b/>
          <w:bCs/>
          <w:color w:val="auto"/>
          <w:kern w:val="0"/>
          <w:sz w:val="21"/>
          <w:szCs w:val="21"/>
          <w:lang w:val="en-US" w:eastAsia="zh-CN" w:bidi="ar"/>
        </w:rPr>
        <w:t>9</w:t>
      </w:r>
      <w:r>
        <w:rPr>
          <w:rFonts w:hint="default" w:ascii="Times New Roman" w:hAnsi="Times New Roman" w:eastAsia="宋体" w:cs="Times New Roman"/>
          <w:b/>
          <w:bCs/>
          <w:color w:val="auto"/>
          <w:kern w:val="0"/>
          <w:sz w:val="21"/>
          <w:szCs w:val="21"/>
          <w:lang w:val="en-US" w:eastAsia="zh-CN" w:bidi="ar"/>
        </w:rPr>
        <w:t xml:space="preserve">    本项目未来年交通量预测结果     （单位：pcu/d）</w:t>
      </w:r>
    </w:p>
    <w:tbl>
      <w:tblPr>
        <w:tblStyle w:val="31"/>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35"/>
        <w:gridCol w:w="1894"/>
        <w:gridCol w:w="1895"/>
        <w:gridCol w:w="1896"/>
      </w:tblGrid>
      <w:tr w14:paraId="66A2B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12" w:type="dxa"/>
            <w:tcBorders>
              <w:tl2br w:val="nil"/>
              <w:tr2bl w:val="nil"/>
            </w:tcBorders>
            <w:noWrap w:val="0"/>
            <w:vAlign w:val="center"/>
          </w:tcPr>
          <w:p w14:paraId="2321A7A6">
            <w:pPr>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年份</w:t>
            </w:r>
          </w:p>
        </w:tc>
        <w:tc>
          <w:tcPr>
            <w:tcW w:w="1879" w:type="dxa"/>
            <w:tcBorders>
              <w:tl2br w:val="nil"/>
              <w:tr2bl w:val="nil"/>
            </w:tcBorders>
            <w:noWrap w:val="0"/>
            <w:vAlign w:val="center"/>
          </w:tcPr>
          <w:p w14:paraId="51207588">
            <w:pPr>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20</w:t>
            </w:r>
            <w:r>
              <w:rPr>
                <w:rFonts w:hint="default" w:ascii="Times New Roman" w:hAnsi="Times New Roman" w:cs="Times New Roman"/>
                <w:color w:val="auto"/>
                <w:kern w:val="0"/>
                <w:sz w:val="21"/>
                <w:szCs w:val="21"/>
                <w:lang w:val="en-US" w:eastAsia="zh-CN" w:bidi="ar"/>
              </w:rPr>
              <w:t>28</w:t>
            </w:r>
            <w:r>
              <w:rPr>
                <w:rFonts w:hint="default" w:ascii="Times New Roman" w:hAnsi="Times New Roman" w:eastAsia="宋体" w:cs="Times New Roman"/>
                <w:color w:val="auto"/>
                <w:kern w:val="0"/>
                <w:sz w:val="21"/>
                <w:szCs w:val="21"/>
                <w:lang w:val="en-US" w:eastAsia="zh-CN" w:bidi="ar"/>
              </w:rPr>
              <w:t>年</w:t>
            </w:r>
            <w:r>
              <w:rPr>
                <w:rFonts w:hint="default" w:ascii="Times New Roman" w:hAnsi="Times New Roman" w:cs="Times New Roman"/>
                <w:color w:val="auto"/>
                <w:kern w:val="0"/>
                <w:sz w:val="21"/>
                <w:szCs w:val="21"/>
                <w:lang w:val="en-US" w:eastAsia="zh-CN" w:bidi="ar"/>
              </w:rPr>
              <w:t>（近期）</w:t>
            </w:r>
          </w:p>
        </w:tc>
        <w:tc>
          <w:tcPr>
            <w:tcW w:w="1880" w:type="dxa"/>
            <w:tcBorders>
              <w:tl2br w:val="nil"/>
              <w:tr2bl w:val="nil"/>
            </w:tcBorders>
            <w:noWrap w:val="0"/>
            <w:vAlign w:val="center"/>
          </w:tcPr>
          <w:p w14:paraId="5E516977">
            <w:pPr>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203</w:t>
            </w:r>
            <w:r>
              <w:rPr>
                <w:rFonts w:hint="eastAsia" w:cs="Times New Roman"/>
                <w:color w:val="auto"/>
                <w:kern w:val="0"/>
                <w:sz w:val="21"/>
                <w:szCs w:val="21"/>
                <w:lang w:val="en-US" w:eastAsia="zh-CN" w:bidi="ar"/>
              </w:rPr>
              <w:t>4</w:t>
            </w:r>
            <w:r>
              <w:rPr>
                <w:rFonts w:hint="default" w:ascii="Times New Roman" w:hAnsi="Times New Roman" w:eastAsia="宋体" w:cs="Times New Roman"/>
                <w:color w:val="auto"/>
                <w:kern w:val="0"/>
                <w:sz w:val="21"/>
                <w:szCs w:val="21"/>
                <w:lang w:val="en-US" w:eastAsia="zh-CN" w:bidi="ar"/>
              </w:rPr>
              <w:t>年</w:t>
            </w:r>
            <w:r>
              <w:rPr>
                <w:rFonts w:hint="default" w:ascii="Times New Roman" w:hAnsi="Times New Roman" w:cs="Times New Roman"/>
                <w:color w:val="auto"/>
                <w:kern w:val="0"/>
                <w:sz w:val="21"/>
                <w:szCs w:val="21"/>
                <w:lang w:val="en-US" w:eastAsia="zh-CN" w:bidi="ar"/>
              </w:rPr>
              <w:t>（中期）</w:t>
            </w:r>
          </w:p>
        </w:tc>
        <w:tc>
          <w:tcPr>
            <w:tcW w:w="1881" w:type="dxa"/>
            <w:tcBorders>
              <w:tl2br w:val="nil"/>
              <w:tr2bl w:val="nil"/>
            </w:tcBorders>
            <w:noWrap w:val="0"/>
            <w:vAlign w:val="center"/>
          </w:tcPr>
          <w:p w14:paraId="4A9B44FE">
            <w:pPr>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204</w:t>
            </w:r>
            <w:r>
              <w:rPr>
                <w:rFonts w:hint="eastAsia" w:cs="Times New Roman"/>
                <w:color w:val="auto"/>
                <w:kern w:val="0"/>
                <w:sz w:val="21"/>
                <w:szCs w:val="21"/>
                <w:lang w:val="en-US" w:eastAsia="zh-CN" w:bidi="ar"/>
              </w:rPr>
              <w:t>2</w:t>
            </w:r>
            <w:r>
              <w:rPr>
                <w:rFonts w:hint="default" w:ascii="Times New Roman" w:hAnsi="Times New Roman" w:eastAsia="宋体" w:cs="Times New Roman"/>
                <w:color w:val="auto"/>
                <w:kern w:val="0"/>
                <w:sz w:val="21"/>
                <w:szCs w:val="21"/>
                <w:lang w:val="en-US" w:eastAsia="zh-CN" w:bidi="ar"/>
              </w:rPr>
              <w:t>年</w:t>
            </w:r>
            <w:r>
              <w:rPr>
                <w:rFonts w:hint="default" w:ascii="Times New Roman" w:hAnsi="Times New Roman" w:cs="Times New Roman"/>
                <w:color w:val="auto"/>
                <w:kern w:val="0"/>
                <w:sz w:val="21"/>
                <w:szCs w:val="21"/>
                <w:lang w:val="en-US" w:eastAsia="zh-CN" w:bidi="ar"/>
              </w:rPr>
              <w:t>（远期）</w:t>
            </w:r>
          </w:p>
        </w:tc>
      </w:tr>
      <w:tr w14:paraId="78F8E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12" w:type="dxa"/>
            <w:tcBorders>
              <w:tl2br w:val="nil"/>
              <w:tr2bl w:val="nil"/>
            </w:tcBorders>
            <w:noWrap w:val="0"/>
            <w:vAlign w:val="center"/>
          </w:tcPr>
          <w:p w14:paraId="4B13D1D2">
            <w:pPr>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全线平均</w:t>
            </w:r>
          </w:p>
        </w:tc>
        <w:tc>
          <w:tcPr>
            <w:tcW w:w="1879" w:type="dxa"/>
            <w:tcBorders>
              <w:tl2br w:val="nil"/>
              <w:tr2bl w:val="nil"/>
            </w:tcBorders>
            <w:noWrap w:val="0"/>
            <w:vAlign w:val="center"/>
          </w:tcPr>
          <w:p w14:paraId="379BCAB1">
            <w:pPr>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0"/>
                <w:sz w:val="21"/>
                <w:szCs w:val="21"/>
                <w:lang w:val="en-US" w:eastAsia="zh-CN" w:bidi="ar"/>
              </w:rPr>
              <w:t>5893</w:t>
            </w:r>
          </w:p>
        </w:tc>
        <w:tc>
          <w:tcPr>
            <w:tcW w:w="1880" w:type="dxa"/>
            <w:tcBorders>
              <w:tl2br w:val="nil"/>
              <w:tr2bl w:val="nil"/>
            </w:tcBorders>
            <w:noWrap w:val="0"/>
            <w:vAlign w:val="center"/>
          </w:tcPr>
          <w:p w14:paraId="1D1EEA5A">
            <w:pPr>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9873</w:t>
            </w:r>
          </w:p>
        </w:tc>
        <w:tc>
          <w:tcPr>
            <w:tcW w:w="1881" w:type="dxa"/>
            <w:tcBorders>
              <w:tl2br w:val="nil"/>
              <w:tr2bl w:val="nil"/>
            </w:tcBorders>
            <w:noWrap w:val="0"/>
            <w:vAlign w:val="center"/>
          </w:tcPr>
          <w:p w14:paraId="261C4232">
            <w:pPr>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16063</w:t>
            </w:r>
          </w:p>
        </w:tc>
      </w:tr>
    </w:tbl>
    <w:p w14:paraId="7E90C8CB">
      <w:pPr>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bCs/>
          <w:color w:val="auto"/>
          <w:sz w:val="21"/>
          <w:szCs w:val="21"/>
          <w:lang w:val="en-US"/>
        </w:rPr>
      </w:pPr>
      <w:r>
        <w:rPr>
          <w:rFonts w:hint="default" w:ascii="Times New Roman" w:hAnsi="Times New Roman" w:eastAsia="宋体" w:cs="Times New Roman"/>
          <w:b/>
          <w:bCs/>
          <w:color w:val="auto"/>
          <w:sz w:val="21"/>
          <w:szCs w:val="21"/>
          <w:lang w:val="en-US" w:eastAsia="zh-CN"/>
        </w:rPr>
        <w:t>表</w:t>
      </w:r>
      <w:r>
        <w:rPr>
          <w:rFonts w:hint="eastAsia" w:ascii="Times New Roman" w:hAnsi="Times New Roman" w:cs="Times New Roman"/>
          <w:b/>
          <w:bCs/>
          <w:color w:val="auto"/>
          <w:sz w:val="21"/>
          <w:szCs w:val="21"/>
          <w:lang w:val="en-US" w:eastAsia="zh-CN"/>
        </w:rPr>
        <w:t>3.2-1</w:t>
      </w:r>
      <w:r>
        <w:rPr>
          <w:rFonts w:hint="eastAsia" w:cs="Times New Roman"/>
          <w:b/>
          <w:bCs/>
          <w:color w:val="auto"/>
          <w:sz w:val="21"/>
          <w:szCs w:val="21"/>
          <w:lang w:val="en-US" w:eastAsia="zh-CN"/>
        </w:rPr>
        <w:t>0</w:t>
      </w:r>
      <w:r>
        <w:rPr>
          <w:rFonts w:hint="default" w:ascii="Times New Roman" w:hAnsi="Times New Roman" w:eastAsia="宋体" w:cs="Times New Roman"/>
          <w:b/>
          <w:bCs/>
          <w:color w:val="auto"/>
          <w:sz w:val="21"/>
          <w:szCs w:val="21"/>
          <w:lang w:val="en-US" w:eastAsia="zh-CN"/>
        </w:rPr>
        <w:t xml:space="preserve"> 本项目未来车型比例预测结果表</w:t>
      </w:r>
    </w:p>
    <w:tbl>
      <w:tblPr>
        <w:tblStyle w:val="31"/>
        <w:tblW w:w="4997"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1"/>
        <w:gridCol w:w="936"/>
        <w:gridCol w:w="1064"/>
        <w:gridCol w:w="1064"/>
        <w:gridCol w:w="1064"/>
        <w:gridCol w:w="1066"/>
        <w:gridCol w:w="1185"/>
        <w:gridCol w:w="948"/>
      </w:tblGrid>
      <w:tr w14:paraId="0800B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1" w:type="dxa"/>
            <w:tcBorders>
              <w:tl2br w:val="nil"/>
              <w:tr2bl w:val="nil"/>
            </w:tcBorders>
            <w:noWrap w:val="0"/>
            <w:vAlign w:val="center"/>
          </w:tcPr>
          <w:p w14:paraId="727947F4">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年份/车型</w:t>
            </w:r>
          </w:p>
        </w:tc>
        <w:tc>
          <w:tcPr>
            <w:tcW w:w="929" w:type="dxa"/>
            <w:tcBorders>
              <w:tl2br w:val="nil"/>
              <w:tr2bl w:val="nil"/>
            </w:tcBorders>
            <w:noWrap w:val="0"/>
            <w:vAlign w:val="center"/>
          </w:tcPr>
          <w:p w14:paraId="45779AB7">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小客</w:t>
            </w:r>
          </w:p>
        </w:tc>
        <w:tc>
          <w:tcPr>
            <w:tcW w:w="1056" w:type="dxa"/>
            <w:tcBorders>
              <w:tl2br w:val="nil"/>
              <w:tr2bl w:val="nil"/>
            </w:tcBorders>
            <w:noWrap w:val="0"/>
            <w:vAlign w:val="center"/>
          </w:tcPr>
          <w:p w14:paraId="558219E7">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大客</w:t>
            </w:r>
          </w:p>
        </w:tc>
        <w:tc>
          <w:tcPr>
            <w:tcW w:w="1056" w:type="dxa"/>
            <w:tcBorders>
              <w:tl2br w:val="nil"/>
              <w:tr2bl w:val="nil"/>
            </w:tcBorders>
            <w:noWrap w:val="0"/>
            <w:vAlign w:val="center"/>
          </w:tcPr>
          <w:p w14:paraId="74358A64">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小货</w:t>
            </w:r>
          </w:p>
        </w:tc>
        <w:tc>
          <w:tcPr>
            <w:tcW w:w="1056" w:type="dxa"/>
            <w:tcBorders>
              <w:tl2br w:val="nil"/>
              <w:tr2bl w:val="nil"/>
            </w:tcBorders>
            <w:noWrap w:val="0"/>
            <w:vAlign w:val="center"/>
          </w:tcPr>
          <w:p w14:paraId="537A81BF">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中货</w:t>
            </w:r>
          </w:p>
        </w:tc>
        <w:tc>
          <w:tcPr>
            <w:tcW w:w="1057" w:type="dxa"/>
            <w:tcBorders>
              <w:tl2br w:val="nil"/>
              <w:tr2bl w:val="nil"/>
            </w:tcBorders>
            <w:noWrap w:val="0"/>
            <w:vAlign w:val="center"/>
          </w:tcPr>
          <w:p w14:paraId="21DEE83C">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大货</w:t>
            </w:r>
          </w:p>
        </w:tc>
        <w:tc>
          <w:tcPr>
            <w:tcW w:w="1176" w:type="dxa"/>
            <w:tcBorders>
              <w:tl2br w:val="nil"/>
              <w:tr2bl w:val="nil"/>
            </w:tcBorders>
            <w:noWrap w:val="0"/>
            <w:vAlign w:val="center"/>
          </w:tcPr>
          <w:p w14:paraId="4647CE51">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汽车列车</w:t>
            </w:r>
          </w:p>
        </w:tc>
        <w:tc>
          <w:tcPr>
            <w:tcW w:w="939" w:type="dxa"/>
            <w:tcBorders>
              <w:tl2br w:val="nil"/>
              <w:tr2bl w:val="nil"/>
            </w:tcBorders>
            <w:noWrap w:val="0"/>
            <w:vAlign w:val="center"/>
          </w:tcPr>
          <w:p w14:paraId="4F2395BF">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合计</w:t>
            </w:r>
          </w:p>
        </w:tc>
      </w:tr>
      <w:tr w14:paraId="258C3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1" w:type="dxa"/>
            <w:tcBorders>
              <w:tl2br w:val="nil"/>
              <w:tr2bl w:val="nil"/>
            </w:tcBorders>
            <w:noWrap w:val="0"/>
            <w:vAlign w:val="center"/>
          </w:tcPr>
          <w:p w14:paraId="3DE880F5">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2028年</w:t>
            </w:r>
          </w:p>
        </w:tc>
        <w:tc>
          <w:tcPr>
            <w:tcW w:w="929" w:type="dxa"/>
            <w:tcBorders>
              <w:tl2br w:val="nil"/>
              <w:tr2bl w:val="nil"/>
            </w:tcBorders>
            <w:noWrap w:val="0"/>
            <w:vAlign w:val="center"/>
          </w:tcPr>
          <w:p w14:paraId="3E19FD50">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8</w:t>
            </w:r>
            <w:r>
              <w:rPr>
                <w:rFonts w:hint="default" w:ascii="Times New Roman" w:hAnsi="Times New Roman" w:cs="Times New Roman"/>
                <w:color w:val="auto"/>
                <w:kern w:val="0"/>
                <w:sz w:val="21"/>
                <w:szCs w:val="21"/>
                <w:lang w:val="en-US" w:eastAsia="zh-CN" w:bidi="ar"/>
              </w:rPr>
              <w:t>8.59</w:t>
            </w:r>
            <w:r>
              <w:rPr>
                <w:rFonts w:hint="default" w:ascii="Times New Roman" w:hAnsi="Times New Roman" w:eastAsia="宋体" w:cs="Times New Roman"/>
                <w:color w:val="auto"/>
                <w:kern w:val="0"/>
                <w:sz w:val="21"/>
                <w:szCs w:val="21"/>
                <w:lang w:val="en-US" w:eastAsia="zh-CN" w:bidi="ar"/>
              </w:rPr>
              <w:t>%</w:t>
            </w:r>
          </w:p>
        </w:tc>
        <w:tc>
          <w:tcPr>
            <w:tcW w:w="1056" w:type="dxa"/>
            <w:tcBorders>
              <w:tl2br w:val="nil"/>
              <w:tr2bl w:val="nil"/>
            </w:tcBorders>
            <w:noWrap w:val="0"/>
            <w:vAlign w:val="center"/>
          </w:tcPr>
          <w:p w14:paraId="472E5317">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2.02%</w:t>
            </w:r>
          </w:p>
        </w:tc>
        <w:tc>
          <w:tcPr>
            <w:tcW w:w="1056" w:type="dxa"/>
            <w:tcBorders>
              <w:tl2br w:val="nil"/>
              <w:tr2bl w:val="nil"/>
            </w:tcBorders>
            <w:noWrap w:val="0"/>
            <w:vAlign w:val="center"/>
          </w:tcPr>
          <w:p w14:paraId="1CB76942">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cs="Times New Roman"/>
                <w:color w:val="auto"/>
                <w:kern w:val="0"/>
                <w:sz w:val="21"/>
                <w:szCs w:val="21"/>
                <w:lang w:val="en-US" w:eastAsia="zh-CN" w:bidi="ar"/>
              </w:rPr>
              <w:t>4.36</w:t>
            </w:r>
            <w:r>
              <w:rPr>
                <w:rFonts w:hint="default" w:ascii="Times New Roman" w:hAnsi="Times New Roman" w:eastAsia="宋体" w:cs="Times New Roman"/>
                <w:color w:val="auto"/>
                <w:kern w:val="0"/>
                <w:sz w:val="21"/>
                <w:szCs w:val="21"/>
                <w:lang w:val="en-US" w:eastAsia="zh-CN" w:bidi="ar"/>
              </w:rPr>
              <w:t>%</w:t>
            </w:r>
          </w:p>
        </w:tc>
        <w:tc>
          <w:tcPr>
            <w:tcW w:w="1056" w:type="dxa"/>
            <w:tcBorders>
              <w:tl2br w:val="nil"/>
              <w:tr2bl w:val="nil"/>
            </w:tcBorders>
            <w:noWrap w:val="0"/>
            <w:vAlign w:val="center"/>
          </w:tcPr>
          <w:p w14:paraId="01E6E1B0">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cs="Times New Roman"/>
                <w:color w:val="auto"/>
                <w:kern w:val="0"/>
                <w:sz w:val="21"/>
                <w:szCs w:val="21"/>
                <w:lang w:val="en-US" w:eastAsia="zh-CN" w:bidi="ar"/>
              </w:rPr>
              <w:t>1.86</w:t>
            </w:r>
            <w:r>
              <w:rPr>
                <w:rFonts w:hint="default" w:ascii="Times New Roman" w:hAnsi="Times New Roman" w:eastAsia="宋体" w:cs="Times New Roman"/>
                <w:color w:val="auto"/>
                <w:kern w:val="0"/>
                <w:sz w:val="21"/>
                <w:szCs w:val="21"/>
                <w:lang w:val="en-US" w:eastAsia="zh-CN" w:bidi="ar"/>
              </w:rPr>
              <w:t>%</w:t>
            </w:r>
          </w:p>
        </w:tc>
        <w:tc>
          <w:tcPr>
            <w:tcW w:w="1057" w:type="dxa"/>
            <w:tcBorders>
              <w:tl2br w:val="nil"/>
              <w:tr2bl w:val="nil"/>
            </w:tcBorders>
            <w:noWrap w:val="0"/>
            <w:vAlign w:val="center"/>
          </w:tcPr>
          <w:p w14:paraId="38056A22">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1.</w:t>
            </w:r>
            <w:r>
              <w:rPr>
                <w:rFonts w:hint="default" w:ascii="Times New Roman" w:hAnsi="Times New Roman" w:cs="Times New Roman"/>
                <w:color w:val="auto"/>
                <w:kern w:val="0"/>
                <w:sz w:val="21"/>
                <w:szCs w:val="21"/>
                <w:lang w:val="en-US" w:eastAsia="zh-CN" w:bidi="ar"/>
              </w:rPr>
              <w:t>55</w:t>
            </w:r>
            <w:r>
              <w:rPr>
                <w:rFonts w:hint="default" w:ascii="Times New Roman" w:hAnsi="Times New Roman" w:eastAsia="宋体" w:cs="Times New Roman"/>
                <w:color w:val="auto"/>
                <w:kern w:val="0"/>
                <w:sz w:val="21"/>
                <w:szCs w:val="21"/>
                <w:lang w:val="en-US" w:eastAsia="zh-CN" w:bidi="ar"/>
              </w:rPr>
              <w:t>%</w:t>
            </w:r>
          </w:p>
        </w:tc>
        <w:tc>
          <w:tcPr>
            <w:tcW w:w="1176" w:type="dxa"/>
            <w:tcBorders>
              <w:tl2br w:val="nil"/>
              <w:tr2bl w:val="nil"/>
            </w:tcBorders>
            <w:noWrap w:val="0"/>
            <w:vAlign w:val="center"/>
          </w:tcPr>
          <w:p w14:paraId="356E3165">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cs="Times New Roman"/>
                <w:color w:val="auto"/>
                <w:kern w:val="0"/>
                <w:sz w:val="21"/>
                <w:szCs w:val="21"/>
                <w:lang w:val="en-US" w:eastAsia="zh-CN" w:bidi="ar"/>
              </w:rPr>
              <w:t>1.62</w:t>
            </w:r>
            <w:r>
              <w:rPr>
                <w:rFonts w:hint="default" w:ascii="Times New Roman" w:hAnsi="Times New Roman" w:eastAsia="宋体" w:cs="Times New Roman"/>
                <w:color w:val="auto"/>
                <w:kern w:val="0"/>
                <w:sz w:val="21"/>
                <w:szCs w:val="21"/>
                <w:lang w:val="en-US" w:eastAsia="zh-CN" w:bidi="ar"/>
              </w:rPr>
              <w:t>%</w:t>
            </w:r>
          </w:p>
        </w:tc>
        <w:tc>
          <w:tcPr>
            <w:tcW w:w="939" w:type="dxa"/>
            <w:tcBorders>
              <w:tl2br w:val="nil"/>
              <w:tr2bl w:val="nil"/>
            </w:tcBorders>
            <w:noWrap w:val="0"/>
            <w:vAlign w:val="center"/>
          </w:tcPr>
          <w:p w14:paraId="31A3D0BD">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b w:val="0"/>
                <w:bCs w:val="0"/>
                <w:color w:val="auto"/>
                <w:kern w:val="0"/>
                <w:sz w:val="21"/>
                <w:szCs w:val="21"/>
                <w:vertAlign w:val="baseline"/>
                <w:lang w:val="en-US" w:eastAsia="zh-CN" w:bidi="ar"/>
              </w:rPr>
              <w:t>100%</w:t>
            </w:r>
          </w:p>
        </w:tc>
      </w:tr>
      <w:tr w14:paraId="407C4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1" w:type="dxa"/>
            <w:tcBorders>
              <w:tl2br w:val="nil"/>
              <w:tr2bl w:val="nil"/>
            </w:tcBorders>
            <w:noWrap w:val="0"/>
            <w:vAlign w:val="center"/>
          </w:tcPr>
          <w:p w14:paraId="17D9D4B3">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
              </w:rPr>
            </w:pPr>
            <w:r>
              <w:rPr>
                <w:rFonts w:hint="default" w:ascii="Times New Roman" w:hAnsi="Times New Roman" w:eastAsia="宋体" w:cs="Times New Roman"/>
                <w:b w:val="0"/>
                <w:bCs w:val="0"/>
                <w:color w:val="auto"/>
                <w:kern w:val="0"/>
                <w:sz w:val="21"/>
                <w:szCs w:val="21"/>
                <w:lang w:val="en-US" w:eastAsia="zh-CN" w:bidi="ar"/>
              </w:rPr>
              <w:t>203</w:t>
            </w:r>
            <w:r>
              <w:rPr>
                <w:rFonts w:hint="eastAsia" w:cs="Times New Roman"/>
                <w:b w:val="0"/>
                <w:bCs w:val="0"/>
                <w:color w:val="auto"/>
                <w:kern w:val="0"/>
                <w:sz w:val="21"/>
                <w:szCs w:val="21"/>
                <w:lang w:val="en-US" w:eastAsia="zh-CN" w:bidi="ar"/>
              </w:rPr>
              <w:t>4</w:t>
            </w:r>
            <w:r>
              <w:rPr>
                <w:rFonts w:hint="default" w:ascii="Times New Roman" w:hAnsi="Times New Roman" w:eastAsia="宋体" w:cs="Times New Roman"/>
                <w:b w:val="0"/>
                <w:bCs w:val="0"/>
                <w:color w:val="auto"/>
                <w:kern w:val="0"/>
                <w:sz w:val="21"/>
                <w:szCs w:val="21"/>
                <w:lang w:val="en-US" w:eastAsia="zh-CN" w:bidi="ar"/>
              </w:rPr>
              <w:t>年</w:t>
            </w:r>
          </w:p>
        </w:tc>
        <w:tc>
          <w:tcPr>
            <w:tcW w:w="929" w:type="dxa"/>
            <w:tcBorders>
              <w:tl2br w:val="nil"/>
              <w:tr2bl w:val="nil"/>
            </w:tcBorders>
            <w:noWrap w:val="0"/>
            <w:vAlign w:val="center"/>
          </w:tcPr>
          <w:p w14:paraId="7FEF65AF">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
              </w:rPr>
            </w:pPr>
            <w:r>
              <w:rPr>
                <w:rFonts w:hint="default" w:ascii="Times New Roman" w:hAnsi="Times New Roman" w:eastAsia="宋体" w:cs="Times New Roman"/>
                <w:b w:val="0"/>
                <w:bCs w:val="0"/>
                <w:color w:val="auto"/>
                <w:kern w:val="0"/>
                <w:sz w:val="21"/>
                <w:szCs w:val="21"/>
                <w:vertAlign w:val="baseline"/>
                <w:lang w:val="en-US" w:eastAsia="zh-CN" w:bidi="ar"/>
              </w:rPr>
              <w:t>87.71%</w:t>
            </w:r>
          </w:p>
        </w:tc>
        <w:tc>
          <w:tcPr>
            <w:tcW w:w="1056" w:type="dxa"/>
            <w:tcBorders>
              <w:tl2br w:val="nil"/>
              <w:tr2bl w:val="nil"/>
            </w:tcBorders>
            <w:noWrap w:val="0"/>
            <w:vAlign w:val="center"/>
          </w:tcPr>
          <w:p w14:paraId="76CA233F">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b w:val="0"/>
                <w:bCs w:val="0"/>
                <w:color w:val="auto"/>
                <w:kern w:val="0"/>
                <w:sz w:val="21"/>
                <w:szCs w:val="21"/>
                <w:vertAlign w:val="baseline"/>
                <w:lang w:val="en-US" w:eastAsia="zh-CN" w:bidi="ar"/>
              </w:rPr>
              <w:t>1.41%</w:t>
            </w:r>
          </w:p>
        </w:tc>
        <w:tc>
          <w:tcPr>
            <w:tcW w:w="1056" w:type="dxa"/>
            <w:tcBorders>
              <w:tl2br w:val="nil"/>
              <w:tr2bl w:val="nil"/>
            </w:tcBorders>
            <w:noWrap w:val="0"/>
            <w:vAlign w:val="center"/>
          </w:tcPr>
          <w:p w14:paraId="1B12EE05">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4.50%</w:t>
            </w:r>
          </w:p>
        </w:tc>
        <w:tc>
          <w:tcPr>
            <w:tcW w:w="1056" w:type="dxa"/>
            <w:tcBorders>
              <w:tl2br w:val="nil"/>
              <w:tr2bl w:val="nil"/>
            </w:tcBorders>
            <w:noWrap w:val="0"/>
            <w:vAlign w:val="center"/>
          </w:tcPr>
          <w:p w14:paraId="68D51C32">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1.94%</w:t>
            </w:r>
          </w:p>
        </w:tc>
        <w:tc>
          <w:tcPr>
            <w:tcW w:w="1057" w:type="dxa"/>
            <w:tcBorders>
              <w:tl2br w:val="nil"/>
              <w:tr2bl w:val="nil"/>
            </w:tcBorders>
            <w:noWrap w:val="0"/>
            <w:vAlign w:val="center"/>
          </w:tcPr>
          <w:p w14:paraId="28E629F7">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1.81%</w:t>
            </w:r>
          </w:p>
        </w:tc>
        <w:tc>
          <w:tcPr>
            <w:tcW w:w="1176" w:type="dxa"/>
            <w:tcBorders>
              <w:tl2br w:val="nil"/>
              <w:tr2bl w:val="nil"/>
            </w:tcBorders>
            <w:noWrap w:val="0"/>
            <w:vAlign w:val="center"/>
          </w:tcPr>
          <w:p w14:paraId="6AA201F5">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2.63%</w:t>
            </w:r>
          </w:p>
        </w:tc>
        <w:tc>
          <w:tcPr>
            <w:tcW w:w="939" w:type="dxa"/>
            <w:tcBorders>
              <w:tl2br w:val="nil"/>
              <w:tr2bl w:val="nil"/>
            </w:tcBorders>
            <w:noWrap w:val="0"/>
            <w:vAlign w:val="center"/>
          </w:tcPr>
          <w:p w14:paraId="74D67649">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b w:val="0"/>
                <w:bCs w:val="0"/>
                <w:color w:val="auto"/>
                <w:kern w:val="0"/>
                <w:sz w:val="21"/>
                <w:szCs w:val="21"/>
                <w:vertAlign w:val="baseline"/>
                <w:lang w:val="en-US" w:eastAsia="zh-CN" w:bidi="ar"/>
              </w:rPr>
              <w:t>100%</w:t>
            </w:r>
          </w:p>
        </w:tc>
      </w:tr>
      <w:tr w14:paraId="338F0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1" w:type="dxa"/>
            <w:tcBorders>
              <w:tl2br w:val="nil"/>
              <w:tr2bl w:val="nil"/>
            </w:tcBorders>
            <w:noWrap w:val="0"/>
            <w:vAlign w:val="center"/>
          </w:tcPr>
          <w:p w14:paraId="3D5582DC">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204</w:t>
            </w:r>
            <w:r>
              <w:rPr>
                <w:rFonts w:hint="eastAsia" w:cs="Times New Roman"/>
                <w:color w:val="auto"/>
                <w:kern w:val="0"/>
                <w:sz w:val="21"/>
                <w:szCs w:val="21"/>
                <w:lang w:val="en-US" w:eastAsia="zh-CN" w:bidi="ar"/>
              </w:rPr>
              <w:t>2</w:t>
            </w:r>
            <w:r>
              <w:rPr>
                <w:rFonts w:hint="default" w:ascii="Times New Roman" w:hAnsi="Times New Roman" w:eastAsia="宋体" w:cs="Times New Roman"/>
                <w:color w:val="auto"/>
                <w:kern w:val="0"/>
                <w:sz w:val="21"/>
                <w:szCs w:val="21"/>
                <w:lang w:val="en-US" w:eastAsia="zh-CN" w:bidi="ar"/>
              </w:rPr>
              <w:t>年</w:t>
            </w:r>
          </w:p>
        </w:tc>
        <w:tc>
          <w:tcPr>
            <w:tcW w:w="929" w:type="dxa"/>
            <w:tcBorders>
              <w:tl2br w:val="nil"/>
              <w:tr2bl w:val="nil"/>
            </w:tcBorders>
            <w:noWrap w:val="0"/>
            <w:vAlign w:val="center"/>
          </w:tcPr>
          <w:p w14:paraId="21D025AA">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86.67%</w:t>
            </w:r>
          </w:p>
        </w:tc>
        <w:tc>
          <w:tcPr>
            <w:tcW w:w="1056" w:type="dxa"/>
            <w:tcBorders>
              <w:tl2br w:val="nil"/>
              <w:tr2bl w:val="nil"/>
            </w:tcBorders>
            <w:noWrap w:val="0"/>
            <w:vAlign w:val="center"/>
          </w:tcPr>
          <w:p w14:paraId="1B2BB036">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1.02%</w:t>
            </w:r>
          </w:p>
        </w:tc>
        <w:tc>
          <w:tcPr>
            <w:tcW w:w="1056" w:type="dxa"/>
            <w:tcBorders>
              <w:tl2br w:val="nil"/>
              <w:tr2bl w:val="nil"/>
            </w:tcBorders>
            <w:noWrap w:val="0"/>
            <w:vAlign w:val="center"/>
          </w:tcPr>
          <w:p w14:paraId="5BD90253">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4.71%</w:t>
            </w:r>
          </w:p>
        </w:tc>
        <w:tc>
          <w:tcPr>
            <w:tcW w:w="1056" w:type="dxa"/>
            <w:tcBorders>
              <w:tl2br w:val="nil"/>
              <w:tr2bl w:val="nil"/>
            </w:tcBorders>
            <w:noWrap w:val="0"/>
            <w:vAlign w:val="center"/>
          </w:tcPr>
          <w:p w14:paraId="45D92FD4">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cs="Times New Roman"/>
                <w:color w:val="auto"/>
                <w:kern w:val="0"/>
                <w:sz w:val="21"/>
                <w:szCs w:val="21"/>
                <w:lang w:val="en-US" w:eastAsia="zh-CN" w:bidi="ar"/>
              </w:rPr>
              <w:t>2.25</w:t>
            </w:r>
            <w:r>
              <w:rPr>
                <w:rFonts w:hint="default" w:ascii="Times New Roman" w:hAnsi="Times New Roman" w:eastAsia="宋体" w:cs="Times New Roman"/>
                <w:color w:val="auto"/>
                <w:kern w:val="0"/>
                <w:sz w:val="21"/>
                <w:szCs w:val="21"/>
                <w:lang w:val="en-US" w:eastAsia="zh-CN" w:bidi="ar"/>
              </w:rPr>
              <w:t>%</w:t>
            </w:r>
          </w:p>
        </w:tc>
        <w:tc>
          <w:tcPr>
            <w:tcW w:w="1057" w:type="dxa"/>
            <w:tcBorders>
              <w:tl2br w:val="nil"/>
              <w:tr2bl w:val="nil"/>
            </w:tcBorders>
            <w:noWrap w:val="0"/>
            <w:vAlign w:val="center"/>
          </w:tcPr>
          <w:p w14:paraId="5640454B">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1.93%</w:t>
            </w:r>
          </w:p>
        </w:tc>
        <w:tc>
          <w:tcPr>
            <w:tcW w:w="1176" w:type="dxa"/>
            <w:tcBorders>
              <w:tl2br w:val="nil"/>
              <w:tr2bl w:val="nil"/>
            </w:tcBorders>
            <w:noWrap w:val="0"/>
            <w:vAlign w:val="center"/>
          </w:tcPr>
          <w:p w14:paraId="34D2A095">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3.42%</w:t>
            </w:r>
          </w:p>
        </w:tc>
        <w:tc>
          <w:tcPr>
            <w:tcW w:w="939" w:type="dxa"/>
            <w:tcBorders>
              <w:tl2br w:val="nil"/>
              <w:tr2bl w:val="nil"/>
            </w:tcBorders>
            <w:noWrap w:val="0"/>
            <w:vAlign w:val="center"/>
          </w:tcPr>
          <w:p w14:paraId="0F346405">
            <w:pPr>
              <w:keepNext w:val="0"/>
              <w:keepLines w:val="0"/>
              <w:pageBreakBefore w:val="0"/>
              <w:widowControl w:val="0"/>
              <w:suppressLineNumbers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b w:val="0"/>
                <w:bCs w:val="0"/>
                <w:color w:val="auto"/>
                <w:kern w:val="0"/>
                <w:sz w:val="21"/>
                <w:szCs w:val="21"/>
                <w:vertAlign w:val="baseline"/>
                <w:lang w:val="en-US" w:eastAsia="zh-CN" w:bidi="ar"/>
              </w:rPr>
              <w:t>100%</w:t>
            </w:r>
          </w:p>
        </w:tc>
      </w:tr>
    </w:tbl>
    <w:p w14:paraId="5714250E">
      <w:pPr>
        <w:keepNext w:val="0"/>
        <w:keepLines w:val="0"/>
        <w:pageBreakBefore w:val="0"/>
        <w:widowControl w:val="0"/>
        <w:suppressLineNumbers w:val="0"/>
        <w:kinsoku/>
        <w:wordWrap/>
        <w:overflowPunct/>
        <w:topLinePunct w:val="0"/>
        <w:autoSpaceDE/>
        <w:autoSpaceDN/>
        <w:bidi w:val="0"/>
        <w:adjustRightInd w:val="0"/>
        <w:snapToGrid w:val="0"/>
        <w:spacing w:line="360" w:lineRule="auto"/>
        <w:ind w:right="0"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根据《环境影响评价技术导则 公路建设项目》（HJ1358-2024）附录B.2.1.1车型分类及交通量折算表B.1中的有关参数（见下表）。</w:t>
      </w:r>
    </w:p>
    <w:p w14:paraId="4D0510BE">
      <w:pPr>
        <w:pStyle w:val="39"/>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w:t>
      </w:r>
      <w:r>
        <w:rPr>
          <w:rFonts w:hint="eastAsia" w:ascii="Times New Roman" w:hAnsi="Times New Roman" w:cs="Times New Roman"/>
          <w:color w:val="auto"/>
          <w:lang w:val="en-US" w:eastAsia="zh-CN"/>
        </w:rPr>
        <w:t>3.2-1</w:t>
      </w:r>
      <w:r>
        <w:rPr>
          <w:rFonts w:hint="eastAsia" w:cs="Times New Roman"/>
          <w:color w:val="auto"/>
          <w:lang w:val="en-US" w:eastAsia="zh-CN"/>
        </w:rPr>
        <w:t>1</w:t>
      </w:r>
      <w:r>
        <w:rPr>
          <w:rFonts w:hint="default" w:ascii="Times New Roman" w:hAnsi="Times New Roman" w:cs="Times New Roman"/>
          <w:color w:val="auto"/>
          <w:lang w:val="en-US" w:eastAsia="zh-CN"/>
        </w:rPr>
        <w:t xml:space="preserve">       车型分类表</w:t>
      </w:r>
    </w:p>
    <w:tbl>
      <w:tblPr>
        <w:tblStyle w:val="3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6"/>
        <w:gridCol w:w="1860"/>
        <w:gridCol w:w="1546"/>
        <w:gridCol w:w="3939"/>
      </w:tblGrid>
      <w:tr w14:paraId="13225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tcBorders>
              <w:tl2br w:val="nil"/>
              <w:tr2bl w:val="nil"/>
            </w:tcBorders>
            <w:noWrap w:val="0"/>
            <w:vAlign w:val="center"/>
          </w:tcPr>
          <w:p w14:paraId="4ADEBCB8">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车型</w:t>
            </w:r>
          </w:p>
        </w:tc>
        <w:tc>
          <w:tcPr>
            <w:tcW w:w="1091" w:type="pct"/>
            <w:tcBorders>
              <w:tl2br w:val="nil"/>
              <w:tr2bl w:val="nil"/>
            </w:tcBorders>
            <w:noWrap w:val="0"/>
            <w:vAlign w:val="center"/>
          </w:tcPr>
          <w:p w14:paraId="41D2607F">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汽车代表车型</w:t>
            </w:r>
          </w:p>
        </w:tc>
        <w:tc>
          <w:tcPr>
            <w:tcW w:w="907" w:type="pct"/>
            <w:tcBorders>
              <w:tl2br w:val="nil"/>
              <w:tr2bl w:val="nil"/>
            </w:tcBorders>
            <w:noWrap w:val="0"/>
            <w:vAlign w:val="center"/>
          </w:tcPr>
          <w:p w14:paraId="61A0CF38">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车辆折算系数</w:t>
            </w:r>
          </w:p>
        </w:tc>
        <w:tc>
          <w:tcPr>
            <w:tcW w:w="2311" w:type="pct"/>
            <w:tcBorders>
              <w:tl2br w:val="nil"/>
              <w:tr2bl w:val="nil"/>
            </w:tcBorders>
            <w:noWrap w:val="0"/>
            <w:vAlign w:val="center"/>
          </w:tcPr>
          <w:p w14:paraId="26529C01">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车型划分标准</w:t>
            </w:r>
          </w:p>
        </w:tc>
      </w:tr>
      <w:tr w14:paraId="47DF2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tcBorders>
              <w:tl2br w:val="nil"/>
              <w:tr2bl w:val="nil"/>
            </w:tcBorders>
            <w:noWrap w:val="0"/>
            <w:vAlign w:val="center"/>
          </w:tcPr>
          <w:p w14:paraId="0920D63D">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小型车</w:t>
            </w:r>
          </w:p>
        </w:tc>
        <w:tc>
          <w:tcPr>
            <w:tcW w:w="1091" w:type="pct"/>
            <w:tcBorders>
              <w:tl2br w:val="nil"/>
              <w:tr2bl w:val="nil"/>
            </w:tcBorders>
            <w:noWrap w:val="0"/>
            <w:vAlign w:val="center"/>
          </w:tcPr>
          <w:p w14:paraId="0D5FCC5D">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小客车</w:t>
            </w:r>
          </w:p>
        </w:tc>
        <w:tc>
          <w:tcPr>
            <w:tcW w:w="907" w:type="pct"/>
            <w:tcBorders>
              <w:tl2br w:val="nil"/>
              <w:tr2bl w:val="nil"/>
            </w:tcBorders>
            <w:noWrap w:val="0"/>
            <w:vAlign w:val="center"/>
          </w:tcPr>
          <w:p w14:paraId="1FE3EA6E">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1.0</w:t>
            </w:r>
          </w:p>
        </w:tc>
        <w:tc>
          <w:tcPr>
            <w:tcW w:w="2311" w:type="pct"/>
            <w:tcBorders>
              <w:tl2br w:val="nil"/>
              <w:tr2bl w:val="nil"/>
            </w:tcBorders>
            <w:noWrap w:val="0"/>
            <w:vAlign w:val="center"/>
          </w:tcPr>
          <w:p w14:paraId="347E969C">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座位≤19座的客车和载质量≤2t货车</w:t>
            </w:r>
          </w:p>
        </w:tc>
      </w:tr>
      <w:tr w14:paraId="14DD6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tcBorders>
              <w:tl2br w:val="nil"/>
              <w:tr2bl w:val="nil"/>
            </w:tcBorders>
            <w:noWrap w:val="0"/>
            <w:vAlign w:val="center"/>
          </w:tcPr>
          <w:p w14:paraId="4F847892">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中型车</w:t>
            </w:r>
          </w:p>
        </w:tc>
        <w:tc>
          <w:tcPr>
            <w:tcW w:w="1091" w:type="pct"/>
            <w:tcBorders>
              <w:tl2br w:val="nil"/>
              <w:tr2bl w:val="nil"/>
            </w:tcBorders>
            <w:noWrap w:val="0"/>
            <w:vAlign w:val="center"/>
          </w:tcPr>
          <w:p w14:paraId="492A5653">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中型车</w:t>
            </w:r>
          </w:p>
        </w:tc>
        <w:tc>
          <w:tcPr>
            <w:tcW w:w="907" w:type="pct"/>
            <w:tcBorders>
              <w:tl2br w:val="nil"/>
              <w:tr2bl w:val="nil"/>
            </w:tcBorders>
            <w:noWrap w:val="0"/>
            <w:vAlign w:val="center"/>
          </w:tcPr>
          <w:p w14:paraId="48B5D70D">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1.5</w:t>
            </w:r>
          </w:p>
        </w:tc>
        <w:tc>
          <w:tcPr>
            <w:tcW w:w="2311" w:type="pct"/>
            <w:tcBorders>
              <w:tl2br w:val="nil"/>
              <w:tr2bl w:val="nil"/>
            </w:tcBorders>
            <w:noWrap w:val="0"/>
            <w:vAlign w:val="center"/>
          </w:tcPr>
          <w:p w14:paraId="4F1ED403">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座位＞19座的客车和2t＜载质量≤7t货车</w:t>
            </w:r>
          </w:p>
        </w:tc>
      </w:tr>
      <w:tr w14:paraId="48D78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vMerge w:val="restart"/>
            <w:tcBorders>
              <w:tl2br w:val="nil"/>
              <w:tr2bl w:val="nil"/>
            </w:tcBorders>
            <w:noWrap w:val="0"/>
            <w:vAlign w:val="center"/>
          </w:tcPr>
          <w:p w14:paraId="69A80348">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大型车</w:t>
            </w:r>
          </w:p>
        </w:tc>
        <w:tc>
          <w:tcPr>
            <w:tcW w:w="1091" w:type="pct"/>
            <w:tcBorders>
              <w:tl2br w:val="nil"/>
              <w:tr2bl w:val="nil"/>
            </w:tcBorders>
            <w:noWrap w:val="0"/>
            <w:vAlign w:val="center"/>
          </w:tcPr>
          <w:p w14:paraId="6C17381D">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大型车</w:t>
            </w:r>
          </w:p>
        </w:tc>
        <w:tc>
          <w:tcPr>
            <w:tcW w:w="907" w:type="pct"/>
            <w:tcBorders>
              <w:tl2br w:val="nil"/>
              <w:tr2bl w:val="nil"/>
            </w:tcBorders>
            <w:noWrap w:val="0"/>
            <w:vAlign w:val="center"/>
          </w:tcPr>
          <w:p w14:paraId="17E7D6A0">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2.5</w:t>
            </w:r>
          </w:p>
        </w:tc>
        <w:tc>
          <w:tcPr>
            <w:tcW w:w="2311" w:type="pct"/>
            <w:tcBorders>
              <w:tl2br w:val="nil"/>
              <w:tr2bl w:val="nil"/>
            </w:tcBorders>
            <w:noWrap w:val="0"/>
            <w:vAlign w:val="center"/>
          </w:tcPr>
          <w:p w14:paraId="4D6FC823">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7t＜载质量≤20t货车</w:t>
            </w:r>
          </w:p>
        </w:tc>
      </w:tr>
      <w:tr w14:paraId="2AFA3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vMerge w:val="continue"/>
            <w:tcBorders>
              <w:tl2br w:val="nil"/>
              <w:tr2bl w:val="nil"/>
            </w:tcBorders>
            <w:noWrap w:val="0"/>
            <w:vAlign w:val="center"/>
          </w:tcPr>
          <w:p w14:paraId="7736ECBC">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91" w:type="pct"/>
            <w:tcBorders>
              <w:tl2br w:val="nil"/>
              <w:tr2bl w:val="nil"/>
            </w:tcBorders>
            <w:noWrap w:val="0"/>
            <w:vAlign w:val="center"/>
          </w:tcPr>
          <w:p w14:paraId="30DE8B4D">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汽车列车</w:t>
            </w:r>
          </w:p>
        </w:tc>
        <w:tc>
          <w:tcPr>
            <w:tcW w:w="907" w:type="pct"/>
            <w:tcBorders>
              <w:tl2br w:val="nil"/>
              <w:tr2bl w:val="nil"/>
            </w:tcBorders>
            <w:noWrap w:val="0"/>
            <w:vAlign w:val="center"/>
          </w:tcPr>
          <w:p w14:paraId="2DF4FA9C">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4.0</w:t>
            </w:r>
          </w:p>
        </w:tc>
        <w:tc>
          <w:tcPr>
            <w:tcW w:w="2311" w:type="pct"/>
            <w:tcBorders>
              <w:tl2br w:val="nil"/>
              <w:tr2bl w:val="nil"/>
            </w:tcBorders>
            <w:noWrap w:val="0"/>
            <w:vAlign w:val="center"/>
          </w:tcPr>
          <w:p w14:paraId="4B21D06A">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载质量＞20t的货车</w:t>
            </w:r>
          </w:p>
        </w:tc>
      </w:tr>
    </w:tbl>
    <w:p w14:paraId="2A11E52C">
      <w:pPr>
        <w:pStyle w:val="39"/>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w:t>
      </w:r>
      <w:r>
        <w:rPr>
          <w:rFonts w:hint="eastAsia" w:ascii="Times New Roman" w:hAnsi="Times New Roman" w:cs="Times New Roman"/>
          <w:color w:val="auto"/>
          <w:lang w:val="en-US" w:eastAsia="zh-CN"/>
        </w:rPr>
        <w:t>3.2-1</w:t>
      </w:r>
      <w:r>
        <w:rPr>
          <w:rFonts w:hint="eastAsia" w:cs="Times New Roman"/>
          <w:color w:val="auto"/>
          <w:lang w:val="en-US" w:eastAsia="zh-CN"/>
        </w:rPr>
        <w:t>2</w:t>
      </w:r>
      <w:r>
        <w:rPr>
          <w:rFonts w:hint="default" w:ascii="Times New Roman" w:hAnsi="Times New Roman" w:cs="Times New Roman"/>
          <w:color w:val="auto"/>
          <w:lang w:val="en-US" w:eastAsia="zh-CN"/>
        </w:rPr>
        <w:t xml:space="preserve">   线路评价年小时车流量预测值（辆/h）</w:t>
      </w:r>
    </w:p>
    <w:tbl>
      <w:tblPr>
        <w:tblStyle w:val="3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6"/>
        <w:gridCol w:w="1860"/>
        <w:gridCol w:w="1546"/>
        <w:gridCol w:w="1749"/>
        <w:gridCol w:w="2190"/>
      </w:tblGrid>
      <w:tr w14:paraId="59AA2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trPr>
        <w:tc>
          <w:tcPr>
            <w:tcW w:w="690" w:type="pct"/>
            <w:vMerge w:val="restart"/>
            <w:tcBorders>
              <w:tl2br w:val="nil"/>
              <w:tr2bl w:val="nil"/>
            </w:tcBorders>
            <w:noWrap w:val="0"/>
            <w:vAlign w:val="center"/>
          </w:tcPr>
          <w:p w14:paraId="3DF0267A">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车型</w:t>
            </w:r>
          </w:p>
        </w:tc>
        <w:tc>
          <w:tcPr>
            <w:tcW w:w="1091" w:type="pct"/>
            <w:vMerge w:val="restart"/>
            <w:tcBorders>
              <w:tl2br w:val="nil"/>
              <w:tr2bl w:val="nil"/>
            </w:tcBorders>
            <w:noWrap w:val="0"/>
            <w:vAlign w:val="center"/>
          </w:tcPr>
          <w:p w14:paraId="6C6CFC8F">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时段</w:t>
            </w:r>
          </w:p>
        </w:tc>
        <w:tc>
          <w:tcPr>
            <w:tcW w:w="3218" w:type="pct"/>
            <w:gridSpan w:val="3"/>
            <w:tcBorders>
              <w:tl2br w:val="nil"/>
              <w:tr2bl w:val="nil"/>
            </w:tcBorders>
            <w:noWrap w:val="0"/>
            <w:vAlign w:val="center"/>
          </w:tcPr>
          <w:p w14:paraId="3964AD65">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车流量</w:t>
            </w:r>
          </w:p>
        </w:tc>
      </w:tr>
      <w:tr w14:paraId="2FA89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trPr>
        <w:tc>
          <w:tcPr>
            <w:tcW w:w="690" w:type="pct"/>
            <w:vMerge w:val="continue"/>
            <w:tcBorders>
              <w:tl2br w:val="nil"/>
              <w:tr2bl w:val="nil"/>
            </w:tcBorders>
            <w:noWrap w:val="0"/>
            <w:vAlign w:val="center"/>
          </w:tcPr>
          <w:p w14:paraId="769695EA">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91" w:type="pct"/>
            <w:vMerge w:val="continue"/>
            <w:tcBorders>
              <w:tl2br w:val="nil"/>
              <w:tr2bl w:val="nil"/>
            </w:tcBorders>
            <w:noWrap w:val="0"/>
            <w:vAlign w:val="center"/>
          </w:tcPr>
          <w:p w14:paraId="266A8A96">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907" w:type="pct"/>
            <w:tcBorders>
              <w:tl2br w:val="nil"/>
              <w:tr2bl w:val="nil"/>
            </w:tcBorders>
            <w:noWrap w:val="0"/>
            <w:vAlign w:val="center"/>
          </w:tcPr>
          <w:p w14:paraId="01A7CA6C">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2028</w:t>
            </w:r>
          </w:p>
        </w:tc>
        <w:tc>
          <w:tcPr>
            <w:tcW w:w="1026" w:type="pct"/>
            <w:tcBorders>
              <w:tl2br w:val="nil"/>
              <w:tr2bl w:val="nil"/>
            </w:tcBorders>
            <w:noWrap w:val="0"/>
            <w:vAlign w:val="center"/>
          </w:tcPr>
          <w:p w14:paraId="4241D110">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203</w:t>
            </w:r>
            <w:r>
              <w:rPr>
                <w:rFonts w:hint="eastAsia" w:cs="Times New Roman"/>
                <w:color w:val="auto"/>
                <w:kern w:val="0"/>
                <w:sz w:val="21"/>
                <w:szCs w:val="21"/>
                <w:lang w:val="en-US" w:eastAsia="zh-CN" w:bidi="ar-SA"/>
              </w:rPr>
              <w:t>4</w:t>
            </w:r>
          </w:p>
        </w:tc>
        <w:tc>
          <w:tcPr>
            <w:tcW w:w="1285" w:type="pct"/>
            <w:tcBorders>
              <w:tl2br w:val="nil"/>
              <w:tr2bl w:val="nil"/>
            </w:tcBorders>
            <w:noWrap w:val="0"/>
            <w:vAlign w:val="center"/>
          </w:tcPr>
          <w:p w14:paraId="5C16A428">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204</w:t>
            </w:r>
            <w:r>
              <w:rPr>
                <w:rFonts w:hint="eastAsia" w:cs="Times New Roman"/>
                <w:color w:val="auto"/>
                <w:kern w:val="0"/>
                <w:sz w:val="21"/>
                <w:szCs w:val="21"/>
                <w:lang w:val="en-US" w:eastAsia="zh-CN" w:bidi="ar-SA"/>
              </w:rPr>
              <w:t>2</w:t>
            </w:r>
          </w:p>
        </w:tc>
      </w:tr>
      <w:tr w14:paraId="6DF85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690" w:type="pct"/>
            <w:vMerge w:val="restart"/>
            <w:tcBorders>
              <w:tl2br w:val="nil"/>
              <w:tr2bl w:val="nil"/>
            </w:tcBorders>
            <w:noWrap w:val="0"/>
            <w:vAlign w:val="center"/>
          </w:tcPr>
          <w:p w14:paraId="66EF465C">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小型车</w:t>
            </w:r>
          </w:p>
        </w:tc>
        <w:tc>
          <w:tcPr>
            <w:tcW w:w="1091" w:type="pct"/>
            <w:tcBorders>
              <w:tl2br w:val="nil"/>
              <w:tr2bl w:val="nil"/>
            </w:tcBorders>
            <w:noWrap w:val="0"/>
            <w:vAlign w:val="center"/>
          </w:tcPr>
          <w:p w14:paraId="45EA6D54">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昼间</w:t>
            </w:r>
          </w:p>
        </w:tc>
        <w:tc>
          <w:tcPr>
            <w:tcW w:w="907" w:type="pct"/>
            <w:tcBorders>
              <w:tl2br w:val="nil"/>
              <w:tr2bl w:val="nil"/>
            </w:tcBorders>
            <w:noWrap w:val="0"/>
            <w:vAlign w:val="center"/>
          </w:tcPr>
          <w:p w14:paraId="2B6D8366">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274</w:t>
            </w:r>
          </w:p>
        </w:tc>
        <w:tc>
          <w:tcPr>
            <w:tcW w:w="1026" w:type="pct"/>
            <w:tcBorders>
              <w:tl2br w:val="nil"/>
              <w:tr2bl w:val="nil"/>
            </w:tcBorders>
            <w:noWrap w:val="0"/>
            <w:vAlign w:val="center"/>
          </w:tcPr>
          <w:p w14:paraId="098FBDDB">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455</w:t>
            </w:r>
          </w:p>
        </w:tc>
        <w:tc>
          <w:tcPr>
            <w:tcW w:w="1285" w:type="pct"/>
            <w:tcBorders>
              <w:tl2br w:val="nil"/>
              <w:tr2bl w:val="nil"/>
            </w:tcBorders>
            <w:noWrap w:val="0"/>
            <w:vAlign w:val="center"/>
          </w:tcPr>
          <w:p w14:paraId="7ABD7CD3">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734</w:t>
            </w:r>
          </w:p>
        </w:tc>
      </w:tr>
      <w:tr w14:paraId="3B5DF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690" w:type="pct"/>
            <w:vMerge w:val="continue"/>
            <w:tcBorders>
              <w:tl2br w:val="nil"/>
              <w:tr2bl w:val="nil"/>
            </w:tcBorders>
            <w:noWrap w:val="0"/>
            <w:vAlign w:val="center"/>
          </w:tcPr>
          <w:p w14:paraId="216FA057">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91" w:type="pct"/>
            <w:tcBorders>
              <w:tl2br w:val="nil"/>
              <w:tr2bl w:val="nil"/>
            </w:tcBorders>
            <w:noWrap w:val="0"/>
            <w:vAlign w:val="center"/>
          </w:tcPr>
          <w:p w14:paraId="5F3DC17B">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夜间</w:t>
            </w:r>
          </w:p>
        </w:tc>
        <w:tc>
          <w:tcPr>
            <w:tcW w:w="907" w:type="pct"/>
            <w:tcBorders>
              <w:tl2br w:val="nil"/>
              <w:tr2bl w:val="nil"/>
            </w:tcBorders>
            <w:noWrap w:val="0"/>
            <w:vAlign w:val="center"/>
          </w:tcPr>
          <w:p w14:paraId="1C5A8179">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137</w:t>
            </w:r>
          </w:p>
        </w:tc>
        <w:tc>
          <w:tcPr>
            <w:tcW w:w="1026" w:type="pct"/>
            <w:tcBorders>
              <w:tl2br w:val="nil"/>
              <w:tr2bl w:val="nil"/>
            </w:tcBorders>
            <w:noWrap w:val="0"/>
            <w:vAlign w:val="center"/>
          </w:tcPr>
          <w:p w14:paraId="010919EE">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228</w:t>
            </w:r>
          </w:p>
        </w:tc>
        <w:tc>
          <w:tcPr>
            <w:tcW w:w="1285" w:type="pct"/>
            <w:tcBorders>
              <w:tl2br w:val="nil"/>
              <w:tr2bl w:val="nil"/>
            </w:tcBorders>
            <w:noWrap w:val="0"/>
            <w:vAlign w:val="center"/>
          </w:tcPr>
          <w:p w14:paraId="56D419BC">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367</w:t>
            </w:r>
          </w:p>
        </w:tc>
      </w:tr>
      <w:tr w14:paraId="2E8CE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 w:hRule="atLeast"/>
        </w:trPr>
        <w:tc>
          <w:tcPr>
            <w:tcW w:w="690" w:type="pct"/>
            <w:vMerge w:val="restart"/>
            <w:tcBorders>
              <w:tl2br w:val="nil"/>
              <w:tr2bl w:val="nil"/>
            </w:tcBorders>
            <w:noWrap w:val="0"/>
            <w:vAlign w:val="center"/>
          </w:tcPr>
          <w:p w14:paraId="2C0D5C5B">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中型车</w:t>
            </w:r>
          </w:p>
        </w:tc>
        <w:tc>
          <w:tcPr>
            <w:tcW w:w="1091" w:type="pct"/>
            <w:tcBorders>
              <w:tl2br w:val="nil"/>
              <w:tr2bl w:val="nil"/>
            </w:tcBorders>
            <w:noWrap w:val="0"/>
            <w:vAlign w:val="center"/>
          </w:tcPr>
          <w:p w14:paraId="71CFCBCD">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昼间</w:t>
            </w:r>
          </w:p>
        </w:tc>
        <w:tc>
          <w:tcPr>
            <w:tcW w:w="907" w:type="pct"/>
            <w:tcBorders>
              <w:tl2br w:val="nil"/>
              <w:tr2bl w:val="nil"/>
            </w:tcBorders>
            <w:noWrap w:val="0"/>
            <w:vAlign w:val="center"/>
          </w:tcPr>
          <w:p w14:paraId="27148B86">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6</w:t>
            </w:r>
          </w:p>
        </w:tc>
        <w:tc>
          <w:tcPr>
            <w:tcW w:w="1026" w:type="pct"/>
            <w:tcBorders>
              <w:tl2br w:val="nil"/>
              <w:tr2bl w:val="nil"/>
            </w:tcBorders>
            <w:noWrap w:val="0"/>
            <w:vAlign w:val="center"/>
          </w:tcPr>
          <w:p w14:paraId="6B873473">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9</w:t>
            </w:r>
          </w:p>
        </w:tc>
        <w:tc>
          <w:tcPr>
            <w:tcW w:w="1285" w:type="pct"/>
            <w:tcBorders>
              <w:tl2br w:val="nil"/>
              <w:tr2bl w:val="nil"/>
            </w:tcBorders>
            <w:noWrap w:val="0"/>
            <w:vAlign w:val="center"/>
          </w:tcPr>
          <w:p w14:paraId="41AC15E3">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18</w:t>
            </w:r>
          </w:p>
        </w:tc>
      </w:tr>
      <w:tr w14:paraId="0BAC4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 w:hRule="atLeast"/>
        </w:trPr>
        <w:tc>
          <w:tcPr>
            <w:tcW w:w="690" w:type="pct"/>
            <w:vMerge w:val="continue"/>
            <w:tcBorders>
              <w:tl2br w:val="nil"/>
              <w:tr2bl w:val="nil"/>
            </w:tcBorders>
            <w:noWrap w:val="0"/>
            <w:vAlign w:val="center"/>
          </w:tcPr>
          <w:p w14:paraId="4638112C">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91" w:type="pct"/>
            <w:tcBorders>
              <w:tl2br w:val="nil"/>
              <w:tr2bl w:val="nil"/>
            </w:tcBorders>
            <w:noWrap w:val="0"/>
            <w:vAlign w:val="center"/>
          </w:tcPr>
          <w:p w14:paraId="3AC89C33">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夜间</w:t>
            </w:r>
          </w:p>
        </w:tc>
        <w:tc>
          <w:tcPr>
            <w:tcW w:w="907" w:type="pct"/>
            <w:tcBorders>
              <w:tl2br w:val="nil"/>
              <w:tr2bl w:val="nil"/>
            </w:tcBorders>
            <w:noWrap w:val="0"/>
            <w:vAlign w:val="center"/>
          </w:tcPr>
          <w:p w14:paraId="61B1D758">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3</w:t>
            </w:r>
          </w:p>
        </w:tc>
        <w:tc>
          <w:tcPr>
            <w:tcW w:w="1026" w:type="pct"/>
            <w:tcBorders>
              <w:tl2br w:val="nil"/>
              <w:tr2bl w:val="nil"/>
            </w:tcBorders>
            <w:noWrap w:val="0"/>
            <w:vAlign w:val="center"/>
          </w:tcPr>
          <w:p w14:paraId="562E43C3">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4</w:t>
            </w:r>
          </w:p>
        </w:tc>
        <w:tc>
          <w:tcPr>
            <w:tcW w:w="1285" w:type="pct"/>
            <w:tcBorders>
              <w:tl2br w:val="nil"/>
              <w:tr2bl w:val="nil"/>
            </w:tcBorders>
            <w:noWrap w:val="0"/>
            <w:vAlign w:val="center"/>
          </w:tcPr>
          <w:p w14:paraId="1915CD88">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9</w:t>
            </w:r>
          </w:p>
        </w:tc>
      </w:tr>
      <w:tr w14:paraId="0224E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trPr>
        <w:tc>
          <w:tcPr>
            <w:tcW w:w="690" w:type="pct"/>
            <w:vMerge w:val="restart"/>
            <w:tcBorders>
              <w:tl2br w:val="nil"/>
              <w:tr2bl w:val="nil"/>
            </w:tcBorders>
            <w:noWrap w:val="0"/>
            <w:vAlign w:val="center"/>
          </w:tcPr>
          <w:p w14:paraId="6A3E8CB5">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大型车</w:t>
            </w:r>
          </w:p>
        </w:tc>
        <w:tc>
          <w:tcPr>
            <w:tcW w:w="1091" w:type="pct"/>
            <w:tcBorders>
              <w:tl2br w:val="nil"/>
              <w:tr2bl w:val="nil"/>
            </w:tcBorders>
            <w:noWrap w:val="0"/>
            <w:vAlign w:val="center"/>
          </w:tcPr>
          <w:p w14:paraId="0F790A32">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昼间</w:t>
            </w:r>
          </w:p>
        </w:tc>
        <w:tc>
          <w:tcPr>
            <w:tcW w:w="907" w:type="pct"/>
            <w:tcBorders>
              <w:tl2br w:val="nil"/>
              <w:tr2bl w:val="nil"/>
            </w:tcBorders>
            <w:noWrap w:val="0"/>
            <w:vAlign w:val="center"/>
          </w:tcPr>
          <w:p w14:paraId="7DDDF250">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9</w:t>
            </w:r>
          </w:p>
        </w:tc>
        <w:tc>
          <w:tcPr>
            <w:tcW w:w="1026" w:type="pct"/>
            <w:tcBorders>
              <w:tl2br w:val="nil"/>
              <w:tr2bl w:val="nil"/>
            </w:tcBorders>
            <w:noWrap w:val="0"/>
            <w:vAlign w:val="center"/>
          </w:tcPr>
          <w:p w14:paraId="2E210B90">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w:t>
            </w:r>
          </w:p>
        </w:tc>
        <w:tc>
          <w:tcPr>
            <w:tcW w:w="1285" w:type="pct"/>
            <w:tcBorders>
              <w:tl2br w:val="nil"/>
              <w:tr2bl w:val="nil"/>
            </w:tcBorders>
            <w:noWrap w:val="0"/>
            <w:vAlign w:val="center"/>
          </w:tcPr>
          <w:p w14:paraId="4F8011A6">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24</w:t>
            </w:r>
          </w:p>
        </w:tc>
      </w:tr>
      <w:tr w14:paraId="68A13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 w:hRule="atLeast"/>
        </w:trPr>
        <w:tc>
          <w:tcPr>
            <w:tcW w:w="690" w:type="pct"/>
            <w:vMerge w:val="continue"/>
            <w:tcBorders>
              <w:tl2br w:val="nil"/>
              <w:tr2bl w:val="nil"/>
            </w:tcBorders>
            <w:noWrap w:val="0"/>
            <w:vAlign w:val="center"/>
          </w:tcPr>
          <w:p w14:paraId="2EF95007">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91" w:type="pct"/>
            <w:tcBorders>
              <w:tl2br w:val="nil"/>
              <w:tr2bl w:val="nil"/>
            </w:tcBorders>
            <w:noWrap w:val="0"/>
            <w:vAlign w:val="center"/>
          </w:tcPr>
          <w:p w14:paraId="069E2701">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夜间</w:t>
            </w:r>
          </w:p>
        </w:tc>
        <w:tc>
          <w:tcPr>
            <w:tcW w:w="907" w:type="pct"/>
            <w:tcBorders>
              <w:tl2br w:val="nil"/>
              <w:tr2bl w:val="nil"/>
            </w:tcBorders>
            <w:noWrap w:val="0"/>
            <w:vAlign w:val="center"/>
          </w:tcPr>
          <w:p w14:paraId="4D8F7329">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5</w:t>
            </w:r>
          </w:p>
        </w:tc>
        <w:tc>
          <w:tcPr>
            <w:tcW w:w="1026" w:type="pct"/>
            <w:tcBorders>
              <w:tl2br w:val="nil"/>
              <w:tr2bl w:val="nil"/>
            </w:tcBorders>
            <w:noWrap w:val="0"/>
            <w:vAlign w:val="center"/>
          </w:tcPr>
          <w:p w14:paraId="78D12C48">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10</w:t>
            </w:r>
          </w:p>
        </w:tc>
        <w:tc>
          <w:tcPr>
            <w:tcW w:w="1285" w:type="pct"/>
            <w:tcBorders>
              <w:tl2br w:val="nil"/>
              <w:tr2bl w:val="nil"/>
            </w:tcBorders>
            <w:noWrap w:val="0"/>
            <w:vAlign w:val="center"/>
          </w:tcPr>
          <w:p w14:paraId="09BA67E8">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12</w:t>
            </w:r>
          </w:p>
        </w:tc>
      </w:tr>
    </w:tbl>
    <w:p w14:paraId="3C48AAA6">
      <w:pPr>
        <w:pStyle w:val="4"/>
        <w:keepNext/>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3.2.</w:t>
      </w:r>
      <w:r>
        <w:rPr>
          <w:rFonts w:hint="eastAsia" w:ascii="Times New Roman" w:hAnsi="Times New Roman" w:cs="Times New Roman"/>
          <w:color w:val="auto"/>
          <w:lang w:val="en-US" w:eastAsia="zh-CN"/>
        </w:rPr>
        <w:t>5</w:t>
      </w:r>
      <w:r>
        <w:rPr>
          <w:rFonts w:hint="default" w:ascii="Times New Roman" w:hAnsi="Times New Roman" w:cs="Times New Roman"/>
          <w:color w:val="auto"/>
          <w:lang w:val="en-US" w:eastAsia="zh-CN"/>
        </w:rPr>
        <w:t xml:space="preserve"> 施工组织</w:t>
      </w:r>
    </w:p>
    <w:p w14:paraId="103E5B13">
      <w:pPr>
        <w:pStyle w:val="5"/>
        <w:bidi w:val="0"/>
        <w:rPr>
          <w:rFonts w:hint="default" w:ascii="Times New Roman" w:hAnsi="Times New Roman" w:eastAsia="宋体" w:cs="Times New Roman"/>
          <w:color w:val="auto"/>
          <w:szCs w:val="24"/>
          <w:lang w:val="en-US" w:eastAsia="zh-CN"/>
        </w:rPr>
      </w:pPr>
      <w:r>
        <w:rPr>
          <w:rFonts w:hint="default" w:ascii="Times New Roman" w:hAnsi="Times New Roman" w:cs="Times New Roman"/>
          <w:color w:val="auto"/>
          <w:lang w:val="en-US" w:eastAsia="zh-CN"/>
        </w:rPr>
        <w:t>3.2.</w:t>
      </w:r>
      <w:r>
        <w:rPr>
          <w:rFonts w:hint="eastAsia" w:ascii="Times New Roman" w:hAnsi="Times New Roman" w:cs="Times New Roman"/>
          <w:color w:val="auto"/>
          <w:lang w:val="en-US" w:eastAsia="zh-CN"/>
        </w:rPr>
        <w:t>5</w:t>
      </w:r>
      <w:r>
        <w:rPr>
          <w:rFonts w:hint="default" w:ascii="Times New Roman" w:hAnsi="Times New Roman" w:cs="Times New Roman"/>
          <w:color w:val="auto"/>
          <w:lang w:val="en-US" w:eastAsia="zh-CN"/>
        </w:rPr>
        <w:t>.1 施工布置</w:t>
      </w:r>
    </w:p>
    <w:p w14:paraId="559E2625">
      <w:pPr>
        <w:keepNext w:val="0"/>
        <w:keepLines w:val="0"/>
        <w:widowControl/>
        <w:suppressLineNumbers w:val="0"/>
        <w:jc w:val="left"/>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根据项目布置情况，本项目设置两处施工生产区。</w:t>
      </w:r>
      <w:r>
        <w:rPr>
          <w:rFonts w:hint="eastAsia" w:cs="Times New Roman"/>
          <w:color w:val="auto"/>
          <w:kern w:val="0"/>
          <w:sz w:val="24"/>
          <w:szCs w:val="24"/>
          <w:highlight w:val="none"/>
          <w:lang w:val="en-US" w:eastAsia="zh-CN" w:bidi="ar"/>
        </w:rPr>
        <w:t>见图3.2-3 施工平面布置图。</w:t>
      </w:r>
    </w:p>
    <w:p w14:paraId="4DF59787">
      <w:pPr>
        <w:keepNext w:val="0"/>
        <w:keepLines w:val="0"/>
        <w:widowControl/>
        <w:suppressLineNumbers w:val="0"/>
        <w:jc w:val="left"/>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1#施工生产区位于隧道进口附近，占地面积为13515m</w:t>
      </w:r>
      <w:r>
        <w:rPr>
          <w:rFonts w:hint="default" w:ascii="Times New Roman" w:hAnsi="Times New Roman" w:eastAsia="宋体" w:cs="Times New Roman"/>
          <w:color w:val="auto"/>
          <w:kern w:val="0"/>
          <w:sz w:val="24"/>
          <w:szCs w:val="24"/>
          <w:highlight w:val="none"/>
          <w:vertAlign w:val="super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设有水稳拌合站、混凝土拌合站、沥青拌合站、施工车辆停放点及施工原材料等。其中水稳拌合站生产规模约为56155t/a，水泥预制厂生产规模为3459t/a，沥青拌合站年生产沥青拌合为67657.49t/a，混凝土拌合年生产65805t/a。</w:t>
      </w:r>
    </w:p>
    <w:p w14:paraId="54698916">
      <w:pPr>
        <w:keepNext w:val="0"/>
        <w:keepLines w:val="0"/>
        <w:widowControl/>
        <w:suppressLineNumbers w:val="0"/>
        <w:jc w:val="left"/>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2#施工生产区位于K10+700处，占地面积为12306m</w:t>
      </w:r>
      <w:r>
        <w:rPr>
          <w:rFonts w:hint="default" w:ascii="Times New Roman" w:hAnsi="Times New Roman" w:eastAsia="宋体" w:cs="Times New Roman"/>
          <w:color w:val="auto"/>
          <w:kern w:val="0"/>
          <w:sz w:val="24"/>
          <w:szCs w:val="24"/>
          <w:highlight w:val="none"/>
          <w:vertAlign w:val="super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，设有预制场、施工车辆停放点及施工原材料等。其中预制场生产规模为3459t/a。</w:t>
      </w:r>
    </w:p>
    <w:p w14:paraId="7D2A285F">
      <w:pPr>
        <w:keepNext w:val="0"/>
        <w:keepLines w:val="0"/>
        <w:widowControl/>
        <w:suppressLineNumbers w:val="0"/>
        <w:jc w:val="left"/>
        <w:rPr>
          <w:rFonts w:hint="eastAsia" w:eastAsia="宋体"/>
          <w:color w:val="auto"/>
          <w:lang w:eastAsia="zh-CN"/>
        </w:rPr>
      </w:pPr>
      <w:r>
        <w:rPr>
          <w:rFonts w:hint="eastAsia" w:cs="Times New Roman"/>
          <w:color w:val="auto"/>
          <w:kern w:val="0"/>
          <w:sz w:val="24"/>
          <w:szCs w:val="24"/>
          <w:highlight w:val="none"/>
          <w:lang w:val="en-US" w:eastAsia="zh-CN" w:bidi="ar"/>
        </w:rPr>
        <w:t xml:space="preserve">本项目施工生产区域内的临时工程，涵盖水稳拌合站、混凝土拌合站及沥青拌合站，其建设与运营旨在完全契合本工程施工阶段对各类拌合材料的特定需求，专门为保障本工程顺利实施提供配套服务。在项目整体建设任务全面达成后，这些临时设施将依据既定施工计划和现场管理要求，被按时、有序且全面地拆除，以保证场地恢复至初始状态，避免对后续环境或土地利用产生任何遗留影响。 </w:t>
      </w:r>
    </w:p>
    <w:p w14:paraId="35EC75DF">
      <w:pPr>
        <w:pageBreakBefore w:val="0"/>
        <w:kinsoku/>
        <w:wordWrap/>
        <w:bidi w:val="0"/>
        <w:adjustRightInd/>
        <w:snapToGrid/>
        <w:spacing w:line="228" w:lineRule="auto"/>
        <w:ind w:left="2728" w:right="0" w:firstLine="211" w:firstLineChars="100"/>
        <w:rPr>
          <w:rFonts w:hint="default" w:ascii="Times New Roman" w:hAnsi="Times New Roman" w:cs="Times New Roman"/>
          <w:color w:val="auto"/>
          <w:sz w:val="21"/>
        </w:rPr>
      </w:pPr>
      <w:r>
        <w:rPr>
          <w:rFonts w:hint="default" w:ascii="Times New Roman" w:hAnsi="Times New Roman" w:eastAsia="宋体" w:cs="Times New Roman"/>
          <w:b/>
          <w:bCs/>
          <w:color w:val="auto"/>
          <w:spacing w:val="5"/>
          <w:sz w:val="20"/>
          <w:szCs w:val="20"/>
        </w:rPr>
        <w:t>表</w:t>
      </w:r>
      <w:r>
        <w:rPr>
          <w:rFonts w:hint="default" w:ascii="Times New Roman" w:hAnsi="Times New Roman" w:eastAsia="宋体" w:cs="Times New Roman"/>
          <w:color w:val="auto"/>
          <w:spacing w:val="-35"/>
          <w:sz w:val="20"/>
          <w:szCs w:val="20"/>
        </w:rPr>
        <w:t xml:space="preserve"> </w:t>
      </w:r>
      <w:r>
        <w:rPr>
          <w:rFonts w:hint="eastAsia" w:ascii="Times New Roman" w:hAnsi="Times New Roman" w:cs="Times New Roman"/>
          <w:b/>
          <w:bCs/>
          <w:color w:val="auto"/>
          <w:spacing w:val="5"/>
          <w:sz w:val="20"/>
          <w:szCs w:val="20"/>
          <w:lang w:val="en-US" w:eastAsia="zh-CN"/>
        </w:rPr>
        <w:t>3.2-1</w:t>
      </w:r>
      <w:r>
        <w:rPr>
          <w:rFonts w:hint="eastAsia" w:cs="Times New Roman"/>
          <w:b/>
          <w:bCs/>
          <w:color w:val="auto"/>
          <w:spacing w:val="5"/>
          <w:sz w:val="20"/>
          <w:szCs w:val="20"/>
          <w:lang w:val="en-US" w:eastAsia="zh-CN"/>
        </w:rPr>
        <w:t>3</w:t>
      </w:r>
      <w:r>
        <w:rPr>
          <w:rFonts w:hint="default" w:ascii="Times New Roman" w:hAnsi="Times New Roman" w:eastAsia="Times New Roman" w:cs="Times New Roman"/>
          <w:b/>
          <w:bCs/>
          <w:color w:val="auto"/>
          <w:spacing w:val="5"/>
          <w:sz w:val="20"/>
          <w:szCs w:val="20"/>
        </w:rPr>
        <w:t xml:space="preserve">  </w:t>
      </w:r>
      <w:r>
        <w:rPr>
          <w:rFonts w:hint="default" w:ascii="Times New Roman" w:hAnsi="Times New Roman" w:eastAsia="宋体" w:cs="Times New Roman"/>
          <w:b/>
          <w:bCs/>
          <w:color w:val="auto"/>
          <w:spacing w:val="5"/>
          <w:sz w:val="20"/>
          <w:szCs w:val="20"/>
          <w:lang w:val="en-US" w:eastAsia="zh-CN"/>
        </w:rPr>
        <w:t xml:space="preserve"> </w:t>
      </w:r>
      <w:r>
        <w:rPr>
          <w:rFonts w:hint="default" w:ascii="Times New Roman" w:hAnsi="Times New Roman" w:eastAsia="Times New Roman" w:cs="Times New Roman"/>
          <w:b/>
          <w:bCs/>
          <w:color w:val="auto"/>
          <w:spacing w:val="5"/>
          <w:sz w:val="20"/>
          <w:szCs w:val="20"/>
        </w:rPr>
        <w:t xml:space="preserve"> </w:t>
      </w:r>
      <w:r>
        <w:rPr>
          <w:rFonts w:hint="default" w:ascii="Times New Roman" w:hAnsi="Times New Roman" w:eastAsia="宋体" w:cs="Times New Roman"/>
          <w:b/>
          <w:bCs/>
          <w:color w:val="auto"/>
          <w:spacing w:val="5"/>
          <w:sz w:val="20"/>
          <w:szCs w:val="20"/>
          <w:lang w:val="en-US" w:eastAsia="zh-CN"/>
        </w:rPr>
        <w:t>施工生产区情况</w:t>
      </w:r>
      <w:r>
        <w:rPr>
          <w:rFonts w:hint="default" w:ascii="Times New Roman" w:hAnsi="Times New Roman" w:eastAsia="宋体" w:cs="Times New Roman"/>
          <w:b/>
          <w:bCs/>
          <w:color w:val="auto"/>
          <w:spacing w:val="5"/>
          <w:sz w:val="20"/>
          <w:szCs w:val="20"/>
        </w:rPr>
        <w:t>一览表</w:t>
      </w:r>
    </w:p>
    <w:tbl>
      <w:tblPr>
        <w:tblStyle w:val="125"/>
        <w:tblW w:w="4996"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391"/>
        <w:gridCol w:w="628"/>
        <w:gridCol w:w="768"/>
        <w:gridCol w:w="1067"/>
        <w:gridCol w:w="833"/>
        <w:gridCol w:w="3644"/>
        <w:gridCol w:w="975"/>
      </w:tblGrid>
      <w:tr w14:paraId="076F46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235" w:type="pct"/>
            <w:tcBorders>
              <w:tl2br w:val="nil"/>
              <w:tr2bl w:val="nil"/>
            </w:tcBorders>
            <w:noWrap w:val="0"/>
            <w:vAlign w:val="center"/>
          </w:tcPr>
          <w:p w14:paraId="6EFD0BFB">
            <w:pPr>
              <w:keepNext w:val="0"/>
              <w:keepLines w:val="0"/>
              <w:pageBreakBefore w:val="0"/>
              <w:widowControl w:val="0"/>
              <w:kinsoku/>
              <w:wordWrap/>
              <w:overflowPunct/>
              <w:topLinePunct w:val="0"/>
              <w:autoSpaceDE/>
              <w:autoSpaceDN/>
              <w:bidi w:val="0"/>
              <w:adjustRightInd/>
              <w:snapToGrid/>
              <w:spacing w:line="240" w:lineRule="auto"/>
              <w:ind w:left="114" w:right="0" w:firstLine="0" w:firstLine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b/>
                <w:bCs/>
                <w:color w:val="auto"/>
                <w:spacing w:val="4"/>
                <w:kern w:val="2"/>
                <w:sz w:val="21"/>
                <w:szCs w:val="21"/>
                <w:lang w:val="en-US" w:eastAsia="en-US" w:bidi="ar-SA"/>
              </w:rPr>
              <w:t>序号</w:t>
            </w:r>
          </w:p>
        </w:tc>
        <w:tc>
          <w:tcPr>
            <w:tcW w:w="378" w:type="pct"/>
            <w:tcBorders>
              <w:tl2br w:val="nil"/>
              <w:tr2bl w:val="nil"/>
            </w:tcBorders>
            <w:noWrap w:val="0"/>
            <w:vAlign w:val="center"/>
          </w:tcPr>
          <w:p w14:paraId="28113223">
            <w:pPr>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b/>
                <w:bCs/>
                <w:color w:val="auto"/>
                <w:spacing w:val="2"/>
                <w:kern w:val="2"/>
                <w:sz w:val="21"/>
                <w:szCs w:val="21"/>
                <w:lang w:val="en-US" w:eastAsia="en-US" w:bidi="ar-SA"/>
              </w:rPr>
              <w:t>名称</w:t>
            </w:r>
          </w:p>
        </w:tc>
        <w:tc>
          <w:tcPr>
            <w:tcW w:w="462" w:type="pct"/>
            <w:tcBorders>
              <w:tl2br w:val="nil"/>
              <w:tr2bl w:val="nil"/>
            </w:tcBorders>
            <w:noWrap w:val="0"/>
            <w:vAlign w:val="center"/>
          </w:tcPr>
          <w:p w14:paraId="102D2C0C">
            <w:pPr>
              <w:keepNext w:val="0"/>
              <w:keepLines w:val="0"/>
              <w:pageBreakBefore w:val="0"/>
              <w:widowControl w:val="0"/>
              <w:kinsoku/>
              <w:wordWrap/>
              <w:overflowPunct/>
              <w:topLinePunct w:val="0"/>
              <w:autoSpaceDE/>
              <w:autoSpaceDN/>
              <w:bidi w:val="0"/>
              <w:adjustRightInd/>
              <w:snapToGrid/>
              <w:spacing w:line="240" w:lineRule="auto"/>
              <w:ind w:left="40" w:right="0" w:firstLine="0" w:firstLineChars="0"/>
              <w:jc w:val="center"/>
              <w:textAlignment w:val="auto"/>
              <w:rPr>
                <w:rFonts w:hint="default" w:ascii="Times New Roman" w:hAnsi="Times New Roman" w:eastAsia="宋体" w:cs="Times New Roman"/>
                <w:b/>
                <w:bCs/>
                <w:color w:val="auto"/>
                <w:spacing w:val="6"/>
                <w:kern w:val="2"/>
                <w:sz w:val="21"/>
                <w:szCs w:val="21"/>
                <w:lang w:val="en-US" w:eastAsia="en-US" w:bidi="ar-SA"/>
              </w:rPr>
            </w:pPr>
            <w:r>
              <w:rPr>
                <w:rFonts w:hint="default" w:ascii="Times New Roman" w:hAnsi="Times New Roman" w:eastAsia="宋体" w:cs="Times New Roman"/>
                <w:b/>
                <w:bCs/>
                <w:color w:val="auto"/>
                <w:spacing w:val="6"/>
                <w:kern w:val="2"/>
                <w:sz w:val="21"/>
                <w:szCs w:val="21"/>
                <w:lang w:val="en-US" w:eastAsia="en-US" w:bidi="ar-SA"/>
              </w:rPr>
              <w:t>用地面积</w:t>
            </w:r>
          </w:p>
          <w:p w14:paraId="7BB096F5">
            <w:pPr>
              <w:keepNext w:val="0"/>
              <w:keepLines w:val="0"/>
              <w:pageBreakBefore w:val="0"/>
              <w:widowControl w:val="0"/>
              <w:kinsoku/>
              <w:wordWrap/>
              <w:overflowPunct/>
              <w:topLinePunct w:val="0"/>
              <w:autoSpaceDE/>
              <w:autoSpaceDN/>
              <w:bidi w:val="0"/>
              <w:adjustRightInd/>
              <w:snapToGrid/>
              <w:spacing w:line="240" w:lineRule="auto"/>
              <w:ind w:left="40" w:right="0" w:firstLine="0" w:firstLine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b/>
                <w:bCs/>
                <w:color w:val="auto"/>
                <w:spacing w:val="1"/>
                <w:kern w:val="2"/>
                <w:sz w:val="21"/>
                <w:szCs w:val="21"/>
                <w:lang w:val="en-US" w:eastAsia="en-US" w:bidi="ar-SA"/>
              </w:rPr>
              <w:t>（</w:t>
            </w:r>
            <w:r>
              <w:rPr>
                <w:rFonts w:hint="default" w:ascii="Times New Roman" w:hAnsi="Times New Roman" w:eastAsia="Times New Roman" w:cs="Times New Roman"/>
                <w:b/>
                <w:bCs/>
                <w:color w:val="auto"/>
                <w:kern w:val="2"/>
                <w:sz w:val="21"/>
                <w:szCs w:val="21"/>
                <w:lang w:val="en-US" w:eastAsia="en-US" w:bidi="ar-SA"/>
              </w:rPr>
              <w:t>m</w:t>
            </w:r>
            <w:r>
              <w:rPr>
                <w:rFonts w:hint="default" w:ascii="Times New Roman" w:hAnsi="Times New Roman" w:eastAsia="宋体" w:cs="Times New Roman"/>
                <w:b/>
                <w:bCs/>
                <w:color w:val="auto"/>
                <w:kern w:val="2"/>
                <w:sz w:val="21"/>
                <w:szCs w:val="21"/>
                <w:vertAlign w:val="superscript"/>
                <w:lang w:val="en-US" w:eastAsia="zh-CN" w:bidi="ar-SA"/>
              </w:rPr>
              <w:t>2</w:t>
            </w:r>
            <w:r>
              <w:rPr>
                <w:rFonts w:hint="default" w:ascii="Times New Roman" w:hAnsi="Times New Roman" w:eastAsia="宋体" w:cs="Times New Roman"/>
                <w:b/>
                <w:bCs/>
                <w:color w:val="auto"/>
                <w:spacing w:val="1"/>
                <w:kern w:val="2"/>
                <w:sz w:val="21"/>
                <w:szCs w:val="21"/>
                <w:lang w:val="en-US" w:eastAsia="en-US" w:bidi="ar-SA"/>
              </w:rPr>
              <w:t>）</w:t>
            </w:r>
          </w:p>
        </w:tc>
        <w:tc>
          <w:tcPr>
            <w:tcW w:w="642" w:type="pct"/>
            <w:tcBorders>
              <w:tl2br w:val="nil"/>
              <w:tr2bl w:val="nil"/>
            </w:tcBorders>
            <w:noWrap w:val="0"/>
            <w:vAlign w:val="center"/>
          </w:tcPr>
          <w:p w14:paraId="53F129AF">
            <w:pPr>
              <w:keepNext w:val="0"/>
              <w:keepLines w:val="0"/>
              <w:pageBreakBefore w:val="0"/>
              <w:widowControl w:val="0"/>
              <w:kinsoku/>
              <w:wordWrap/>
              <w:overflowPunct/>
              <w:topLinePunct w:val="0"/>
              <w:autoSpaceDE/>
              <w:autoSpaceDN/>
              <w:bidi w:val="0"/>
              <w:adjustRightInd/>
              <w:snapToGrid/>
              <w:spacing w:line="240" w:lineRule="auto"/>
              <w:ind w:left="112" w:right="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pacing w:val="6"/>
                <w:kern w:val="2"/>
                <w:sz w:val="21"/>
                <w:szCs w:val="21"/>
                <w:lang w:val="en-US" w:eastAsia="zh-CN" w:bidi="ar-SA"/>
              </w:rPr>
              <w:t>占地类型</w:t>
            </w:r>
          </w:p>
        </w:tc>
        <w:tc>
          <w:tcPr>
            <w:tcW w:w="501" w:type="pct"/>
            <w:tcBorders>
              <w:tl2br w:val="nil"/>
              <w:tr2bl w:val="nil"/>
            </w:tcBorders>
            <w:noWrap w:val="0"/>
            <w:vAlign w:val="center"/>
          </w:tcPr>
          <w:p w14:paraId="49D1CE31">
            <w:pPr>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b/>
                <w:bCs/>
                <w:color w:val="auto"/>
                <w:spacing w:val="3"/>
                <w:kern w:val="2"/>
                <w:sz w:val="21"/>
                <w:szCs w:val="21"/>
                <w:lang w:val="en-US" w:eastAsia="en-US" w:bidi="ar-SA"/>
              </w:rPr>
              <w:t>类型</w:t>
            </w:r>
          </w:p>
        </w:tc>
        <w:tc>
          <w:tcPr>
            <w:tcW w:w="2192" w:type="pct"/>
            <w:tcBorders>
              <w:tl2br w:val="nil"/>
              <w:tr2bl w:val="nil"/>
            </w:tcBorders>
            <w:noWrap w:val="0"/>
            <w:vAlign w:val="center"/>
          </w:tcPr>
          <w:p w14:paraId="65075C6F">
            <w:pPr>
              <w:keepNext w:val="0"/>
              <w:keepLines w:val="0"/>
              <w:pageBreakBefore w:val="0"/>
              <w:widowControl w:val="0"/>
              <w:kinsoku/>
              <w:wordWrap/>
              <w:overflowPunct/>
              <w:topLinePunct w:val="0"/>
              <w:autoSpaceDE/>
              <w:autoSpaceDN/>
              <w:bidi w:val="0"/>
              <w:adjustRightInd/>
              <w:snapToGrid/>
              <w:spacing w:line="240" w:lineRule="auto"/>
              <w:ind w:left="124" w:right="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功能类别</w:t>
            </w:r>
          </w:p>
        </w:tc>
        <w:tc>
          <w:tcPr>
            <w:tcW w:w="586" w:type="pct"/>
            <w:tcBorders>
              <w:tl2br w:val="nil"/>
              <w:tr2bl w:val="nil"/>
            </w:tcBorders>
            <w:noWrap w:val="0"/>
            <w:vAlign w:val="center"/>
          </w:tcPr>
          <w:p w14:paraId="139AD773">
            <w:pPr>
              <w:keepNext w:val="0"/>
              <w:keepLines w:val="0"/>
              <w:pageBreakBefore w:val="0"/>
              <w:widowControl w:val="0"/>
              <w:kinsoku/>
              <w:wordWrap/>
              <w:overflowPunct/>
              <w:topLinePunct w:val="0"/>
              <w:autoSpaceDE/>
              <w:autoSpaceDN/>
              <w:bidi w:val="0"/>
              <w:adjustRightInd/>
              <w:snapToGrid/>
              <w:spacing w:line="240" w:lineRule="auto"/>
              <w:ind w:left="124" w:leftChars="0" w:right="0" w:firstLine="0" w:firstLineChars="0"/>
              <w:jc w:val="center"/>
              <w:textAlignment w:val="auto"/>
              <w:rPr>
                <w:rFonts w:hint="default" w:ascii="Times New Roman" w:hAnsi="Times New Roman" w:eastAsia="宋体" w:cs="Times New Roman"/>
                <w:b/>
                <w:bCs/>
                <w:color w:val="auto"/>
                <w:spacing w:val="3"/>
                <w:kern w:val="2"/>
                <w:sz w:val="21"/>
                <w:szCs w:val="21"/>
                <w:lang w:val="en-US" w:eastAsia="en-US" w:bidi="ar-SA"/>
              </w:rPr>
            </w:pPr>
            <w:r>
              <w:rPr>
                <w:rFonts w:hint="default" w:ascii="Times New Roman" w:hAnsi="Times New Roman" w:eastAsia="宋体" w:cs="Times New Roman"/>
                <w:b/>
                <w:bCs/>
                <w:color w:val="auto"/>
                <w:spacing w:val="3"/>
                <w:kern w:val="2"/>
                <w:sz w:val="21"/>
                <w:szCs w:val="21"/>
                <w:lang w:val="en-US" w:eastAsia="en-US" w:bidi="ar-SA"/>
              </w:rPr>
              <w:t>标段</w:t>
            </w:r>
          </w:p>
        </w:tc>
      </w:tr>
      <w:tr w14:paraId="2BEB36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9" w:hRule="atLeast"/>
        </w:trPr>
        <w:tc>
          <w:tcPr>
            <w:tcW w:w="235" w:type="pct"/>
            <w:tcBorders>
              <w:tl2br w:val="nil"/>
              <w:tr2bl w:val="nil"/>
            </w:tcBorders>
            <w:noWrap w:val="0"/>
            <w:vAlign w:val="center"/>
          </w:tcPr>
          <w:p w14:paraId="2842728D">
            <w:pPr>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378" w:type="pct"/>
            <w:tcBorders>
              <w:tl2br w:val="nil"/>
              <w:tr2bl w:val="nil"/>
            </w:tcBorders>
            <w:noWrap w:val="0"/>
            <w:vAlign w:val="center"/>
          </w:tcPr>
          <w:p w14:paraId="45E83C3A">
            <w:pPr>
              <w:keepNext w:val="0"/>
              <w:keepLines w:val="0"/>
              <w:pageBreakBefore w:val="0"/>
              <w:widowControl w:val="0"/>
              <w:kinsoku/>
              <w:wordWrap/>
              <w:overflowPunct/>
              <w:topLinePunct w:val="0"/>
              <w:autoSpaceDE/>
              <w:autoSpaceDN/>
              <w:bidi w:val="0"/>
              <w:adjustRightInd/>
              <w:snapToGrid/>
              <w:spacing w:line="240" w:lineRule="auto"/>
              <w:ind w:left="136" w:right="0" w:firstLine="0" w:firstLine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kern w:val="2"/>
                <w:sz w:val="21"/>
                <w:szCs w:val="21"/>
                <w:lang w:val="en-US" w:eastAsia="zh-CN" w:bidi="ar-SA"/>
              </w:rPr>
              <w:t>1#施工生产区</w:t>
            </w:r>
          </w:p>
        </w:tc>
        <w:tc>
          <w:tcPr>
            <w:tcW w:w="462" w:type="pct"/>
            <w:tcBorders>
              <w:tl2br w:val="nil"/>
              <w:tr2bl w:val="nil"/>
            </w:tcBorders>
            <w:noWrap w:val="0"/>
            <w:vAlign w:val="center"/>
          </w:tcPr>
          <w:p w14:paraId="1C3541B0">
            <w:pPr>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Times New Roman" w:cs="Times New Roman"/>
                <w:color w:val="auto"/>
                <w:sz w:val="21"/>
                <w:szCs w:val="21"/>
                <w:lang w:val="en-US"/>
              </w:rPr>
            </w:pPr>
            <w:r>
              <w:rPr>
                <w:rFonts w:hint="default" w:ascii="Times New Roman" w:hAnsi="Times New Roman" w:eastAsia="Times New Roman" w:cs="Times New Roman"/>
                <w:color w:val="auto"/>
                <w:sz w:val="21"/>
                <w:szCs w:val="21"/>
                <w:lang w:val="en-US" w:eastAsia="zh-CN"/>
              </w:rPr>
              <w:t>13515</w:t>
            </w:r>
          </w:p>
        </w:tc>
        <w:tc>
          <w:tcPr>
            <w:tcW w:w="642" w:type="pct"/>
            <w:tcBorders>
              <w:tl2br w:val="nil"/>
              <w:tr2bl w:val="nil"/>
            </w:tcBorders>
            <w:noWrap w:val="0"/>
            <w:vAlign w:val="top"/>
          </w:tcPr>
          <w:p w14:paraId="79B090CE">
            <w:pPr>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裸岩石砾地</w:t>
            </w:r>
          </w:p>
          <w:p w14:paraId="08158A9A">
            <w:pPr>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highlight w:val="none"/>
                <w:lang w:val="en-US" w:eastAsia="zh-CN" w:bidi="ar-SA"/>
              </w:rPr>
              <w:t>（戈壁）</w:t>
            </w:r>
          </w:p>
        </w:tc>
        <w:tc>
          <w:tcPr>
            <w:tcW w:w="501" w:type="pct"/>
            <w:tcBorders>
              <w:tl2br w:val="nil"/>
              <w:tr2bl w:val="nil"/>
            </w:tcBorders>
            <w:noWrap w:val="0"/>
            <w:vAlign w:val="center"/>
          </w:tcPr>
          <w:p w14:paraId="2266DE0E">
            <w:pPr>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4"/>
                <w:kern w:val="2"/>
                <w:sz w:val="21"/>
                <w:szCs w:val="21"/>
                <w:lang w:val="en-US" w:eastAsia="zh-CN" w:bidi="ar-SA"/>
              </w:rPr>
              <w:t>凹地</w:t>
            </w:r>
          </w:p>
        </w:tc>
        <w:tc>
          <w:tcPr>
            <w:tcW w:w="2192" w:type="pct"/>
            <w:tcBorders>
              <w:tl2br w:val="nil"/>
              <w:tr2bl w:val="nil"/>
            </w:tcBorders>
            <w:noWrap w:val="0"/>
            <w:vAlign w:val="center"/>
          </w:tcPr>
          <w:p w14:paraId="07DD9789">
            <w:pPr>
              <w:pageBreakBefore w:val="0"/>
              <w:widowControl w:val="0"/>
              <w:kinsoku/>
              <w:wordWrap/>
              <w:bidi w:val="0"/>
              <w:spacing w:line="227" w:lineRule="auto"/>
              <w:ind w:left="147" w:right="0" w:firstLine="0" w:firstLineChars="0"/>
              <w:jc w:val="both"/>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kern w:val="2"/>
                <w:sz w:val="21"/>
                <w:szCs w:val="21"/>
                <w:lang w:val="en-US" w:eastAsia="zh-CN" w:bidi="ar-SA"/>
              </w:rPr>
              <w:t>水稳拌合站、混凝土拌合站、沥青拌合站、施工车辆停放点及施工原材料</w:t>
            </w:r>
          </w:p>
        </w:tc>
        <w:tc>
          <w:tcPr>
            <w:tcW w:w="586" w:type="pct"/>
            <w:tcBorders>
              <w:tl2br w:val="nil"/>
              <w:tr2bl w:val="nil"/>
            </w:tcBorders>
            <w:noWrap w:val="0"/>
            <w:vAlign w:val="center"/>
          </w:tcPr>
          <w:p w14:paraId="3D05F81A">
            <w:pPr>
              <w:keepNext w:val="0"/>
              <w:keepLines w:val="0"/>
              <w:pageBreakBefore w:val="0"/>
              <w:widowControl w:val="0"/>
              <w:kinsoku/>
              <w:wordWrap/>
              <w:overflowPunct/>
              <w:topLinePunct w:val="0"/>
              <w:autoSpaceDE/>
              <w:autoSpaceDN/>
              <w:bidi w:val="0"/>
              <w:adjustRightInd/>
              <w:snapToGrid/>
              <w:spacing w:line="240" w:lineRule="auto"/>
              <w:ind w:left="143" w:leftChars="0" w:right="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隧道口</w:t>
            </w:r>
          </w:p>
          <w:p w14:paraId="4C6F4DC8">
            <w:pPr>
              <w:keepNext w:val="0"/>
              <w:keepLines w:val="0"/>
              <w:pageBreakBefore w:val="0"/>
              <w:widowControl w:val="0"/>
              <w:kinsoku/>
              <w:wordWrap/>
              <w:overflowPunct/>
              <w:topLinePunct w:val="0"/>
              <w:autoSpaceDE/>
              <w:autoSpaceDN/>
              <w:bidi w:val="0"/>
              <w:adjustRightInd/>
              <w:snapToGrid/>
              <w:spacing w:line="240" w:lineRule="auto"/>
              <w:ind w:left="143" w:leftChars="0" w:right="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附近</w:t>
            </w:r>
          </w:p>
        </w:tc>
      </w:tr>
      <w:tr w14:paraId="68D392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3" w:hRule="atLeast"/>
        </w:trPr>
        <w:tc>
          <w:tcPr>
            <w:tcW w:w="235" w:type="pct"/>
            <w:tcBorders>
              <w:tl2br w:val="nil"/>
              <w:tr2bl w:val="nil"/>
            </w:tcBorders>
            <w:noWrap w:val="0"/>
            <w:vAlign w:val="center"/>
          </w:tcPr>
          <w:p w14:paraId="37970C3F">
            <w:pPr>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2</w:t>
            </w:r>
          </w:p>
        </w:tc>
        <w:tc>
          <w:tcPr>
            <w:tcW w:w="378" w:type="pct"/>
            <w:tcBorders>
              <w:tl2br w:val="nil"/>
              <w:tr2bl w:val="nil"/>
            </w:tcBorders>
            <w:noWrap w:val="0"/>
            <w:vAlign w:val="center"/>
          </w:tcPr>
          <w:p w14:paraId="5839956D">
            <w:pPr>
              <w:keepNext w:val="0"/>
              <w:keepLines w:val="0"/>
              <w:pageBreakBefore w:val="0"/>
              <w:widowControl w:val="0"/>
              <w:kinsoku/>
              <w:wordWrap/>
              <w:overflowPunct/>
              <w:topLinePunct w:val="0"/>
              <w:autoSpaceDE/>
              <w:autoSpaceDN/>
              <w:bidi w:val="0"/>
              <w:adjustRightInd/>
              <w:snapToGrid/>
              <w:spacing w:line="240" w:lineRule="auto"/>
              <w:ind w:left="136" w:right="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5"/>
                <w:kern w:val="2"/>
                <w:sz w:val="21"/>
                <w:szCs w:val="21"/>
                <w:lang w:val="en-US" w:eastAsia="zh-CN" w:bidi="ar-SA"/>
              </w:rPr>
              <w:t>2#施工生产区</w:t>
            </w:r>
          </w:p>
        </w:tc>
        <w:tc>
          <w:tcPr>
            <w:tcW w:w="462" w:type="pct"/>
            <w:tcBorders>
              <w:tl2br w:val="nil"/>
              <w:tr2bl w:val="nil"/>
            </w:tcBorders>
            <w:noWrap w:val="0"/>
            <w:vAlign w:val="center"/>
          </w:tcPr>
          <w:p w14:paraId="733A8D6E">
            <w:pPr>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3"/>
                <w:sz w:val="21"/>
                <w:szCs w:val="21"/>
                <w:lang w:val="en-US" w:eastAsia="zh-CN"/>
              </w:rPr>
              <w:t>12306</w:t>
            </w:r>
          </w:p>
        </w:tc>
        <w:tc>
          <w:tcPr>
            <w:tcW w:w="642" w:type="pct"/>
            <w:tcBorders>
              <w:tl2br w:val="nil"/>
              <w:tr2bl w:val="nil"/>
            </w:tcBorders>
            <w:noWrap w:val="0"/>
            <w:vAlign w:val="top"/>
          </w:tcPr>
          <w:p w14:paraId="20933533">
            <w:pPr>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裸岩石砾地</w:t>
            </w:r>
          </w:p>
          <w:p w14:paraId="65B4A65E">
            <w:pPr>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kern w:val="0"/>
                <w:sz w:val="21"/>
                <w:szCs w:val="21"/>
                <w:highlight w:val="none"/>
                <w:lang w:val="en-US" w:eastAsia="zh-CN" w:bidi="ar-SA"/>
              </w:rPr>
              <w:t>（裸岩石质地）</w:t>
            </w:r>
          </w:p>
        </w:tc>
        <w:tc>
          <w:tcPr>
            <w:tcW w:w="501" w:type="pct"/>
            <w:tcBorders>
              <w:tl2br w:val="nil"/>
              <w:tr2bl w:val="nil"/>
            </w:tcBorders>
            <w:noWrap w:val="0"/>
            <w:vAlign w:val="center"/>
          </w:tcPr>
          <w:p w14:paraId="24EB0BF2">
            <w:pPr>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kern w:val="2"/>
                <w:sz w:val="21"/>
                <w:szCs w:val="21"/>
                <w:lang w:val="en-US" w:eastAsia="zh-CN" w:bidi="ar-SA"/>
              </w:rPr>
              <w:t>凹地</w:t>
            </w:r>
          </w:p>
        </w:tc>
        <w:tc>
          <w:tcPr>
            <w:tcW w:w="2192" w:type="pct"/>
            <w:tcBorders>
              <w:tl2br w:val="nil"/>
              <w:tr2bl w:val="nil"/>
            </w:tcBorders>
            <w:noWrap w:val="0"/>
            <w:vAlign w:val="center"/>
          </w:tcPr>
          <w:p w14:paraId="2358F0C0">
            <w:pPr>
              <w:keepNext w:val="0"/>
              <w:keepLines w:val="0"/>
              <w:pageBreakBefore w:val="0"/>
              <w:widowControl w:val="0"/>
              <w:kinsoku/>
              <w:wordWrap/>
              <w:overflowPunct/>
              <w:topLinePunct w:val="0"/>
              <w:autoSpaceDE/>
              <w:autoSpaceDN/>
              <w:bidi w:val="0"/>
              <w:adjustRightInd/>
              <w:snapToGrid/>
              <w:spacing w:line="240" w:lineRule="auto"/>
              <w:ind w:left="127" w:right="0" w:firstLine="0" w:firstLine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kern w:val="0"/>
                <w:sz w:val="21"/>
                <w:szCs w:val="21"/>
                <w:lang w:val="en-US" w:eastAsia="zh-CN" w:bidi="ar"/>
              </w:rPr>
              <w:t>预制场、施工车辆停放点及施工原材料</w:t>
            </w:r>
          </w:p>
        </w:tc>
        <w:tc>
          <w:tcPr>
            <w:tcW w:w="586" w:type="pct"/>
            <w:tcBorders>
              <w:tl2br w:val="nil"/>
              <w:tr2bl w:val="nil"/>
            </w:tcBorders>
            <w:noWrap w:val="0"/>
            <w:vAlign w:val="center"/>
          </w:tcPr>
          <w:p w14:paraId="6DEB9DF7">
            <w:pPr>
              <w:keepNext w:val="0"/>
              <w:keepLines w:val="0"/>
              <w:pageBreakBefore w:val="0"/>
              <w:widowControl w:val="0"/>
              <w:kinsoku/>
              <w:wordWrap/>
              <w:overflowPunct/>
              <w:topLinePunct w:val="0"/>
              <w:autoSpaceDE/>
              <w:autoSpaceDN/>
              <w:bidi w:val="0"/>
              <w:adjustRightInd/>
              <w:snapToGrid/>
              <w:spacing w:line="240" w:lineRule="auto"/>
              <w:ind w:left="127" w:leftChars="0" w:right="0" w:firstLine="0" w:firstLineChars="0"/>
              <w:jc w:val="center"/>
              <w:textAlignment w:val="auto"/>
              <w:rPr>
                <w:rFonts w:hint="default" w:ascii="Times New Roman" w:hAnsi="Times New Roman" w:eastAsia="宋体" w:cs="Times New Roman"/>
                <w:color w:val="auto"/>
                <w:spacing w:val="5"/>
                <w:kern w:val="2"/>
                <w:sz w:val="21"/>
                <w:szCs w:val="21"/>
                <w:lang w:val="en-US" w:eastAsia="zh-CN" w:bidi="ar-SA"/>
              </w:rPr>
            </w:pPr>
            <w:r>
              <w:rPr>
                <w:rFonts w:hint="default" w:ascii="Times New Roman" w:hAnsi="Times New Roman" w:eastAsia="宋体" w:cs="Times New Roman"/>
                <w:color w:val="auto"/>
                <w:spacing w:val="5"/>
                <w:kern w:val="2"/>
                <w:sz w:val="21"/>
                <w:szCs w:val="21"/>
                <w:lang w:val="en-US" w:eastAsia="zh-CN" w:bidi="ar-SA"/>
              </w:rPr>
              <w:t>左侧K5+320</w:t>
            </w:r>
          </w:p>
        </w:tc>
      </w:tr>
    </w:tbl>
    <w:p w14:paraId="79BC3165">
      <w:pPr>
        <w:keepNext w:val="0"/>
        <w:keepLines w:val="0"/>
        <w:widowControl/>
        <w:suppressLineNumbers w:val="0"/>
        <w:jc w:val="left"/>
        <w:rPr>
          <w:rFonts w:hint="default" w:ascii="Times New Roman" w:hAnsi="Times New Roman" w:eastAsia="宋体" w:cs="Times New Roman"/>
          <w:color w:val="auto"/>
          <w:kern w:val="0"/>
          <w:sz w:val="24"/>
          <w:szCs w:val="24"/>
          <w:highlight w:val="none"/>
          <w:lang w:val="en-US" w:eastAsia="zh-CN" w:bidi="ar"/>
        </w:rPr>
      </w:pPr>
    </w:p>
    <w:p w14:paraId="6CA14B62">
      <w:pPr>
        <w:pStyle w:val="5"/>
        <w:bidi w:val="0"/>
        <w:rPr>
          <w:rFonts w:hint="default" w:ascii="Times New Roman" w:hAnsi="Times New Roman" w:eastAsia="宋体" w:cs="Times New Roman"/>
          <w:color w:val="auto"/>
          <w:szCs w:val="24"/>
          <w:lang w:val="en-US" w:eastAsia="zh-CN"/>
        </w:rPr>
      </w:pPr>
      <w:r>
        <w:rPr>
          <w:rFonts w:hint="default" w:ascii="Times New Roman" w:hAnsi="Times New Roman" w:cs="Times New Roman"/>
          <w:color w:val="auto"/>
          <w:lang w:val="en-US" w:eastAsia="zh-CN"/>
        </w:rPr>
        <w:t>3.2.</w:t>
      </w:r>
      <w:r>
        <w:rPr>
          <w:rFonts w:hint="eastAsia" w:ascii="Times New Roman" w:hAnsi="Times New Roman" w:cs="Times New Roman"/>
          <w:color w:val="auto"/>
          <w:lang w:val="en-US" w:eastAsia="zh-CN"/>
        </w:rPr>
        <w:t>5</w:t>
      </w:r>
      <w:r>
        <w:rPr>
          <w:rFonts w:hint="default" w:ascii="Times New Roman" w:hAnsi="Times New Roman" w:cs="Times New Roman"/>
          <w:color w:val="auto"/>
          <w:lang w:val="en-US" w:eastAsia="zh-CN"/>
        </w:rPr>
        <w:t>.2 施工便道</w:t>
      </w:r>
    </w:p>
    <w:p w14:paraId="6F0EA3AA">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本项目新建施工便道6条，总长度8.85km。</w:t>
      </w:r>
    </w:p>
    <w:p w14:paraId="689F9D06">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①施工便道（K5+546~K10+931.7）共布置3条施工便道，均位于道路主线右侧，长7.5km，路基宽4.5m，路面宽度4.5m；</w:t>
      </w:r>
    </w:p>
    <w:p w14:paraId="3313DD3E">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②拌合站、预制场（K10+823）位于道路主线左侧，长0.35km，路基宽度6m，路面宽度6m；</w:t>
      </w:r>
    </w:p>
    <w:p w14:paraId="58CD422A">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③1#取土场便道（K5+320）位于道路主线右侧，长0.5km，取土场便道路基宽4.5m，路面宽度4.5m；</w:t>
      </w:r>
    </w:p>
    <w:p w14:paraId="59E848C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④2#取土场便道（K5+480）位于道路主线左侧，长4.5km。取土场便道路基宽4.5m，路面宽度4.5m。</w:t>
      </w:r>
    </w:p>
    <w:p w14:paraId="249C093D">
      <w:pPr>
        <w:pStyle w:val="5"/>
        <w:bidi w:val="0"/>
        <w:rPr>
          <w:rFonts w:hint="default" w:ascii="Times New Roman" w:hAnsi="Times New Roman" w:eastAsia="宋体" w:cs="Times New Roman"/>
          <w:color w:val="auto"/>
          <w:szCs w:val="24"/>
          <w:lang w:val="en-US" w:eastAsia="zh-CN"/>
        </w:rPr>
      </w:pPr>
      <w:r>
        <w:rPr>
          <w:rFonts w:hint="default" w:ascii="Times New Roman" w:hAnsi="Times New Roman" w:cs="Times New Roman"/>
          <w:color w:val="auto"/>
          <w:lang w:val="en-US" w:eastAsia="zh-CN"/>
        </w:rPr>
        <w:t>3.2.</w:t>
      </w:r>
      <w:r>
        <w:rPr>
          <w:rFonts w:hint="eastAsia" w:ascii="Times New Roman" w:hAnsi="Times New Roman" w:cs="Times New Roman"/>
          <w:color w:val="auto"/>
          <w:lang w:val="en-US" w:eastAsia="zh-CN"/>
        </w:rPr>
        <w:t>5</w:t>
      </w:r>
      <w:r>
        <w:rPr>
          <w:rFonts w:hint="default" w:ascii="Times New Roman" w:hAnsi="Times New Roman" w:cs="Times New Roman"/>
          <w:color w:val="auto"/>
          <w:lang w:val="en-US" w:eastAsia="zh-CN"/>
        </w:rPr>
        <w:t>.3 建筑材料</w:t>
      </w:r>
    </w:p>
    <w:p w14:paraId="6DE78C5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本项目主要外购材料包括砂砾石、碎石、水泥、沥青、钢材、木材、汽油、柴油、煤炭、主副食。</w:t>
      </w:r>
    </w:p>
    <w:p w14:paraId="0617593E">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外购自阿图什市砂砾料（疏附县川顺建材有限公司-商品料场），生产各种型号碎石、河砂以及路基填料。储量丰富可作为路基工程填筑材料，水泥混凝土，水稳用料及底基层，运输距离约36km；外购自喀什市砂砾料（新疆泛润建材有限公司-商品料场），生产各种型号碎石、河砂以及路基填料。储量丰富可作为路基工程填筑材料，水泥混凝土，水稳用料及底基层，运输距离约30km；水泥外购自喀什市，水泥、石灰品种较多，产能较大，质量合格，可用汽车拉运，运输距离约40km；沥青采用90#道路石油沥青，汽车运输，运输距离约1800km；钢筋外购喀什市，运输距之距40km；钢材、钢绞线外购自疆内合格产品，可用于本项目工程桥梁、防护等部位的材料，汽车运输，运输距离约1500km；木材外购自喀什市，有各种规格尺寸的木材、木方等，可用于本项目，汽车运输，运输距离约40km；汽油、柴油、煤炭、主副食外购喀什市，运输</w:t>
      </w:r>
      <w:r>
        <w:rPr>
          <w:rFonts w:hint="eastAsia" w:cs="Times New Roman"/>
          <w:color w:val="auto"/>
          <w:kern w:val="0"/>
          <w:sz w:val="24"/>
          <w:szCs w:val="24"/>
          <w:lang w:val="en-US" w:eastAsia="zh-CN" w:bidi="ar"/>
        </w:rPr>
        <w:t>距离</w:t>
      </w:r>
      <w:r>
        <w:rPr>
          <w:rFonts w:hint="default" w:ascii="Times New Roman" w:hAnsi="Times New Roman" w:eastAsia="宋体" w:cs="Times New Roman"/>
          <w:color w:val="auto"/>
          <w:kern w:val="0"/>
          <w:sz w:val="24"/>
          <w:szCs w:val="24"/>
          <w:lang w:val="en-US" w:eastAsia="zh-CN" w:bidi="ar"/>
        </w:rPr>
        <w:t xml:space="preserve"> 40km；外购材料供应充足，满足工程需要。</w:t>
      </w:r>
    </w:p>
    <w:p w14:paraId="04E8EDA2">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3.2.</w:t>
      </w:r>
      <w:r>
        <w:rPr>
          <w:rFonts w:hint="eastAsia" w:ascii="Times New Roman" w:hAnsi="Times New Roman" w:cs="Times New Roman"/>
          <w:color w:val="auto"/>
          <w:lang w:val="en-US" w:eastAsia="zh-CN"/>
        </w:rPr>
        <w:t>5</w:t>
      </w:r>
      <w:r>
        <w:rPr>
          <w:rFonts w:hint="default" w:ascii="Times New Roman" w:hAnsi="Times New Roman" w:cs="Times New Roman"/>
          <w:color w:val="auto"/>
          <w:lang w:val="en-US" w:eastAsia="zh-CN"/>
        </w:rPr>
        <w:t>.4取、弃土场</w:t>
      </w:r>
    </w:p>
    <w:p w14:paraId="293AAC6F">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（1）取土场</w:t>
      </w:r>
    </w:p>
    <w:p w14:paraId="26D85CAA">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项目设置2处取土场，</w:t>
      </w:r>
      <w:r>
        <w:rPr>
          <w:rFonts w:hint="eastAsia" w:cs="Times New Roman"/>
          <w:color w:val="auto"/>
          <w:kern w:val="0"/>
          <w:sz w:val="24"/>
          <w:szCs w:val="24"/>
          <w:lang w:val="en-US" w:eastAsia="zh-CN" w:bidi="ar"/>
        </w:rPr>
        <w:t>均为招拍挂取土场。</w:t>
      </w:r>
      <w:r>
        <w:rPr>
          <w:rFonts w:hint="default" w:ascii="Times New Roman" w:hAnsi="Times New Roman" w:eastAsia="宋体" w:cs="Times New Roman"/>
          <w:color w:val="auto"/>
          <w:kern w:val="0"/>
          <w:sz w:val="24"/>
          <w:szCs w:val="24"/>
          <w:lang w:val="en-US" w:eastAsia="zh-CN" w:bidi="ar"/>
        </w:rPr>
        <w:t>1#取土场位于路线右侧K8+320，占地面积为990000m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；2#取土场位于路线左侧K5+320，项目占地面积为197000m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能够满足本项目用土需求。本项目将取土场同时兼做弃土场使用，采用边取土边弃土的方式进行（采用长条形先开挖后回填方式）；两处取土场主要负责隧道段和本项目前端S227阿图什至喀什公路新建工程。1#取土场最终容纳量弃土为495125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，2#取土场最终容纳量弃土为984344m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w:t>
      </w:r>
    </w:p>
    <w:p w14:paraId="753B149D">
      <w:pPr>
        <w:pageBreakBefore w:val="0"/>
        <w:kinsoku/>
        <w:wordWrap/>
        <w:bidi w:val="0"/>
        <w:adjustRightInd/>
        <w:snapToGrid/>
        <w:spacing w:line="228" w:lineRule="auto"/>
        <w:ind w:left="2728" w:right="0" w:firstLine="211" w:firstLineChars="100"/>
        <w:rPr>
          <w:rFonts w:hint="default" w:ascii="Times New Roman" w:hAnsi="Times New Roman" w:eastAsia="宋体" w:cs="Times New Roman"/>
          <w:b/>
          <w:bCs/>
          <w:color w:val="auto"/>
          <w:spacing w:val="5"/>
          <w:sz w:val="20"/>
          <w:szCs w:val="20"/>
        </w:rPr>
      </w:pPr>
      <w:r>
        <w:rPr>
          <w:rFonts w:hint="default" w:ascii="Times New Roman" w:hAnsi="Times New Roman" w:eastAsia="宋体" w:cs="Times New Roman"/>
          <w:b/>
          <w:bCs/>
          <w:color w:val="auto"/>
          <w:spacing w:val="5"/>
          <w:sz w:val="20"/>
          <w:szCs w:val="20"/>
        </w:rPr>
        <w:t>表</w:t>
      </w:r>
      <w:r>
        <w:rPr>
          <w:rFonts w:hint="eastAsia" w:ascii="Times New Roman" w:hAnsi="Times New Roman" w:eastAsia="宋体" w:cs="Times New Roman"/>
          <w:b/>
          <w:bCs/>
          <w:color w:val="auto"/>
          <w:spacing w:val="5"/>
          <w:sz w:val="20"/>
          <w:szCs w:val="20"/>
          <w:lang w:val="en-US" w:eastAsia="zh-CN"/>
        </w:rPr>
        <w:t>3.2-</w:t>
      </w:r>
      <w:r>
        <w:rPr>
          <w:rFonts w:hint="eastAsia" w:cs="Times New Roman"/>
          <w:b/>
          <w:bCs/>
          <w:color w:val="auto"/>
          <w:spacing w:val="5"/>
          <w:sz w:val="20"/>
          <w:szCs w:val="20"/>
          <w:lang w:val="en-US" w:eastAsia="zh-CN"/>
        </w:rPr>
        <w:t>14</w:t>
      </w:r>
      <w:r>
        <w:rPr>
          <w:rFonts w:hint="default" w:ascii="Times New Roman" w:hAnsi="Times New Roman" w:eastAsia="宋体" w:cs="Times New Roman"/>
          <w:b/>
          <w:bCs/>
          <w:color w:val="auto"/>
          <w:spacing w:val="5"/>
          <w:sz w:val="20"/>
          <w:szCs w:val="20"/>
        </w:rPr>
        <w:t xml:space="preserve">  </w:t>
      </w:r>
      <w:r>
        <w:rPr>
          <w:rFonts w:hint="default" w:ascii="Times New Roman" w:hAnsi="Times New Roman" w:eastAsia="宋体" w:cs="Times New Roman"/>
          <w:b/>
          <w:bCs/>
          <w:color w:val="auto"/>
          <w:spacing w:val="5"/>
          <w:sz w:val="20"/>
          <w:szCs w:val="20"/>
          <w:lang w:val="en-US" w:eastAsia="zh-CN"/>
        </w:rPr>
        <w:t xml:space="preserve"> </w:t>
      </w:r>
      <w:r>
        <w:rPr>
          <w:rFonts w:hint="default" w:ascii="Times New Roman" w:hAnsi="Times New Roman" w:eastAsia="宋体" w:cs="Times New Roman"/>
          <w:b/>
          <w:bCs/>
          <w:color w:val="auto"/>
          <w:spacing w:val="5"/>
          <w:sz w:val="20"/>
          <w:szCs w:val="20"/>
        </w:rPr>
        <w:t xml:space="preserve"> </w:t>
      </w:r>
      <w:r>
        <w:rPr>
          <w:rFonts w:hint="default" w:ascii="Times New Roman" w:hAnsi="Times New Roman" w:eastAsia="宋体" w:cs="Times New Roman"/>
          <w:b/>
          <w:bCs/>
          <w:color w:val="auto"/>
          <w:spacing w:val="5"/>
          <w:sz w:val="20"/>
          <w:szCs w:val="20"/>
          <w:lang w:val="en-US" w:eastAsia="zh-CN"/>
        </w:rPr>
        <w:t>取土场</w:t>
      </w:r>
      <w:r>
        <w:rPr>
          <w:rFonts w:hint="default" w:ascii="Times New Roman" w:hAnsi="Times New Roman" w:eastAsia="宋体" w:cs="Times New Roman"/>
          <w:b/>
          <w:bCs/>
          <w:color w:val="auto"/>
          <w:spacing w:val="5"/>
          <w:sz w:val="20"/>
          <w:szCs w:val="20"/>
        </w:rPr>
        <w:t>一览表</w:t>
      </w:r>
    </w:p>
    <w:tbl>
      <w:tblPr>
        <w:tblStyle w:val="125"/>
        <w:tblW w:w="499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48"/>
        <w:gridCol w:w="1018"/>
        <w:gridCol w:w="895"/>
        <w:gridCol w:w="1166"/>
        <w:gridCol w:w="772"/>
        <w:gridCol w:w="1214"/>
        <w:gridCol w:w="1356"/>
        <w:gridCol w:w="1339"/>
      </w:tblGrid>
      <w:tr w14:paraId="2F0C30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30" w:type="pct"/>
            <w:tcBorders>
              <w:tl2br w:val="nil"/>
              <w:tr2bl w:val="nil"/>
            </w:tcBorders>
            <w:noWrap w:val="0"/>
            <w:vAlign w:val="center"/>
          </w:tcPr>
          <w:p w14:paraId="3F7BA053">
            <w:pPr>
              <w:pageBreakBefore w:val="0"/>
              <w:widowControl w:val="0"/>
              <w:kinsoku/>
              <w:wordWrap/>
              <w:bidi w:val="0"/>
              <w:spacing w:line="229" w:lineRule="auto"/>
              <w:ind w:left="114" w:right="0" w:firstLine="0" w:firstLine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b/>
                <w:bCs/>
                <w:color w:val="auto"/>
                <w:spacing w:val="4"/>
                <w:kern w:val="2"/>
                <w:sz w:val="21"/>
                <w:szCs w:val="21"/>
                <w:lang w:val="en-US" w:eastAsia="en-US" w:bidi="ar-SA"/>
              </w:rPr>
              <w:t>序号</w:t>
            </w:r>
          </w:p>
        </w:tc>
        <w:tc>
          <w:tcPr>
            <w:tcW w:w="612" w:type="pct"/>
            <w:tcBorders>
              <w:tl2br w:val="nil"/>
              <w:tr2bl w:val="nil"/>
            </w:tcBorders>
            <w:noWrap w:val="0"/>
            <w:vAlign w:val="center"/>
          </w:tcPr>
          <w:p w14:paraId="42BDE51A">
            <w:pPr>
              <w:pageBreakBefore w:val="0"/>
              <w:widowControl w:val="0"/>
              <w:kinsoku/>
              <w:wordWrap/>
              <w:bidi w:val="0"/>
              <w:spacing w:line="230" w:lineRule="auto"/>
              <w:ind w:right="0" w:firstLine="0" w:firstLine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b/>
                <w:bCs/>
                <w:color w:val="auto"/>
                <w:spacing w:val="2"/>
                <w:kern w:val="2"/>
                <w:sz w:val="21"/>
                <w:szCs w:val="21"/>
                <w:lang w:val="en-US" w:eastAsia="en-US" w:bidi="ar-SA"/>
              </w:rPr>
              <w:t>名称</w:t>
            </w:r>
          </w:p>
        </w:tc>
        <w:tc>
          <w:tcPr>
            <w:tcW w:w="538" w:type="pct"/>
            <w:tcBorders>
              <w:tl2br w:val="nil"/>
              <w:tr2bl w:val="nil"/>
            </w:tcBorders>
            <w:noWrap w:val="0"/>
            <w:vAlign w:val="center"/>
          </w:tcPr>
          <w:p w14:paraId="3D5E6238">
            <w:pPr>
              <w:keepNext w:val="0"/>
              <w:keepLines w:val="0"/>
              <w:pageBreakBefore w:val="0"/>
              <w:widowControl w:val="0"/>
              <w:kinsoku/>
              <w:wordWrap/>
              <w:overflowPunct/>
              <w:topLinePunct w:val="0"/>
              <w:autoSpaceDE/>
              <w:autoSpaceDN/>
              <w:bidi w:val="0"/>
              <w:adjustRightInd/>
              <w:snapToGrid/>
              <w:spacing w:line="240" w:lineRule="auto"/>
              <w:ind w:left="40" w:right="0" w:firstLine="0" w:firstLineChars="0"/>
              <w:jc w:val="center"/>
              <w:textAlignment w:val="auto"/>
              <w:rPr>
                <w:rFonts w:hint="default" w:ascii="Times New Roman" w:hAnsi="Times New Roman" w:eastAsia="宋体" w:cs="Times New Roman"/>
                <w:b/>
                <w:bCs/>
                <w:color w:val="auto"/>
                <w:spacing w:val="6"/>
                <w:kern w:val="2"/>
                <w:sz w:val="21"/>
                <w:szCs w:val="21"/>
                <w:lang w:val="en-US" w:eastAsia="en-US" w:bidi="ar-SA"/>
              </w:rPr>
            </w:pPr>
            <w:r>
              <w:rPr>
                <w:rFonts w:hint="default" w:ascii="Times New Roman" w:hAnsi="Times New Roman" w:eastAsia="宋体" w:cs="Times New Roman"/>
                <w:b/>
                <w:bCs/>
                <w:color w:val="auto"/>
                <w:spacing w:val="6"/>
                <w:kern w:val="2"/>
                <w:sz w:val="21"/>
                <w:szCs w:val="21"/>
                <w:lang w:val="en-US" w:eastAsia="en-US" w:bidi="ar-SA"/>
              </w:rPr>
              <w:t>用地面积</w:t>
            </w:r>
          </w:p>
          <w:p w14:paraId="7899B25F">
            <w:pPr>
              <w:keepNext w:val="0"/>
              <w:keepLines w:val="0"/>
              <w:pageBreakBefore w:val="0"/>
              <w:widowControl w:val="0"/>
              <w:kinsoku/>
              <w:wordWrap/>
              <w:overflowPunct/>
              <w:topLinePunct w:val="0"/>
              <w:autoSpaceDE/>
              <w:autoSpaceDN/>
              <w:bidi w:val="0"/>
              <w:adjustRightInd/>
              <w:snapToGrid/>
              <w:spacing w:line="240" w:lineRule="auto"/>
              <w:ind w:left="40" w:right="0" w:firstLine="0" w:firstLine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b/>
                <w:bCs/>
                <w:color w:val="auto"/>
                <w:spacing w:val="1"/>
                <w:kern w:val="2"/>
                <w:sz w:val="21"/>
                <w:szCs w:val="21"/>
                <w:lang w:val="en-US" w:eastAsia="en-US" w:bidi="ar-SA"/>
              </w:rPr>
              <w:t>（</w:t>
            </w:r>
            <w:r>
              <w:rPr>
                <w:rFonts w:hint="default" w:ascii="Times New Roman" w:hAnsi="Times New Roman" w:eastAsia="Times New Roman" w:cs="Times New Roman"/>
                <w:b/>
                <w:bCs/>
                <w:color w:val="auto"/>
                <w:kern w:val="2"/>
                <w:sz w:val="21"/>
                <w:szCs w:val="21"/>
                <w:lang w:val="en-US" w:eastAsia="en-US" w:bidi="ar-SA"/>
              </w:rPr>
              <w:t>m</w:t>
            </w:r>
            <w:r>
              <w:rPr>
                <w:rFonts w:hint="default" w:ascii="Times New Roman" w:hAnsi="Times New Roman" w:eastAsia="宋体" w:cs="Times New Roman"/>
                <w:b/>
                <w:bCs/>
                <w:color w:val="auto"/>
                <w:kern w:val="2"/>
                <w:sz w:val="21"/>
                <w:szCs w:val="21"/>
                <w:vertAlign w:val="superscript"/>
                <w:lang w:val="en-US" w:eastAsia="zh-CN" w:bidi="ar-SA"/>
              </w:rPr>
              <w:t>2</w:t>
            </w:r>
            <w:r>
              <w:rPr>
                <w:rFonts w:hint="default" w:ascii="Times New Roman" w:hAnsi="Times New Roman" w:eastAsia="宋体" w:cs="Times New Roman"/>
                <w:b/>
                <w:bCs/>
                <w:color w:val="auto"/>
                <w:spacing w:val="1"/>
                <w:kern w:val="2"/>
                <w:sz w:val="21"/>
                <w:szCs w:val="21"/>
                <w:lang w:val="en-US" w:eastAsia="en-US" w:bidi="ar-SA"/>
              </w:rPr>
              <w:t>）</w:t>
            </w:r>
          </w:p>
        </w:tc>
        <w:tc>
          <w:tcPr>
            <w:tcW w:w="701" w:type="pct"/>
            <w:tcBorders>
              <w:tl2br w:val="nil"/>
              <w:tr2bl w:val="nil"/>
            </w:tcBorders>
            <w:noWrap w:val="0"/>
            <w:vAlign w:val="center"/>
          </w:tcPr>
          <w:p w14:paraId="594B93AF">
            <w:pPr>
              <w:pageBreakBefore w:val="0"/>
              <w:widowControl w:val="0"/>
              <w:kinsoku/>
              <w:wordWrap/>
              <w:bidi w:val="0"/>
              <w:spacing w:line="228" w:lineRule="auto"/>
              <w:ind w:left="112" w:right="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pacing w:val="6"/>
                <w:kern w:val="2"/>
                <w:sz w:val="21"/>
                <w:szCs w:val="21"/>
                <w:lang w:val="en-US" w:eastAsia="zh-CN" w:bidi="ar-SA"/>
              </w:rPr>
              <w:t>占地类型</w:t>
            </w:r>
          </w:p>
        </w:tc>
        <w:tc>
          <w:tcPr>
            <w:tcW w:w="464" w:type="pct"/>
            <w:tcBorders>
              <w:tl2br w:val="nil"/>
              <w:tr2bl w:val="nil"/>
            </w:tcBorders>
            <w:noWrap w:val="0"/>
            <w:vAlign w:val="center"/>
          </w:tcPr>
          <w:p w14:paraId="3E0F2DFA">
            <w:pPr>
              <w:pageBreakBefore w:val="0"/>
              <w:widowControl w:val="0"/>
              <w:kinsoku/>
              <w:wordWrap/>
              <w:bidi w:val="0"/>
              <w:spacing w:line="228" w:lineRule="auto"/>
              <w:ind w:left="112" w:right="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pacing w:val="6"/>
                <w:kern w:val="2"/>
                <w:sz w:val="21"/>
                <w:szCs w:val="21"/>
                <w:lang w:val="en-US" w:eastAsia="zh-CN" w:bidi="ar-SA"/>
              </w:rPr>
              <w:t>开采量</w:t>
            </w:r>
          </w:p>
        </w:tc>
        <w:tc>
          <w:tcPr>
            <w:tcW w:w="730" w:type="pct"/>
            <w:tcBorders>
              <w:tl2br w:val="nil"/>
              <w:tr2bl w:val="nil"/>
            </w:tcBorders>
            <w:noWrap w:val="0"/>
            <w:vAlign w:val="center"/>
          </w:tcPr>
          <w:p w14:paraId="61A76BD3">
            <w:pPr>
              <w:pageBreakBefore w:val="0"/>
              <w:widowControl w:val="0"/>
              <w:kinsoku/>
              <w:wordWrap/>
              <w:bidi w:val="0"/>
              <w:spacing w:line="260" w:lineRule="auto"/>
              <w:ind w:left="115" w:right="0" w:firstLine="0" w:firstLineChars="0"/>
              <w:jc w:val="center"/>
              <w:rPr>
                <w:rFonts w:hint="default" w:ascii="Times New Roman" w:hAnsi="Times New Roman" w:eastAsia="宋体" w:cs="Times New Roman"/>
                <w:b/>
                <w:bCs/>
                <w:color w:val="auto"/>
                <w:spacing w:val="6"/>
                <w:kern w:val="2"/>
                <w:sz w:val="21"/>
                <w:szCs w:val="21"/>
                <w:lang w:val="en-US" w:eastAsia="zh-CN" w:bidi="ar-SA"/>
              </w:rPr>
            </w:pPr>
            <w:r>
              <w:rPr>
                <w:rFonts w:hint="default" w:ascii="Times New Roman" w:hAnsi="Times New Roman" w:eastAsia="宋体" w:cs="Times New Roman"/>
                <w:b/>
                <w:bCs/>
                <w:color w:val="auto"/>
                <w:spacing w:val="6"/>
                <w:kern w:val="2"/>
                <w:sz w:val="21"/>
                <w:szCs w:val="21"/>
                <w:lang w:val="en-US" w:eastAsia="zh-CN" w:bidi="ar-SA"/>
              </w:rPr>
              <w:t>最终</w:t>
            </w:r>
            <w:r>
              <w:rPr>
                <w:rFonts w:hint="default" w:ascii="Times New Roman" w:hAnsi="Times New Roman" w:eastAsia="宋体" w:cs="Times New Roman"/>
                <w:b/>
                <w:bCs/>
                <w:color w:val="auto"/>
                <w:spacing w:val="6"/>
                <w:kern w:val="2"/>
                <w:sz w:val="21"/>
                <w:szCs w:val="21"/>
                <w:lang w:val="en-US" w:eastAsia="en-US" w:bidi="ar-SA"/>
              </w:rPr>
              <w:t>弃土</w:t>
            </w:r>
            <w:r>
              <w:rPr>
                <w:rFonts w:hint="default" w:ascii="Times New Roman" w:hAnsi="Times New Roman" w:eastAsia="宋体" w:cs="Times New Roman"/>
                <w:b/>
                <w:bCs/>
                <w:color w:val="auto"/>
                <w:spacing w:val="-3"/>
                <w:kern w:val="2"/>
                <w:sz w:val="21"/>
                <w:szCs w:val="21"/>
                <w:lang w:val="en-US" w:eastAsia="en-US" w:bidi="ar-SA"/>
              </w:rPr>
              <w:t>量（</w:t>
            </w:r>
            <w:r>
              <w:rPr>
                <w:rFonts w:hint="default" w:ascii="Times New Roman" w:hAnsi="Times New Roman" w:eastAsia="Times New Roman" w:cs="Times New Roman"/>
                <w:b/>
                <w:bCs/>
                <w:color w:val="auto"/>
                <w:spacing w:val="-3"/>
                <w:kern w:val="2"/>
                <w:sz w:val="21"/>
                <w:szCs w:val="21"/>
                <w:lang w:val="en-US" w:eastAsia="en-US" w:bidi="ar-SA"/>
              </w:rPr>
              <w:t>m</w:t>
            </w:r>
            <w:r>
              <w:rPr>
                <w:rFonts w:hint="default" w:ascii="Times New Roman" w:hAnsi="Times New Roman" w:eastAsia="宋体" w:cs="Times New Roman"/>
                <w:b/>
                <w:bCs/>
                <w:color w:val="auto"/>
                <w:spacing w:val="-3"/>
                <w:kern w:val="2"/>
                <w:sz w:val="21"/>
                <w:szCs w:val="21"/>
                <w:vertAlign w:val="superscript"/>
                <w:lang w:val="en-US" w:eastAsia="zh-CN" w:bidi="ar-SA"/>
              </w:rPr>
              <w:t>3</w:t>
            </w:r>
            <w:r>
              <w:rPr>
                <w:rFonts w:hint="default" w:ascii="Times New Roman" w:hAnsi="Times New Roman" w:eastAsia="宋体" w:cs="Times New Roman"/>
                <w:b/>
                <w:bCs/>
                <w:color w:val="auto"/>
                <w:spacing w:val="-3"/>
                <w:kern w:val="2"/>
                <w:sz w:val="21"/>
                <w:szCs w:val="21"/>
                <w:lang w:val="en-US" w:eastAsia="en-US" w:bidi="ar-SA"/>
              </w:rPr>
              <w:t>）</w:t>
            </w:r>
          </w:p>
        </w:tc>
        <w:tc>
          <w:tcPr>
            <w:tcW w:w="815" w:type="pct"/>
            <w:tcBorders>
              <w:tl2br w:val="nil"/>
              <w:tr2bl w:val="nil"/>
            </w:tcBorders>
            <w:noWrap w:val="0"/>
            <w:vAlign w:val="center"/>
          </w:tcPr>
          <w:p w14:paraId="3B986D40">
            <w:pPr>
              <w:pageBreakBefore w:val="0"/>
              <w:widowControl w:val="0"/>
              <w:kinsoku/>
              <w:wordWrap/>
              <w:bidi w:val="0"/>
              <w:spacing w:line="260" w:lineRule="auto"/>
              <w:ind w:left="250" w:right="0" w:firstLine="0" w:firstLine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b/>
                <w:bCs/>
                <w:color w:val="auto"/>
                <w:spacing w:val="4"/>
                <w:kern w:val="2"/>
                <w:sz w:val="21"/>
                <w:szCs w:val="21"/>
                <w:lang w:val="en-US" w:eastAsia="en-US" w:bidi="ar-SA"/>
              </w:rPr>
              <w:t>弃土场</w:t>
            </w:r>
            <w:r>
              <w:rPr>
                <w:rFonts w:hint="default" w:ascii="Times New Roman" w:hAnsi="Times New Roman" w:eastAsia="宋体" w:cs="Times New Roman"/>
                <w:b/>
                <w:bCs/>
                <w:color w:val="auto"/>
                <w:spacing w:val="3"/>
                <w:kern w:val="2"/>
                <w:sz w:val="21"/>
                <w:szCs w:val="21"/>
                <w:lang w:val="en-US" w:eastAsia="en-US" w:bidi="ar-SA"/>
              </w:rPr>
              <w:t>类型</w:t>
            </w:r>
          </w:p>
        </w:tc>
        <w:tc>
          <w:tcPr>
            <w:tcW w:w="805" w:type="pct"/>
            <w:tcBorders>
              <w:tl2br w:val="nil"/>
              <w:tr2bl w:val="nil"/>
            </w:tcBorders>
            <w:noWrap w:val="0"/>
            <w:vAlign w:val="center"/>
          </w:tcPr>
          <w:p w14:paraId="0F622AD2">
            <w:pPr>
              <w:pageBreakBefore w:val="0"/>
              <w:widowControl w:val="0"/>
              <w:kinsoku/>
              <w:wordWrap/>
              <w:bidi w:val="0"/>
              <w:spacing w:line="228" w:lineRule="auto"/>
              <w:ind w:left="124" w:right="0" w:firstLine="0" w:firstLine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b/>
                <w:bCs/>
                <w:color w:val="auto"/>
                <w:spacing w:val="3"/>
                <w:kern w:val="2"/>
                <w:sz w:val="21"/>
                <w:szCs w:val="21"/>
                <w:lang w:val="en-US" w:eastAsia="en-US" w:bidi="ar-SA"/>
              </w:rPr>
              <w:t>标段</w:t>
            </w:r>
          </w:p>
        </w:tc>
      </w:tr>
      <w:tr w14:paraId="30C1EF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9" w:hRule="atLeast"/>
        </w:trPr>
        <w:tc>
          <w:tcPr>
            <w:tcW w:w="330" w:type="pct"/>
            <w:tcBorders>
              <w:tl2br w:val="nil"/>
              <w:tr2bl w:val="nil"/>
            </w:tcBorders>
            <w:noWrap w:val="0"/>
            <w:vAlign w:val="center"/>
          </w:tcPr>
          <w:p w14:paraId="42DC8544">
            <w:pPr>
              <w:pageBreakBefore w:val="0"/>
              <w:kinsoku/>
              <w:wordWrap/>
              <w:bidi w:val="0"/>
              <w:adjustRightInd/>
              <w:snapToGrid/>
              <w:spacing w:line="195" w:lineRule="auto"/>
              <w:ind w:right="0" w:firstLine="0" w:firstLineChars="0"/>
              <w:jc w:val="center"/>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612" w:type="pct"/>
            <w:tcBorders>
              <w:tl2br w:val="nil"/>
              <w:tr2bl w:val="nil"/>
            </w:tcBorders>
            <w:noWrap w:val="0"/>
            <w:vAlign w:val="center"/>
          </w:tcPr>
          <w:p w14:paraId="6CC4645B">
            <w:pPr>
              <w:pageBreakBefore w:val="0"/>
              <w:widowControl w:val="0"/>
              <w:kinsoku/>
              <w:wordWrap/>
              <w:bidi w:val="0"/>
              <w:spacing w:line="228" w:lineRule="auto"/>
              <w:ind w:left="136" w:right="0" w:firstLine="0" w:firstLine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kern w:val="2"/>
                <w:sz w:val="21"/>
                <w:szCs w:val="21"/>
                <w:lang w:val="en-US" w:eastAsia="zh-CN" w:bidi="ar-SA"/>
              </w:rPr>
              <w:t>1#取土场</w:t>
            </w:r>
          </w:p>
        </w:tc>
        <w:tc>
          <w:tcPr>
            <w:tcW w:w="538" w:type="pct"/>
            <w:tcBorders>
              <w:tl2br w:val="nil"/>
              <w:tr2bl w:val="nil"/>
            </w:tcBorders>
            <w:noWrap w:val="0"/>
            <w:vAlign w:val="center"/>
          </w:tcPr>
          <w:p w14:paraId="3E889CBB">
            <w:pPr>
              <w:pageBreakBefore w:val="0"/>
              <w:kinsoku/>
              <w:wordWrap/>
              <w:bidi w:val="0"/>
              <w:adjustRightInd/>
              <w:snapToGrid/>
              <w:spacing w:line="195" w:lineRule="auto"/>
              <w:ind w:right="0" w:firstLine="0" w:firstLineChars="0"/>
              <w:jc w:val="center"/>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lang w:val="en-US" w:eastAsia="zh-CN"/>
              </w:rPr>
              <w:t>990000</w:t>
            </w:r>
          </w:p>
        </w:tc>
        <w:tc>
          <w:tcPr>
            <w:tcW w:w="701" w:type="pct"/>
            <w:tcBorders>
              <w:tl2br w:val="nil"/>
              <w:tr2bl w:val="nil"/>
            </w:tcBorders>
            <w:noWrap w:val="0"/>
            <w:vAlign w:val="top"/>
          </w:tcPr>
          <w:p w14:paraId="289C8923">
            <w:pPr>
              <w:pageBreakBefore w:val="0"/>
              <w:widowControl w:val="0"/>
              <w:kinsoku/>
              <w:wordWrap/>
              <w:bidi w:val="0"/>
              <w:spacing w:line="228" w:lineRule="auto"/>
              <w:ind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裸岩石砾地</w:t>
            </w:r>
          </w:p>
          <w:p w14:paraId="65280EAD">
            <w:pPr>
              <w:pageBreakBefore w:val="0"/>
              <w:widowControl w:val="0"/>
              <w:kinsoku/>
              <w:wordWrap/>
              <w:bidi w:val="0"/>
              <w:spacing w:line="228" w:lineRule="auto"/>
              <w:ind w:right="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highlight w:val="none"/>
                <w:lang w:val="en-US" w:eastAsia="zh-CN" w:bidi="ar-SA"/>
              </w:rPr>
              <w:t>（戈壁）</w:t>
            </w:r>
          </w:p>
        </w:tc>
        <w:tc>
          <w:tcPr>
            <w:tcW w:w="827" w:type="dxa"/>
            <w:tcBorders>
              <w:tl2br w:val="nil"/>
              <w:tr2bl w:val="nil"/>
            </w:tcBorders>
            <w:noWrap w:val="0"/>
            <w:vAlign w:val="center"/>
          </w:tcPr>
          <w:p w14:paraId="2CA5A8E5">
            <w:pPr>
              <w:pageBreakBefore w:val="0"/>
              <w:kinsoku/>
              <w:wordWrap/>
              <w:bidi w:val="0"/>
              <w:adjustRightInd/>
              <w:snapToGrid/>
              <w:spacing w:line="195" w:lineRule="auto"/>
              <w:ind w:left="0" w:leftChars="0" w:right="0" w:firstLine="0" w:firstLineChars="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lang w:val="en-US" w:eastAsia="zh-CN"/>
              </w:rPr>
              <w:t>495100</w:t>
            </w:r>
          </w:p>
        </w:tc>
        <w:tc>
          <w:tcPr>
            <w:tcW w:w="730" w:type="pct"/>
            <w:tcBorders>
              <w:tl2br w:val="nil"/>
              <w:tr2bl w:val="nil"/>
            </w:tcBorders>
            <w:noWrap w:val="0"/>
            <w:vAlign w:val="center"/>
          </w:tcPr>
          <w:p w14:paraId="1F488155">
            <w:pPr>
              <w:pageBreakBefore w:val="0"/>
              <w:kinsoku/>
              <w:wordWrap/>
              <w:bidi w:val="0"/>
              <w:adjustRightInd/>
              <w:snapToGrid/>
              <w:spacing w:line="195" w:lineRule="auto"/>
              <w:ind w:right="0" w:firstLine="0" w:firstLineChars="0"/>
              <w:jc w:val="center"/>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495125</w:t>
            </w:r>
          </w:p>
        </w:tc>
        <w:tc>
          <w:tcPr>
            <w:tcW w:w="815" w:type="pct"/>
            <w:tcBorders>
              <w:tl2br w:val="nil"/>
              <w:tr2bl w:val="nil"/>
            </w:tcBorders>
            <w:noWrap w:val="0"/>
            <w:vAlign w:val="center"/>
          </w:tcPr>
          <w:p w14:paraId="74A52427">
            <w:pPr>
              <w:pageBreakBefore w:val="0"/>
              <w:widowControl w:val="0"/>
              <w:kinsoku/>
              <w:wordWrap/>
              <w:bidi w:val="0"/>
              <w:spacing w:line="228" w:lineRule="auto"/>
              <w:ind w:right="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4"/>
                <w:kern w:val="2"/>
                <w:sz w:val="21"/>
                <w:szCs w:val="21"/>
                <w:lang w:val="en-US" w:eastAsia="zh-CN" w:bidi="ar-SA"/>
              </w:rPr>
              <w:t>凹地</w:t>
            </w:r>
          </w:p>
        </w:tc>
        <w:tc>
          <w:tcPr>
            <w:tcW w:w="805" w:type="pct"/>
            <w:tcBorders>
              <w:tl2br w:val="nil"/>
              <w:tr2bl w:val="nil"/>
            </w:tcBorders>
            <w:noWrap w:val="0"/>
            <w:vAlign w:val="center"/>
          </w:tcPr>
          <w:p w14:paraId="32472D3B">
            <w:pPr>
              <w:pageBreakBefore w:val="0"/>
              <w:widowControl w:val="0"/>
              <w:kinsoku/>
              <w:wordWrap/>
              <w:bidi w:val="0"/>
              <w:spacing w:line="228" w:lineRule="auto"/>
              <w:ind w:left="143" w:right="0" w:firstLine="0" w:firstLine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kern w:val="2"/>
                <w:sz w:val="21"/>
                <w:szCs w:val="21"/>
                <w:lang w:val="en-US" w:eastAsia="zh-CN" w:bidi="ar-SA"/>
              </w:rPr>
              <w:t>右侧K8+320</w:t>
            </w:r>
          </w:p>
        </w:tc>
      </w:tr>
      <w:tr w14:paraId="6F87A9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3" w:hRule="atLeast"/>
        </w:trPr>
        <w:tc>
          <w:tcPr>
            <w:tcW w:w="330" w:type="pct"/>
            <w:tcBorders>
              <w:tl2br w:val="nil"/>
              <w:tr2bl w:val="nil"/>
            </w:tcBorders>
            <w:noWrap w:val="0"/>
            <w:vAlign w:val="center"/>
          </w:tcPr>
          <w:p w14:paraId="3EDE1ADC">
            <w:pPr>
              <w:pageBreakBefore w:val="0"/>
              <w:kinsoku/>
              <w:wordWrap/>
              <w:bidi w:val="0"/>
              <w:adjustRightInd/>
              <w:snapToGrid/>
              <w:spacing w:line="195" w:lineRule="auto"/>
              <w:ind w:right="0" w:firstLine="0" w:firstLineChars="0"/>
              <w:jc w:val="center"/>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2</w:t>
            </w:r>
          </w:p>
        </w:tc>
        <w:tc>
          <w:tcPr>
            <w:tcW w:w="612" w:type="pct"/>
            <w:tcBorders>
              <w:tl2br w:val="nil"/>
              <w:tr2bl w:val="nil"/>
            </w:tcBorders>
            <w:noWrap w:val="0"/>
            <w:vAlign w:val="center"/>
          </w:tcPr>
          <w:p w14:paraId="0B57B07A">
            <w:pPr>
              <w:pageBreakBefore w:val="0"/>
              <w:widowControl w:val="0"/>
              <w:kinsoku/>
              <w:wordWrap/>
              <w:bidi w:val="0"/>
              <w:spacing w:line="224" w:lineRule="auto"/>
              <w:ind w:left="136" w:right="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5"/>
                <w:kern w:val="2"/>
                <w:sz w:val="21"/>
                <w:szCs w:val="21"/>
                <w:lang w:val="en-US" w:eastAsia="zh-CN" w:bidi="ar-SA"/>
              </w:rPr>
              <w:t>2#取土场</w:t>
            </w:r>
          </w:p>
        </w:tc>
        <w:tc>
          <w:tcPr>
            <w:tcW w:w="538" w:type="pct"/>
            <w:tcBorders>
              <w:tl2br w:val="nil"/>
              <w:tr2bl w:val="nil"/>
            </w:tcBorders>
            <w:noWrap w:val="0"/>
            <w:vAlign w:val="center"/>
          </w:tcPr>
          <w:p w14:paraId="269FF761">
            <w:pPr>
              <w:pageBreakBefore w:val="0"/>
              <w:kinsoku/>
              <w:wordWrap/>
              <w:bidi w:val="0"/>
              <w:adjustRightInd/>
              <w:snapToGrid/>
              <w:spacing w:line="195" w:lineRule="auto"/>
              <w:ind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3"/>
                <w:sz w:val="21"/>
                <w:szCs w:val="21"/>
                <w:lang w:val="en-US" w:eastAsia="zh-CN"/>
              </w:rPr>
              <w:t>197000</w:t>
            </w:r>
          </w:p>
        </w:tc>
        <w:tc>
          <w:tcPr>
            <w:tcW w:w="701" w:type="pct"/>
            <w:tcBorders>
              <w:tl2br w:val="nil"/>
              <w:tr2bl w:val="nil"/>
            </w:tcBorders>
            <w:noWrap w:val="0"/>
            <w:vAlign w:val="top"/>
          </w:tcPr>
          <w:p w14:paraId="4451D786">
            <w:pPr>
              <w:pageBreakBefore w:val="0"/>
              <w:widowControl w:val="0"/>
              <w:kinsoku/>
              <w:wordWrap/>
              <w:bidi w:val="0"/>
              <w:spacing w:line="228" w:lineRule="auto"/>
              <w:ind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裸岩石砾地</w:t>
            </w:r>
          </w:p>
          <w:p w14:paraId="6FA14C1A">
            <w:pPr>
              <w:pageBreakBefore w:val="0"/>
              <w:widowControl w:val="0"/>
              <w:kinsoku/>
              <w:wordWrap/>
              <w:bidi w:val="0"/>
              <w:spacing w:line="224" w:lineRule="auto"/>
              <w:ind w:left="325" w:right="0" w:firstLine="0" w:firstLineChars="0"/>
              <w:jc w:val="both"/>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kern w:val="0"/>
                <w:sz w:val="21"/>
                <w:szCs w:val="21"/>
                <w:highlight w:val="none"/>
                <w:lang w:val="en-US" w:eastAsia="zh-CN" w:bidi="ar-SA"/>
              </w:rPr>
              <w:t>（戈壁）</w:t>
            </w:r>
          </w:p>
        </w:tc>
        <w:tc>
          <w:tcPr>
            <w:tcW w:w="827" w:type="dxa"/>
            <w:tcBorders>
              <w:tl2br w:val="nil"/>
              <w:tr2bl w:val="nil"/>
            </w:tcBorders>
            <w:noWrap w:val="0"/>
            <w:vAlign w:val="center"/>
          </w:tcPr>
          <w:p w14:paraId="5A6DBFA1">
            <w:pPr>
              <w:pageBreakBefore w:val="0"/>
              <w:kinsoku/>
              <w:wordWrap/>
              <w:bidi w:val="0"/>
              <w:adjustRightInd/>
              <w:snapToGrid/>
              <w:spacing w:line="195" w:lineRule="auto"/>
              <w:ind w:left="0" w:leftChars="0" w:right="0" w:firstLine="0" w:firstLineChars="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lang w:val="en-US" w:eastAsia="zh-CN"/>
              </w:rPr>
              <w:t>984300</w:t>
            </w:r>
          </w:p>
        </w:tc>
        <w:tc>
          <w:tcPr>
            <w:tcW w:w="730" w:type="pct"/>
            <w:tcBorders>
              <w:tl2br w:val="nil"/>
              <w:tr2bl w:val="nil"/>
            </w:tcBorders>
            <w:noWrap w:val="0"/>
            <w:vAlign w:val="center"/>
          </w:tcPr>
          <w:p w14:paraId="71BACE5B">
            <w:pPr>
              <w:pageBreakBefore w:val="0"/>
              <w:kinsoku/>
              <w:wordWrap/>
              <w:bidi w:val="0"/>
              <w:adjustRightInd/>
              <w:snapToGrid/>
              <w:spacing w:line="195" w:lineRule="auto"/>
              <w:ind w:right="0" w:firstLine="0" w:firstLineChars="0"/>
              <w:jc w:val="center"/>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984344</w:t>
            </w:r>
          </w:p>
        </w:tc>
        <w:tc>
          <w:tcPr>
            <w:tcW w:w="815" w:type="pct"/>
            <w:tcBorders>
              <w:tl2br w:val="nil"/>
              <w:tr2bl w:val="nil"/>
            </w:tcBorders>
            <w:noWrap w:val="0"/>
            <w:vAlign w:val="center"/>
          </w:tcPr>
          <w:p w14:paraId="5860906F">
            <w:pPr>
              <w:pageBreakBefore w:val="0"/>
              <w:widowControl w:val="0"/>
              <w:kinsoku/>
              <w:wordWrap/>
              <w:bidi w:val="0"/>
              <w:spacing w:line="224" w:lineRule="auto"/>
              <w:ind w:right="0" w:firstLine="0" w:firstLine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kern w:val="2"/>
                <w:sz w:val="21"/>
                <w:szCs w:val="21"/>
                <w:lang w:val="en-US" w:eastAsia="zh-CN" w:bidi="ar-SA"/>
              </w:rPr>
              <w:t>凹地</w:t>
            </w:r>
          </w:p>
        </w:tc>
        <w:tc>
          <w:tcPr>
            <w:tcW w:w="805" w:type="pct"/>
            <w:tcBorders>
              <w:tl2br w:val="nil"/>
              <w:tr2bl w:val="nil"/>
            </w:tcBorders>
            <w:noWrap w:val="0"/>
            <w:vAlign w:val="center"/>
          </w:tcPr>
          <w:p w14:paraId="14557C02">
            <w:pPr>
              <w:pageBreakBefore w:val="0"/>
              <w:widowControl w:val="0"/>
              <w:kinsoku/>
              <w:wordWrap/>
              <w:bidi w:val="0"/>
              <w:spacing w:line="224" w:lineRule="auto"/>
              <w:ind w:left="127" w:right="0" w:firstLine="0" w:firstLine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5"/>
                <w:kern w:val="2"/>
                <w:sz w:val="21"/>
                <w:szCs w:val="21"/>
                <w:lang w:val="en-US" w:eastAsia="zh-CN" w:bidi="ar-SA"/>
              </w:rPr>
              <w:t>左侧K5+320</w:t>
            </w:r>
          </w:p>
        </w:tc>
      </w:tr>
    </w:tbl>
    <w:p w14:paraId="1554DDFB">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（2）弃土场</w:t>
      </w:r>
    </w:p>
    <w:p w14:paraId="429D7334">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本项目设置4处弃土场。其中弃土场1位于K8+694右侧，占地面积为11000m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，可容纳弃土185000m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；弃土场2位于K9+065右侧，占地面积为13800m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，可容纳弃土254900m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；弃土场3位于K9+065左侧，占地面积为33300m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，可容纳弃土484100m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；弃土场4位于K9+460右侧，占地面积为19500m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，可容纳弃土374700m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。该四处弃土场主要负责兰干山大桥至终点段废弃土方；施工过程中废弃土方集中收集后，运至指定的弃土场，施工完毕后进行压实平整。</w:t>
      </w:r>
    </w:p>
    <w:p w14:paraId="48D037D5">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3.2.</w:t>
      </w:r>
      <w:r>
        <w:rPr>
          <w:rFonts w:hint="eastAsia" w:ascii="Times New Roman" w:hAnsi="Times New Roman" w:cs="Times New Roman"/>
          <w:color w:val="auto"/>
          <w:lang w:val="en-US" w:eastAsia="zh-CN"/>
        </w:rPr>
        <w:t>6</w:t>
      </w:r>
      <w:r>
        <w:rPr>
          <w:rFonts w:hint="default" w:ascii="Times New Roman" w:hAnsi="Times New Roman" w:cs="Times New Roman"/>
          <w:color w:val="auto"/>
          <w:lang w:val="en-US" w:eastAsia="zh-CN"/>
        </w:rPr>
        <w:t xml:space="preserve"> 占地与拆迁数量</w:t>
      </w:r>
    </w:p>
    <w:p w14:paraId="4DF76565">
      <w:pPr>
        <w:keepNext w:val="0"/>
        <w:keepLines w:val="0"/>
        <w:pageBreakBefore w:val="0"/>
        <w:widowControl w:val="0"/>
        <w:kinsoku/>
        <w:wordWrap/>
        <w:overflowPunct/>
        <w:topLinePunct w:val="0"/>
        <w:autoSpaceDE/>
        <w:autoSpaceDN/>
        <w:bidi w:val="0"/>
        <w:adjustRightInd/>
        <w:snapToGrid/>
        <w:spacing w:before="0" w:after="0" w:line="360" w:lineRule="auto"/>
        <w:ind w:right="0" w:firstLine="480" w:firstLineChars="200"/>
        <w:jc w:val="both"/>
        <w:textAlignment w:val="auto"/>
        <w:outlineLvl w:val="9"/>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本项目永久占地面积为329923m</w:t>
      </w:r>
      <w:r>
        <w:rPr>
          <w:rFonts w:hint="default" w:ascii="Times New Roman" w:hAnsi="Times New Roman" w:eastAsia="宋体" w:cs="Times New Roman"/>
          <w:b w:val="0"/>
          <w:bCs w:val="0"/>
          <w:color w:val="auto"/>
          <w:kern w:val="2"/>
          <w:sz w:val="24"/>
          <w:szCs w:val="24"/>
          <w:highlight w:val="none"/>
          <w:vertAlign w:val="superscript"/>
          <w:lang w:val="en-US" w:eastAsia="zh-CN" w:bidi="ar-SA"/>
        </w:rPr>
        <w:t>2</w:t>
      </w:r>
      <w:r>
        <w:rPr>
          <w:rFonts w:hint="default" w:ascii="Times New Roman" w:hAnsi="Times New Roman" w:eastAsia="宋体" w:cs="Times New Roman"/>
          <w:b w:val="0"/>
          <w:bCs w:val="0"/>
          <w:color w:val="auto"/>
          <w:kern w:val="2"/>
          <w:sz w:val="24"/>
          <w:szCs w:val="24"/>
          <w:highlight w:val="none"/>
          <w:lang w:val="en-US" w:eastAsia="zh-CN" w:bidi="ar-SA"/>
        </w:rPr>
        <w:t>，临时占地为450133m</w:t>
      </w:r>
      <w:r>
        <w:rPr>
          <w:rFonts w:hint="default" w:ascii="Times New Roman" w:hAnsi="Times New Roman" w:eastAsia="宋体" w:cs="Times New Roman"/>
          <w:b w:val="0"/>
          <w:bCs w:val="0"/>
          <w:color w:val="auto"/>
          <w:kern w:val="2"/>
          <w:sz w:val="24"/>
          <w:szCs w:val="24"/>
          <w:highlight w:val="none"/>
          <w:vertAlign w:val="superscript"/>
          <w:lang w:val="en-US" w:eastAsia="zh-CN" w:bidi="ar-SA"/>
        </w:rPr>
        <w:t>2</w:t>
      </w:r>
      <w:r>
        <w:rPr>
          <w:rFonts w:hint="default" w:ascii="Times New Roman" w:hAnsi="Times New Roman" w:eastAsia="宋体" w:cs="Times New Roman"/>
          <w:b w:val="0"/>
          <w:bCs w:val="0"/>
          <w:color w:val="auto"/>
          <w:kern w:val="2"/>
          <w:sz w:val="24"/>
          <w:szCs w:val="24"/>
          <w:highlight w:val="none"/>
          <w:vertAlign w:val="baseline"/>
          <w:lang w:val="en-US" w:eastAsia="zh-CN" w:bidi="ar-SA"/>
        </w:rPr>
        <w:t>。</w:t>
      </w:r>
      <w:r>
        <w:rPr>
          <w:rFonts w:hint="default" w:ascii="Times New Roman" w:hAnsi="Times New Roman" w:eastAsia="宋体" w:cs="Times New Roman"/>
          <w:b w:val="0"/>
          <w:bCs w:val="0"/>
          <w:color w:val="auto"/>
          <w:kern w:val="2"/>
          <w:sz w:val="24"/>
          <w:szCs w:val="24"/>
          <w:highlight w:val="none"/>
          <w:lang w:val="en-US" w:eastAsia="zh-CN" w:bidi="ar-SA"/>
        </w:rPr>
        <w:t>根据《土地利用现状分类》（GB/T21010-2017）及结合卫片解译，项目区占地类型主要为其他土地—裸岩石砾地（裸岩石质地、戈壁）、少量的建设用地及农用地。关于农用地占用的具体情况，依据阿图什市自然资源局出具的《S227阿图什至喀什公路新建工程（隧道）路线建设方案意见的回函》明确，项目收费站（与隧道管理站合建）涉及占用</w:t>
      </w:r>
      <w:r>
        <w:rPr>
          <w:rFonts w:hint="eastAsia" w:cs="Times New Roman"/>
          <w:b w:val="0"/>
          <w:bCs w:val="0"/>
          <w:color w:val="auto"/>
          <w:kern w:val="2"/>
          <w:sz w:val="24"/>
          <w:szCs w:val="24"/>
          <w:highlight w:val="none"/>
          <w:lang w:val="en-US" w:eastAsia="zh-CN" w:bidi="ar-SA"/>
        </w:rPr>
        <w:t>园地</w:t>
      </w:r>
      <w:r>
        <w:rPr>
          <w:rFonts w:hint="default" w:ascii="Times New Roman" w:hAnsi="Times New Roman" w:eastAsia="宋体" w:cs="Times New Roman"/>
          <w:b w:val="0"/>
          <w:bCs w:val="0"/>
          <w:color w:val="auto"/>
          <w:kern w:val="2"/>
          <w:sz w:val="24"/>
          <w:szCs w:val="24"/>
          <w:highlight w:val="none"/>
          <w:lang w:val="en-US" w:eastAsia="zh-CN" w:bidi="ar-SA"/>
        </w:rPr>
        <w:t>。</w:t>
      </w:r>
    </w:p>
    <w:p w14:paraId="207D200B">
      <w:pPr>
        <w:keepNext w:val="0"/>
        <w:keepLines w:val="0"/>
        <w:pageBreakBefore w:val="0"/>
        <w:widowControl w:val="0"/>
        <w:kinsoku/>
        <w:wordWrap/>
        <w:overflowPunct/>
        <w:topLinePunct w:val="0"/>
        <w:autoSpaceDE/>
        <w:autoSpaceDN/>
        <w:bidi w:val="0"/>
        <w:adjustRightInd/>
        <w:snapToGrid/>
        <w:spacing w:before="0" w:after="0" w:line="360" w:lineRule="auto"/>
        <w:ind w:right="0" w:firstLine="480" w:firstLineChars="200"/>
        <w:jc w:val="both"/>
        <w:textAlignment w:val="auto"/>
        <w:outlineLvl w:val="9"/>
        <w:rPr>
          <w:rFonts w:hint="default" w:ascii="Times New Roman" w:hAnsi="Times New Roman" w:eastAsia="宋体" w:cs="Times New Roman"/>
          <w:b w:val="0"/>
          <w:bCs w:val="0"/>
          <w:color w:val="auto"/>
          <w:kern w:val="2"/>
          <w:sz w:val="24"/>
          <w:szCs w:val="24"/>
          <w:highlight w:val="yellow"/>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经现场实地调查核实，项目区内实际占用的农用地主要为</w:t>
      </w:r>
      <w:r>
        <w:rPr>
          <w:rFonts w:hint="eastAsia" w:cs="Times New Roman"/>
          <w:b w:val="0"/>
          <w:bCs w:val="0"/>
          <w:color w:val="auto"/>
          <w:kern w:val="2"/>
          <w:sz w:val="24"/>
          <w:szCs w:val="24"/>
          <w:highlight w:val="none"/>
          <w:lang w:val="en-US" w:eastAsia="zh-CN" w:bidi="ar-SA"/>
        </w:rPr>
        <w:t>园地</w:t>
      </w:r>
      <w:r>
        <w:rPr>
          <w:rFonts w:hint="default" w:ascii="Times New Roman" w:hAnsi="Times New Roman" w:eastAsia="宋体" w:cs="Times New Roman"/>
          <w:b w:val="0"/>
          <w:bCs w:val="0"/>
          <w:color w:val="auto"/>
          <w:kern w:val="2"/>
          <w:sz w:val="24"/>
          <w:szCs w:val="24"/>
          <w:highlight w:val="none"/>
          <w:lang w:val="en-US" w:eastAsia="zh-CN" w:bidi="ar-SA"/>
        </w:rPr>
        <w:t>及一条农村道路，对于上述占用的农用地，项目建设单位将严格按照《自治区重点建设项目征地拆迁补偿标准》（新国土资发〔2009〕131号），对相关权利主体履行货币补偿措施，确保补偿依法依规足额到位。具体补偿措施由阿图什市人民政府主导实施。</w:t>
      </w:r>
    </w:p>
    <w:p w14:paraId="5F3297CD">
      <w:pPr>
        <w:keepNext w:val="0"/>
        <w:keepLines w:val="0"/>
        <w:pageBreakBefore w:val="0"/>
        <w:widowControl w:val="0"/>
        <w:kinsoku/>
        <w:wordWrap/>
        <w:overflowPunct/>
        <w:topLinePunct w:val="0"/>
        <w:autoSpaceDE/>
        <w:autoSpaceDN/>
        <w:bidi w:val="0"/>
        <w:adjustRightInd/>
        <w:snapToGrid/>
        <w:spacing w:before="0" w:after="0" w:line="360" w:lineRule="auto"/>
        <w:ind w:right="0" w:firstLine="480" w:firstLineChars="200"/>
        <w:jc w:val="both"/>
        <w:textAlignment w:val="auto"/>
        <w:outlineLvl w:val="9"/>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施工单位必须严格控制作业范围，严禁超设计范围施工。同时，项目将严格落实植被恢复措施，并对恢复效果进行跟踪检查和监测。</w:t>
      </w:r>
      <w:r>
        <w:rPr>
          <w:rFonts w:hint="default" w:ascii="Times New Roman" w:hAnsi="Times New Roman" w:eastAsia="宋体" w:cs="Times New Roman"/>
          <w:b w:val="0"/>
          <w:bCs w:val="0"/>
          <w:color w:val="auto"/>
          <w:kern w:val="2"/>
          <w:sz w:val="24"/>
          <w:szCs w:val="24"/>
          <w:highlight w:val="none"/>
          <w:vertAlign w:val="baseline"/>
          <w:lang w:val="en-US" w:eastAsia="zh-CN" w:bidi="ar-SA"/>
        </w:rPr>
        <w:t>本项目</w:t>
      </w:r>
      <w:r>
        <w:rPr>
          <w:rFonts w:hint="default" w:ascii="Times New Roman" w:hAnsi="Times New Roman" w:eastAsia="宋体" w:cs="Times New Roman"/>
          <w:b w:val="0"/>
          <w:bCs w:val="0"/>
          <w:color w:val="auto"/>
          <w:kern w:val="2"/>
          <w:sz w:val="24"/>
          <w:szCs w:val="24"/>
          <w:highlight w:val="none"/>
          <w:lang w:val="en-US" w:eastAsia="zh-CN" w:bidi="ar-SA"/>
        </w:rPr>
        <w:t>工程占地面积统计详见下表：</w:t>
      </w:r>
    </w:p>
    <w:p w14:paraId="413D22A2">
      <w:pPr>
        <w:pageBreakBefore w:val="0"/>
        <w:kinsoku/>
        <w:wordWrap/>
        <w:bidi w:val="0"/>
        <w:adjustRightInd/>
        <w:snapToGrid/>
        <w:spacing w:line="228" w:lineRule="auto"/>
        <w:ind w:left="0" w:leftChars="0" w:right="0" w:rightChars="0" w:firstLine="0" w:firstLineChars="0"/>
        <w:jc w:val="center"/>
        <w:rPr>
          <w:rFonts w:hint="default" w:ascii="Times New Roman" w:hAnsi="Times New Roman" w:eastAsia="宋体" w:cs="Times New Roman"/>
          <w:b/>
          <w:bCs/>
          <w:color w:val="auto"/>
          <w:spacing w:val="5"/>
          <w:sz w:val="20"/>
          <w:szCs w:val="20"/>
        </w:rPr>
      </w:pPr>
      <w:r>
        <w:rPr>
          <w:rFonts w:hint="default" w:ascii="Times New Roman" w:hAnsi="Times New Roman" w:eastAsia="宋体" w:cs="Times New Roman"/>
          <w:b/>
          <w:bCs/>
          <w:color w:val="auto"/>
          <w:spacing w:val="5"/>
          <w:sz w:val="20"/>
          <w:szCs w:val="20"/>
        </w:rPr>
        <w:t>表</w:t>
      </w:r>
      <w:r>
        <w:rPr>
          <w:rFonts w:hint="eastAsia" w:ascii="Times New Roman" w:hAnsi="Times New Roman" w:eastAsia="宋体" w:cs="Times New Roman"/>
          <w:b/>
          <w:bCs/>
          <w:color w:val="auto"/>
          <w:spacing w:val="5"/>
          <w:sz w:val="20"/>
          <w:szCs w:val="20"/>
          <w:lang w:val="en-US" w:eastAsia="zh-CN"/>
        </w:rPr>
        <w:t>3.2-</w:t>
      </w:r>
      <w:r>
        <w:rPr>
          <w:rFonts w:hint="eastAsia" w:cs="Times New Roman"/>
          <w:b/>
          <w:bCs/>
          <w:color w:val="auto"/>
          <w:spacing w:val="5"/>
          <w:sz w:val="20"/>
          <w:szCs w:val="20"/>
          <w:lang w:val="en-US" w:eastAsia="zh-CN"/>
        </w:rPr>
        <w:t>15</w:t>
      </w:r>
      <w:r>
        <w:rPr>
          <w:rFonts w:hint="default" w:ascii="Times New Roman" w:hAnsi="Times New Roman" w:eastAsia="宋体" w:cs="Times New Roman"/>
          <w:b/>
          <w:bCs/>
          <w:color w:val="auto"/>
          <w:spacing w:val="5"/>
          <w:sz w:val="20"/>
          <w:szCs w:val="20"/>
          <w:lang w:val="en-US" w:eastAsia="zh-CN"/>
        </w:rPr>
        <w:t xml:space="preserve">   </w:t>
      </w:r>
      <w:r>
        <w:rPr>
          <w:rFonts w:hint="default" w:ascii="Times New Roman" w:hAnsi="Times New Roman" w:eastAsia="宋体" w:cs="Times New Roman"/>
          <w:b/>
          <w:bCs/>
          <w:color w:val="auto"/>
          <w:spacing w:val="5"/>
          <w:sz w:val="20"/>
          <w:szCs w:val="20"/>
        </w:rPr>
        <w:t>项目</w:t>
      </w:r>
      <w:r>
        <w:rPr>
          <w:rFonts w:hint="default" w:ascii="Times New Roman" w:hAnsi="Times New Roman" w:eastAsia="宋体" w:cs="Times New Roman"/>
          <w:b/>
          <w:bCs/>
          <w:color w:val="auto"/>
          <w:spacing w:val="5"/>
          <w:sz w:val="20"/>
          <w:szCs w:val="20"/>
          <w:lang w:val="en-US" w:eastAsia="zh-CN"/>
        </w:rPr>
        <w:t>永久</w:t>
      </w:r>
      <w:r>
        <w:rPr>
          <w:rFonts w:hint="default" w:ascii="Times New Roman" w:hAnsi="Times New Roman" w:eastAsia="宋体" w:cs="Times New Roman"/>
          <w:b/>
          <w:bCs/>
          <w:color w:val="auto"/>
          <w:spacing w:val="5"/>
          <w:sz w:val="20"/>
          <w:szCs w:val="20"/>
        </w:rPr>
        <w:t>占地情况统计表  单位：m</w:t>
      </w:r>
      <w:r>
        <w:rPr>
          <w:rFonts w:hint="default" w:ascii="Times New Roman" w:hAnsi="Times New Roman" w:eastAsia="宋体" w:cs="Times New Roman"/>
          <w:b/>
          <w:bCs/>
          <w:color w:val="auto"/>
          <w:spacing w:val="5"/>
          <w:sz w:val="20"/>
          <w:szCs w:val="20"/>
          <w:vertAlign w:val="superscript"/>
        </w:rPr>
        <w:t>2</w:t>
      </w:r>
    </w:p>
    <w:tbl>
      <w:tblPr>
        <w:tblStyle w:val="3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2"/>
        <w:gridCol w:w="1033"/>
        <w:gridCol w:w="1636"/>
        <w:gridCol w:w="1336"/>
        <w:gridCol w:w="2626"/>
        <w:gridCol w:w="1215"/>
      </w:tblGrid>
      <w:tr w14:paraId="0DE72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5" w:type="pct"/>
            <w:tcBorders>
              <w:tl2br w:val="nil"/>
              <w:tr2bl w:val="nil"/>
            </w:tcBorders>
            <w:noWrap w:val="0"/>
            <w:vAlign w:val="center"/>
          </w:tcPr>
          <w:p w14:paraId="4DA2066C">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性质</w:t>
            </w:r>
          </w:p>
        </w:tc>
        <w:tc>
          <w:tcPr>
            <w:tcW w:w="1565" w:type="pct"/>
            <w:gridSpan w:val="2"/>
            <w:tcBorders>
              <w:tl2br w:val="nil"/>
              <w:tr2bl w:val="nil"/>
            </w:tcBorders>
            <w:noWrap w:val="0"/>
            <w:vAlign w:val="center"/>
          </w:tcPr>
          <w:p w14:paraId="7415E2E6">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名称</w:t>
            </w:r>
          </w:p>
        </w:tc>
        <w:tc>
          <w:tcPr>
            <w:tcW w:w="784" w:type="pct"/>
            <w:tcBorders>
              <w:tl2br w:val="nil"/>
              <w:tr2bl w:val="nil"/>
            </w:tcBorders>
            <w:noWrap w:val="0"/>
            <w:vAlign w:val="center"/>
          </w:tcPr>
          <w:p w14:paraId="7B94819B">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val="en-US" w:eastAsia="zh-CN"/>
              </w:rPr>
              <w:t>占地面积</w:t>
            </w:r>
          </w:p>
        </w:tc>
        <w:tc>
          <w:tcPr>
            <w:tcW w:w="1541" w:type="pct"/>
            <w:tcBorders>
              <w:tl2br w:val="nil"/>
              <w:tr2bl w:val="nil"/>
            </w:tcBorders>
            <w:noWrap w:val="0"/>
            <w:vAlign w:val="center"/>
          </w:tcPr>
          <w:p w14:paraId="5AC8F214">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占地类型</w:t>
            </w:r>
          </w:p>
        </w:tc>
        <w:tc>
          <w:tcPr>
            <w:tcW w:w="713" w:type="pct"/>
            <w:tcBorders>
              <w:tl2br w:val="nil"/>
              <w:tr2bl w:val="nil"/>
            </w:tcBorders>
            <w:noWrap w:val="0"/>
            <w:vAlign w:val="center"/>
          </w:tcPr>
          <w:p w14:paraId="709ADE01">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备注</w:t>
            </w:r>
          </w:p>
        </w:tc>
      </w:tr>
      <w:tr w14:paraId="3B079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395" w:type="pct"/>
            <w:vMerge w:val="restart"/>
            <w:tcBorders>
              <w:tl2br w:val="nil"/>
              <w:tr2bl w:val="nil"/>
            </w:tcBorders>
            <w:noWrap w:val="0"/>
            <w:vAlign w:val="center"/>
          </w:tcPr>
          <w:p w14:paraId="124C9524">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永久</w:t>
            </w:r>
          </w:p>
          <w:p w14:paraId="53FEECB4">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占地</w:t>
            </w:r>
          </w:p>
        </w:tc>
        <w:tc>
          <w:tcPr>
            <w:tcW w:w="1565" w:type="pct"/>
            <w:gridSpan w:val="2"/>
            <w:tcBorders>
              <w:tl2br w:val="nil"/>
              <w:tr2bl w:val="nil"/>
            </w:tcBorders>
            <w:noWrap w:val="0"/>
            <w:vAlign w:val="center"/>
          </w:tcPr>
          <w:p w14:paraId="6677CC4C">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路基工程区</w:t>
            </w:r>
          </w:p>
        </w:tc>
        <w:tc>
          <w:tcPr>
            <w:tcW w:w="784" w:type="pct"/>
            <w:tcBorders>
              <w:tl2br w:val="nil"/>
              <w:tr2bl w:val="nil"/>
            </w:tcBorders>
            <w:noWrap w:val="0"/>
            <w:vAlign w:val="center"/>
          </w:tcPr>
          <w:p w14:paraId="3716D7AA">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282586.39</w:t>
            </w:r>
          </w:p>
        </w:tc>
        <w:tc>
          <w:tcPr>
            <w:tcW w:w="1541" w:type="pct"/>
            <w:tcBorders>
              <w:tl2br w:val="nil"/>
              <w:tr2bl w:val="nil"/>
            </w:tcBorders>
            <w:noWrap w:val="0"/>
            <w:vAlign w:val="center"/>
          </w:tcPr>
          <w:p w14:paraId="22487F08">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裸岩石砾地（戈壁、裸岩石质地）</w:t>
            </w:r>
          </w:p>
        </w:tc>
        <w:tc>
          <w:tcPr>
            <w:tcW w:w="713" w:type="pct"/>
            <w:tcBorders>
              <w:tl2br w:val="nil"/>
              <w:tr2bl w:val="nil"/>
            </w:tcBorders>
            <w:noWrap w:val="0"/>
            <w:vAlign w:val="center"/>
          </w:tcPr>
          <w:p w14:paraId="7C33B079">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喀什市</w:t>
            </w:r>
          </w:p>
        </w:tc>
      </w:tr>
      <w:tr w14:paraId="45580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395" w:type="pct"/>
            <w:vMerge w:val="continue"/>
            <w:tcBorders>
              <w:tl2br w:val="nil"/>
              <w:tr2bl w:val="nil"/>
            </w:tcBorders>
            <w:noWrap w:val="0"/>
            <w:vAlign w:val="center"/>
          </w:tcPr>
          <w:p w14:paraId="2F3BE62D">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p>
        </w:tc>
        <w:tc>
          <w:tcPr>
            <w:tcW w:w="1565" w:type="pct"/>
            <w:gridSpan w:val="2"/>
            <w:tcBorders>
              <w:tl2br w:val="nil"/>
              <w:tr2bl w:val="nil"/>
            </w:tcBorders>
            <w:noWrap w:val="0"/>
            <w:vAlign w:val="center"/>
          </w:tcPr>
          <w:p w14:paraId="35291ACF">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隧道工程区</w:t>
            </w:r>
          </w:p>
        </w:tc>
        <w:tc>
          <w:tcPr>
            <w:tcW w:w="784" w:type="pct"/>
            <w:tcBorders>
              <w:tl2br w:val="nil"/>
              <w:tr2bl w:val="nil"/>
            </w:tcBorders>
            <w:noWrap w:val="0"/>
            <w:vAlign w:val="center"/>
          </w:tcPr>
          <w:p w14:paraId="4B0B7A34">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14250</w:t>
            </w:r>
          </w:p>
        </w:tc>
        <w:tc>
          <w:tcPr>
            <w:tcW w:w="1541" w:type="pct"/>
            <w:tcBorders>
              <w:tl2br w:val="nil"/>
              <w:tr2bl w:val="nil"/>
            </w:tcBorders>
            <w:noWrap w:val="0"/>
            <w:vAlign w:val="center"/>
          </w:tcPr>
          <w:p w14:paraId="163D6B8A">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裸岩石砾地（戈壁、裸岩石质地）</w:t>
            </w:r>
          </w:p>
        </w:tc>
        <w:tc>
          <w:tcPr>
            <w:tcW w:w="713" w:type="pct"/>
            <w:tcBorders>
              <w:tl2br w:val="nil"/>
              <w:tr2bl w:val="nil"/>
            </w:tcBorders>
            <w:noWrap w:val="0"/>
            <w:vAlign w:val="center"/>
          </w:tcPr>
          <w:p w14:paraId="5FF6B9A9">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阿图什市</w:t>
            </w:r>
          </w:p>
        </w:tc>
      </w:tr>
      <w:tr w14:paraId="27ED1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395" w:type="pct"/>
            <w:vMerge w:val="continue"/>
            <w:tcBorders>
              <w:tl2br w:val="nil"/>
              <w:tr2bl w:val="nil"/>
            </w:tcBorders>
            <w:noWrap w:val="0"/>
            <w:vAlign w:val="center"/>
          </w:tcPr>
          <w:p w14:paraId="63419F9D">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p>
        </w:tc>
        <w:tc>
          <w:tcPr>
            <w:tcW w:w="1565" w:type="pct"/>
            <w:gridSpan w:val="2"/>
            <w:tcBorders>
              <w:tl2br w:val="nil"/>
              <w:tr2bl w:val="nil"/>
            </w:tcBorders>
            <w:noWrap w:val="0"/>
            <w:vAlign w:val="center"/>
          </w:tcPr>
          <w:p w14:paraId="59B5C0F6">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桥梁工程区（</w:t>
            </w:r>
            <w:r>
              <w:rPr>
                <w:rFonts w:hint="default" w:ascii="Times New Roman" w:hAnsi="Times New Roman" w:eastAsia="宋体" w:cs="Times New Roman"/>
                <w:color w:val="auto"/>
                <w:kern w:val="0"/>
                <w:sz w:val="21"/>
                <w:szCs w:val="21"/>
                <w:lang w:val="en-US" w:eastAsia="zh-CN" w:bidi="ar"/>
              </w:rPr>
              <w:t>兰干山大桥</w:t>
            </w:r>
            <w:r>
              <w:rPr>
                <w:rFonts w:hint="default" w:ascii="Times New Roman" w:hAnsi="Times New Roman" w:eastAsia="宋体" w:cs="Times New Roman"/>
                <w:color w:val="auto"/>
                <w:kern w:val="0"/>
                <w:sz w:val="21"/>
                <w:szCs w:val="21"/>
                <w:lang w:val="en-US" w:eastAsia="zh-CN"/>
              </w:rPr>
              <w:t>）</w:t>
            </w:r>
          </w:p>
        </w:tc>
        <w:tc>
          <w:tcPr>
            <w:tcW w:w="784" w:type="pct"/>
            <w:tcBorders>
              <w:tl2br w:val="nil"/>
              <w:tr2bl w:val="nil"/>
            </w:tcBorders>
            <w:noWrap w:val="0"/>
            <w:vAlign w:val="center"/>
          </w:tcPr>
          <w:p w14:paraId="06F064D5">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8062</w:t>
            </w:r>
          </w:p>
        </w:tc>
        <w:tc>
          <w:tcPr>
            <w:tcW w:w="1541" w:type="pct"/>
            <w:tcBorders>
              <w:tl2br w:val="nil"/>
              <w:tr2bl w:val="nil"/>
            </w:tcBorders>
            <w:noWrap w:val="0"/>
            <w:vAlign w:val="center"/>
          </w:tcPr>
          <w:p w14:paraId="02236882">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裸岩石砾地（裸岩石质地）</w:t>
            </w:r>
          </w:p>
        </w:tc>
        <w:tc>
          <w:tcPr>
            <w:tcW w:w="713" w:type="pct"/>
            <w:tcBorders>
              <w:tl2br w:val="nil"/>
              <w:tr2bl w:val="nil"/>
            </w:tcBorders>
            <w:noWrap w:val="0"/>
            <w:vAlign w:val="center"/>
          </w:tcPr>
          <w:p w14:paraId="2F25B1BA">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喀什市</w:t>
            </w:r>
          </w:p>
        </w:tc>
      </w:tr>
      <w:tr w14:paraId="47D01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395" w:type="pct"/>
            <w:vMerge w:val="continue"/>
            <w:tcBorders>
              <w:tl2br w:val="nil"/>
              <w:tr2bl w:val="nil"/>
            </w:tcBorders>
            <w:noWrap w:val="0"/>
            <w:vAlign w:val="center"/>
          </w:tcPr>
          <w:p w14:paraId="76910EDD">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p>
        </w:tc>
        <w:tc>
          <w:tcPr>
            <w:tcW w:w="1565" w:type="pct"/>
            <w:gridSpan w:val="2"/>
            <w:tcBorders>
              <w:tl2br w:val="nil"/>
              <w:tr2bl w:val="nil"/>
            </w:tcBorders>
            <w:noWrap w:val="0"/>
            <w:vAlign w:val="center"/>
          </w:tcPr>
          <w:p w14:paraId="00CF2727">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桥梁工程区（G3012跨线桥）</w:t>
            </w:r>
          </w:p>
        </w:tc>
        <w:tc>
          <w:tcPr>
            <w:tcW w:w="784" w:type="pct"/>
            <w:tcBorders>
              <w:tl2br w:val="nil"/>
              <w:tr2bl w:val="nil"/>
            </w:tcBorders>
            <w:noWrap w:val="0"/>
            <w:vAlign w:val="center"/>
          </w:tcPr>
          <w:p w14:paraId="349D2786">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5365</w:t>
            </w:r>
          </w:p>
        </w:tc>
        <w:tc>
          <w:tcPr>
            <w:tcW w:w="1541" w:type="pct"/>
            <w:tcBorders>
              <w:tl2br w:val="nil"/>
              <w:tr2bl w:val="nil"/>
            </w:tcBorders>
            <w:noWrap w:val="0"/>
            <w:vAlign w:val="center"/>
          </w:tcPr>
          <w:p w14:paraId="31218ABE">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裸岩石砾地（裸岩石质地）、少量的建设用地</w:t>
            </w:r>
          </w:p>
        </w:tc>
        <w:tc>
          <w:tcPr>
            <w:tcW w:w="713" w:type="pct"/>
            <w:tcBorders>
              <w:tl2br w:val="nil"/>
              <w:tr2bl w:val="nil"/>
            </w:tcBorders>
            <w:noWrap w:val="0"/>
            <w:vAlign w:val="center"/>
          </w:tcPr>
          <w:p w14:paraId="13641368">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喀什市</w:t>
            </w:r>
          </w:p>
        </w:tc>
      </w:tr>
      <w:tr w14:paraId="573A3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395" w:type="pct"/>
            <w:vMerge w:val="continue"/>
            <w:tcBorders>
              <w:tl2br w:val="nil"/>
              <w:tr2bl w:val="nil"/>
            </w:tcBorders>
            <w:noWrap w:val="0"/>
            <w:vAlign w:val="center"/>
          </w:tcPr>
          <w:p w14:paraId="7F72FE57">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p>
        </w:tc>
        <w:tc>
          <w:tcPr>
            <w:tcW w:w="1565" w:type="pct"/>
            <w:gridSpan w:val="2"/>
            <w:tcBorders>
              <w:tl2br w:val="nil"/>
              <w:tr2bl w:val="nil"/>
            </w:tcBorders>
            <w:noWrap w:val="0"/>
            <w:vAlign w:val="center"/>
          </w:tcPr>
          <w:p w14:paraId="2FE33770">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隧道配电室</w:t>
            </w:r>
          </w:p>
        </w:tc>
        <w:tc>
          <w:tcPr>
            <w:tcW w:w="784" w:type="pct"/>
            <w:tcBorders>
              <w:tl2br w:val="nil"/>
              <w:tr2bl w:val="nil"/>
            </w:tcBorders>
            <w:noWrap w:val="0"/>
            <w:vAlign w:val="center"/>
          </w:tcPr>
          <w:p w14:paraId="18FFB5DE">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2500.61</w:t>
            </w:r>
          </w:p>
        </w:tc>
        <w:tc>
          <w:tcPr>
            <w:tcW w:w="1541" w:type="pct"/>
            <w:tcBorders>
              <w:tl2br w:val="nil"/>
              <w:tr2bl w:val="nil"/>
            </w:tcBorders>
            <w:noWrap w:val="0"/>
            <w:vAlign w:val="center"/>
          </w:tcPr>
          <w:p w14:paraId="07577D9F">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裸岩石砾地（裸岩石质地）</w:t>
            </w:r>
          </w:p>
        </w:tc>
        <w:tc>
          <w:tcPr>
            <w:tcW w:w="713" w:type="pct"/>
            <w:tcBorders>
              <w:tl2br w:val="nil"/>
              <w:tr2bl w:val="nil"/>
            </w:tcBorders>
            <w:noWrap w:val="0"/>
            <w:vAlign w:val="center"/>
          </w:tcPr>
          <w:p w14:paraId="35DE008E">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阿图什市</w:t>
            </w:r>
          </w:p>
        </w:tc>
      </w:tr>
      <w:tr w14:paraId="1D6E7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395" w:type="pct"/>
            <w:vMerge w:val="continue"/>
            <w:tcBorders>
              <w:tl2br w:val="nil"/>
              <w:tr2bl w:val="nil"/>
            </w:tcBorders>
            <w:noWrap w:val="0"/>
            <w:vAlign w:val="center"/>
          </w:tcPr>
          <w:p w14:paraId="26BBD10F">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p>
        </w:tc>
        <w:tc>
          <w:tcPr>
            <w:tcW w:w="606" w:type="pct"/>
            <w:tcBorders>
              <w:tl2br w:val="nil"/>
              <w:tr2bl w:val="nil"/>
            </w:tcBorders>
            <w:noWrap w:val="0"/>
            <w:vAlign w:val="center"/>
          </w:tcPr>
          <w:p w14:paraId="71FA73A4">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附属工程</w:t>
            </w:r>
          </w:p>
        </w:tc>
        <w:tc>
          <w:tcPr>
            <w:tcW w:w="959" w:type="pct"/>
            <w:tcBorders>
              <w:tl2br w:val="nil"/>
              <w:tr2bl w:val="nil"/>
            </w:tcBorders>
            <w:noWrap w:val="0"/>
            <w:vAlign w:val="center"/>
          </w:tcPr>
          <w:p w14:paraId="79E89439">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收费站（与隧道管理站合建）</w:t>
            </w:r>
          </w:p>
        </w:tc>
        <w:tc>
          <w:tcPr>
            <w:tcW w:w="784" w:type="pct"/>
            <w:tcBorders>
              <w:tl2br w:val="nil"/>
              <w:tr2bl w:val="nil"/>
            </w:tcBorders>
            <w:noWrap w:val="0"/>
            <w:vAlign w:val="center"/>
          </w:tcPr>
          <w:p w14:paraId="09AF51DF">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17159</w:t>
            </w:r>
          </w:p>
        </w:tc>
        <w:tc>
          <w:tcPr>
            <w:tcW w:w="1541" w:type="pct"/>
            <w:tcBorders>
              <w:tl2br w:val="nil"/>
              <w:tr2bl w:val="nil"/>
            </w:tcBorders>
            <w:noWrap w:val="0"/>
            <w:vAlign w:val="center"/>
          </w:tcPr>
          <w:p w14:paraId="1E609DB3">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园地</w:t>
            </w:r>
          </w:p>
        </w:tc>
        <w:tc>
          <w:tcPr>
            <w:tcW w:w="713" w:type="pct"/>
            <w:tcBorders>
              <w:tl2br w:val="nil"/>
              <w:tr2bl w:val="nil"/>
            </w:tcBorders>
            <w:noWrap w:val="0"/>
            <w:vAlign w:val="center"/>
          </w:tcPr>
          <w:p w14:paraId="4F90DC8C">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阿图什市</w:t>
            </w:r>
          </w:p>
        </w:tc>
      </w:tr>
      <w:tr w14:paraId="69123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961" w:type="pct"/>
            <w:gridSpan w:val="3"/>
            <w:tcBorders>
              <w:tl2br w:val="nil"/>
              <w:tr2bl w:val="nil"/>
            </w:tcBorders>
            <w:noWrap w:val="0"/>
            <w:vAlign w:val="center"/>
          </w:tcPr>
          <w:p w14:paraId="146F9AEA">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合计</w:t>
            </w:r>
          </w:p>
        </w:tc>
        <w:tc>
          <w:tcPr>
            <w:tcW w:w="784" w:type="pct"/>
            <w:tcBorders>
              <w:tl2br w:val="nil"/>
              <w:tr2bl w:val="nil"/>
            </w:tcBorders>
            <w:noWrap w:val="0"/>
            <w:vAlign w:val="center"/>
          </w:tcPr>
          <w:p w14:paraId="47F42144">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329923</w:t>
            </w:r>
          </w:p>
        </w:tc>
        <w:tc>
          <w:tcPr>
            <w:tcW w:w="1541" w:type="pct"/>
            <w:tcBorders>
              <w:tl2br w:val="nil"/>
              <w:tr2bl w:val="nil"/>
            </w:tcBorders>
            <w:noWrap w:val="0"/>
            <w:vAlign w:val="center"/>
          </w:tcPr>
          <w:p w14:paraId="3ED30BF3">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713" w:type="pct"/>
            <w:tcBorders>
              <w:tl2br w:val="nil"/>
              <w:tr2bl w:val="nil"/>
            </w:tcBorders>
            <w:noWrap w:val="0"/>
            <w:vAlign w:val="center"/>
          </w:tcPr>
          <w:p w14:paraId="0157277A">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r>
    </w:tbl>
    <w:p w14:paraId="47B04717">
      <w:pPr>
        <w:pageBreakBefore w:val="0"/>
        <w:kinsoku/>
        <w:wordWrap/>
        <w:bidi w:val="0"/>
        <w:adjustRightInd/>
        <w:snapToGrid/>
        <w:spacing w:line="228" w:lineRule="auto"/>
        <w:ind w:left="0" w:leftChars="0" w:right="0" w:rightChars="0" w:firstLine="0" w:firstLineChars="0"/>
        <w:jc w:val="center"/>
        <w:rPr>
          <w:rFonts w:hint="default" w:ascii="Times New Roman" w:hAnsi="Times New Roman" w:eastAsia="宋体" w:cs="Times New Roman"/>
          <w:b/>
          <w:bCs/>
          <w:color w:val="auto"/>
          <w:spacing w:val="5"/>
          <w:sz w:val="20"/>
          <w:szCs w:val="20"/>
        </w:rPr>
      </w:pPr>
      <w:r>
        <w:rPr>
          <w:rFonts w:hint="default" w:ascii="Times New Roman" w:hAnsi="Times New Roman" w:eastAsia="宋体" w:cs="Times New Roman"/>
          <w:b/>
          <w:bCs/>
          <w:color w:val="auto"/>
          <w:spacing w:val="5"/>
          <w:sz w:val="20"/>
          <w:szCs w:val="20"/>
        </w:rPr>
        <w:t>表</w:t>
      </w:r>
      <w:r>
        <w:rPr>
          <w:rFonts w:hint="eastAsia" w:ascii="Times New Roman" w:hAnsi="Times New Roman" w:eastAsia="宋体" w:cs="Times New Roman"/>
          <w:b/>
          <w:bCs/>
          <w:color w:val="auto"/>
          <w:spacing w:val="5"/>
          <w:sz w:val="20"/>
          <w:szCs w:val="20"/>
          <w:lang w:val="en-US" w:eastAsia="zh-CN"/>
        </w:rPr>
        <w:t>3.2-</w:t>
      </w:r>
      <w:r>
        <w:rPr>
          <w:rFonts w:hint="eastAsia" w:cs="Times New Roman"/>
          <w:b/>
          <w:bCs/>
          <w:color w:val="auto"/>
          <w:spacing w:val="5"/>
          <w:sz w:val="20"/>
          <w:szCs w:val="20"/>
          <w:lang w:val="en-US" w:eastAsia="zh-CN"/>
        </w:rPr>
        <w:t>16</w:t>
      </w:r>
      <w:r>
        <w:rPr>
          <w:rFonts w:hint="default" w:ascii="Times New Roman" w:hAnsi="Times New Roman" w:eastAsia="宋体" w:cs="Times New Roman"/>
          <w:b/>
          <w:bCs/>
          <w:color w:val="auto"/>
          <w:spacing w:val="5"/>
          <w:sz w:val="20"/>
          <w:szCs w:val="20"/>
          <w:lang w:val="en-US" w:eastAsia="zh-CN"/>
        </w:rPr>
        <w:t xml:space="preserve">   </w:t>
      </w:r>
      <w:r>
        <w:rPr>
          <w:rFonts w:hint="default" w:ascii="Times New Roman" w:hAnsi="Times New Roman" w:eastAsia="宋体" w:cs="Times New Roman"/>
          <w:b/>
          <w:bCs/>
          <w:color w:val="auto"/>
          <w:spacing w:val="5"/>
          <w:sz w:val="20"/>
          <w:szCs w:val="20"/>
        </w:rPr>
        <w:t>项目</w:t>
      </w:r>
      <w:r>
        <w:rPr>
          <w:rFonts w:hint="default" w:ascii="Times New Roman" w:hAnsi="Times New Roman" w:eastAsia="宋体" w:cs="Times New Roman"/>
          <w:b/>
          <w:bCs/>
          <w:color w:val="auto"/>
          <w:spacing w:val="5"/>
          <w:sz w:val="20"/>
          <w:szCs w:val="20"/>
          <w:lang w:val="en-US" w:eastAsia="zh-CN"/>
        </w:rPr>
        <w:t>临时</w:t>
      </w:r>
      <w:r>
        <w:rPr>
          <w:rFonts w:hint="default" w:ascii="Times New Roman" w:hAnsi="Times New Roman" w:eastAsia="宋体" w:cs="Times New Roman"/>
          <w:b/>
          <w:bCs/>
          <w:color w:val="auto"/>
          <w:spacing w:val="5"/>
          <w:sz w:val="20"/>
          <w:szCs w:val="20"/>
        </w:rPr>
        <w:t>占地情况统计表  单位：m</w:t>
      </w:r>
      <w:r>
        <w:rPr>
          <w:rFonts w:hint="default" w:ascii="Times New Roman" w:hAnsi="Times New Roman" w:eastAsia="宋体" w:cs="Times New Roman"/>
          <w:b/>
          <w:bCs/>
          <w:color w:val="auto"/>
          <w:spacing w:val="5"/>
          <w:sz w:val="20"/>
          <w:szCs w:val="20"/>
          <w:vertAlign w:val="superscript"/>
        </w:rPr>
        <w:t>2</w:t>
      </w:r>
    </w:p>
    <w:tbl>
      <w:tblPr>
        <w:tblStyle w:val="3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4"/>
        <w:gridCol w:w="3091"/>
        <w:gridCol w:w="1808"/>
        <w:gridCol w:w="1781"/>
        <w:gridCol w:w="994"/>
      </w:tblGrid>
      <w:tr w14:paraId="274B8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5" w:type="pct"/>
            <w:tcBorders>
              <w:tl2br w:val="nil"/>
              <w:tr2bl w:val="nil"/>
            </w:tcBorders>
            <w:noWrap w:val="0"/>
            <w:vAlign w:val="center"/>
          </w:tcPr>
          <w:p w14:paraId="71EF7059">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性质</w:t>
            </w:r>
          </w:p>
        </w:tc>
        <w:tc>
          <w:tcPr>
            <w:tcW w:w="1813" w:type="pct"/>
            <w:tcBorders>
              <w:tl2br w:val="nil"/>
              <w:tr2bl w:val="nil"/>
            </w:tcBorders>
            <w:noWrap w:val="0"/>
            <w:vAlign w:val="center"/>
          </w:tcPr>
          <w:p w14:paraId="4BFB8EAE">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名称</w:t>
            </w:r>
          </w:p>
        </w:tc>
        <w:tc>
          <w:tcPr>
            <w:tcW w:w="1061" w:type="pct"/>
            <w:tcBorders>
              <w:tl2br w:val="nil"/>
              <w:tr2bl w:val="nil"/>
            </w:tcBorders>
            <w:noWrap w:val="0"/>
            <w:vAlign w:val="center"/>
          </w:tcPr>
          <w:p w14:paraId="5089E33D">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val="en-US" w:eastAsia="zh-CN"/>
              </w:rPr>
              <w:t>占地面积</w:t>
            </w:r>
          </w:p>
        </w:tc>
        <w:tc>
          <w:tcPr>
            <w:tcW w:w="1045" w:type="pct"/>
            <w:tcBorders>
              <w:tl2br w:val="nil"/>
              <w:tr2bl w:val="nil"/>
            </w:tcBorders>
            <w:noWrap w:val="0"/>
            <w:vAlign w:val="center"/>
          </w:tcPr>
          <w:p w14:paraId="2FC55738">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占地类型</w:t>
            </w:r>
          </w:p>
        </w:tc>
        <w:tc>
          <w:tcPr>
            <w:tcW w:w="583" w:type="pct"/>
            <w:tcBorders>
              <w:tl2br w:val="nil"/>
              <w:tr2bl w:val="nil"/>
            </w:tcBorders>
            <w:noWrap w:val="0"/>
            <w:vAlign w:val="center"/>
          </w:tcPr>
          <w:p w14:paraId="49294372">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备注</w:t>
            </w:r>
          </w:p>
        </w:tc>
      </w:tr>
      <w:tr w14:paraId="5F0AF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495" w:type="pct"/>
            <w:vMerge w:val="restart"/>
            <w:tcBorders>
              <w:tl2br w:val="nil"/>
              <w:tr2bl w:val="nil"/>
            </w:tcBorders>
            <w:noWrap w:val="0"/>
            <w:vAlign w:val="center"/>
          </w:tcPr>
          <w:p w14:paraId="30584716">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临时</w:t>
            </w:r>
          </w:p>
          <w:p w14:paraId="752E81D8">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占地</w:t>
            </w:r>
          </w:p>
        </w:tc>
        <w:tc>
          <w:tcPr>
            <w:tcW w:w="1813" w:type="pct"/>
            <w:tcBorders>
              <w:tl2br w:val="nil"/>
              <w:tr2bl w:val="nil"/>
            </w:tcBorders>
            <w:noWrap w:val="0"/>
            <w:vAlign w:val="center"/>
          </w:tcPr>
          <w:p w14:paraId="34FB836E">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取土场（2个）</w:t>
            </w:r>
          </w:p>
        </w:tc>
        <w:tc>
          <w:tcPr>
            <w:tcW w:w="1061" w:type="pct"/>
            <w:tcBorders>
              <w:tl2br w:val="nil"/>
              <w:tr2bl w:val="nil"/>
            </w:tcBorders>
            <w:noWrap w:val="0"/>
            <w:vAlign w:val="center"/>
          </w:tcPr>
          <w:p w14:paraId="66C82BDF">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296000</w:t>
            </w:r>
          </w:p>
        </w:tc>
        <w:tc>
          <w:tcPr>
            <w:tcW w:w="1045" w:type="pct"/>
            <w:vMerge w:val="restart"/>
            <w:tcBorders>
              <w:tl2br w:val="nil"/>
              <w:tr2bl w:val="nil"/>
            </w:tcBorders>
            <w:noWrap w:val="0"/>
            <w:vAlign w:val="center"/>
          </w:tcPr>
          <w:p w14:paraId="3FF2BB34">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裸岩石砾地（裸岩石质地、戈壁）</w:t>
            </w:r>
          </w:p>
        </w:tc>
        <w:tc>
          <w:tcPr>
            <w:tcW w:w="583" w:type="pct"/>
            <w:tcBorders>
              <w:tl2br w:val="nil"/>
              <w:tr2bl w:val="nil"/>
            </w:tcBorders>
            <w:noWrap w:val="0"/>
            <w:vAlign w:val="center"/>
          </w:tcPr>
          <w:p w14:paraId="366CC731">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招拍挂</w:t>
            </w:r>
          </w:p>
        </w:tc>
      </w:tr>
      <w:tr w14:paraId="4259E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495" w:type="pct"/>
            <w:vMerge w:val="continue"/>
            <w:tcBorders>
              <w:tl2br w:val="nil"/>
              <w:tr2bl w:val="nil"/>
            </w:tcBorders>
            <w:noWrap w:val="0"/>
            <w:vAlign w:val="center"/>
          </w:tcPr>
          <w:p w14:paraId="5319B4B5">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p>
        </w:tc>
        <w:tc>
          <w:tcPr>
            <w:tcW w:w="1813" w:type="pct"/>
            <w:tcBorders>
              <w:tl2br w:val="nil"/>
              <w:tr2bl w:val="nil"/>
            </w:tcBorders>
            <w:noWrap w:val="0"/>
            <w:vAlign w:val="center"/>
          </w:tcPr>
          <w:p w14:paraId="15C2823D">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弃土场（4个）</w:t>
            </w:r>
          </w:p>
        </w:tc>
        <w:tc>
          <w:tcPr>
            <w:tcW w:w="1061" w:type="pct"/>
            <w:tcBorders>
              <w:tl2br w:val="nil"/>
              <w:tr2bl w:val="nil"/>
            </w:tcBorders>
            <w:noWrap w:val="0"/>
            <w:vAlign w:val="center"/>
          </w:tcPr>
          <w:p w14:paraId="47377A62">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77619</w:t>
            </w:r>
          </w:p>
        </w:tc>
        <w:tc>
          <w:tcPr>
            <w:tcW w:w="1045" w:type="pct"/>
            <w:vMerge w:val="continue"/>
            <w:tcBorders>
              <w:tl2br w:val="nil"/>
              <w:tr2bl w:val="nil"/>
            </w:tcBorders>
            <w:noWrap w:val="0"/>
            <w:vAlign w:val="center"/>
          </w:tcPr>
          <w:p w14:paraId="64897434">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highlight w:val="none"/>
                <w:lang w:val="en-US" w:eastAsia="zh-CN"/>
              </w:rPr>
            </w:pPr>
          </w:p>
        </w:tc>
        <w:tc>
          <w:tcPr>
            <w:tcW w:w="583" w:type="pct"/>
            <w:tcBorders>
              <w:tl2br w:val="nil"/>
              <w:tr2bl w:val="nil"/>
            </w:tcBorders>
            <w:noWrap w:val="0"/>
            <w:vAlign w:val="center"/>
          </w:tcPr>
          <w:p w14:paraId="5FDA7F97">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喀什市</w:t>
            </w:r>
          </w:p>
        </w:tc>
      </w:tr>
      <w:tr w14:paraId="18A91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495" w:type="pct"/>
            <w:vMerge w:val="continue"/>
            <w:tcBorders>
              <w:tl2br w:val="nil"/>
              <w:tr2bl w:val="nil"/>
            </w:tcBorders>
            <w:noWrap w:val="0"/>
            <w:vAlign w:val="center"/>
          </w:tcPr>
          <w:p w14:paraId="3D6FB7D3">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p>
        </w:tc>
        <w:tc>
          <w:tcPr>
            <w:tcW w:w="1813" w:type="pct"/>
            <w:tcBorders>
              <w:tl2br w:val="nil"/>
              <w:tr2bl w:val="nil"/>
            </w:tcBorders>
            <w:noWrap w:val="0"/>
            <w:vAlign w:val="center"/>
          </w:tcPr>
          <w:p w14:paraId="609138B2">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施工便道</w:t>
            </w:r>
          </w:p>
        </w:tc>
        <w:tc>
          <w:tcPr>
            <w:tcW w:w="1061" w:type="pct"/>
            <w:tcBorders>
              <w:tl2br w:val="nil"/>
              <w:tr2bl w:val="nil"/>
            </w:tcBorders>
            <w:noWrap w:val="0"/>
            <w:vAlign w:val="center"/>
          </w:tcPr>
          <w:p w14:paraId="46547EFF">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50693</w:t>
            </w:r>
          </w:p>
        </w:tc>
        <w:tc>
          <w:tcPr>
            <w:tcW w:w="1045" w:type="pct"/>
            <w:vMerge w:val="continue"/>
            <w:tcBorders>
              <w:tl2br w:val="nil"/>
              <w:tr2bl w:val="nil"/>
            </w:tcBorders>
            <w:noWrap w:val="0"/>
            <w:vAlign w:val="center"/>
          </w:tcPr>
          <w:p w14:paraId="7C59F8DC">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highlight w:val="none"/>
                <w:lang w:val="en-US" w:eastAsia="zh-CN"/>
              </w:rPr>
            </w:pPr>
          </w:p>
        </w:tc>
        <w:tc>
          <w:tcPr>
            <w:tcW w:w="583" w:type="pct"/>
            <w:tcBorders>
              <w:tl2br w:val="nil"/>
              <w:tr2bl w:val="nil"/>
            </w:tcBorders>
            <w:noWrap w:val="0"/>
            <w:vAlign w:val="center"/>
          </w:tcPr>
          <w:p w14:paraId="2D19D492">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喀什市</w:t>
            </w:r>
          </w:p>
        </w:tc>
      </w:tr>
      <w:tr w14:paraId="339FD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495" w:type="pct"/>
            <w:vMerge w:val="continue"/>
            <w:tcBorders>
              <w:tl2br w:val="nil"/>
              <w:tr2bl w:val="nil"/>
            </w:tcBorders>
            <w:noWrap w:val="0"/>
            <w:vAlign w:val="center"/>
          </w:tcPr>
          <w:p w14:paraId="1D3850CB">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p>
        </w:tc>
        <w:tc>
          <w:tcPr>
            <w:tcW w:w="1813" w:type="pct"/>
            <w:tcBorders>
              <w:tl2br w:val="nil"/>
              <w:tr2bl w:val="nil"/>
            </w:tcBorders>
            <w:noWrap w:val="0"/>
            <w:vAlign w:val="center"/>
          </w:tcPr>
          <w:p w14:paraId="2F7D36C3">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施工生产区（2个）</w:t>
            </w:r>
          </w:p>
        </w:tc>
        <w:tc>
          <w:tcPr>
            <w:tcW w:w="1061" w:type="pct"/>
            <w:tcBorders>
              <w:tl2br w:val="nil"/>
              <w:tr2bl w:val="nil"/>
            </w:tcBorders>
            <w:noWrap w:val="0"/>
            <w:vAlign w:val="center"/>
          </w:tcPr>
          <w:p w14:paraId="7BAF8875">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25821</w:t>
            </w:r>
          </w:p>
        </w:tc>
        <w:tc>
          <w:tcPr>
            <w:tcW w:w="1045" w:type="pct"/>
            <w:vMerge w:val="continue"/>
            <w:tcBorders>
              <w:tl2br w:val="nil"/>
              <w:tr2bl w:val="nil"/>
            </w:tcBorders>
            <w:noWrap w:val="0"/>
            <w:vAlign w:val="center"/>
          </w:tcPr>
          <w:p w14:paraId="3DDFB765">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highlight w:val="none"/>
                <w:lang w:val="en-US" w:eastAsia="zh-CN"/>
              </w:rPr>
            </w:pPr>
          </w:p>
        </w:tc>
        <w:tc>
          <w:tcPr>
            <w:tcW w:w="583" w:type="pct"/>
            <w:tcBorders>
              <w:tl2br w:val="nil"/>
              <w:tr2bl w:val="nil"/>
            </w:tcBorders>
            <w:noWrap w:val="0"/>
            <w:vAlign w:val="center"/>
          </w:tcPr>
          <w:p w14:paraId="3EB7AD19">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喀什市、阿图什市</w:t>
            </w:r>
          </w:p>
        </w:tc>
      </w:tr>
      <w:tr w14:paraId="0F55D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2309" w:type="pct"/>
            <w:gridSpan w:val="2"/>
            <w:tcBorders>
              <w:tl2br w:val="nil"/>
              <w:tr2bl w:val="nil"/>
            </w:tcBorders>
            <w:noWrap w:val="0"/>
            <w:vAlign w:val="center"/>
          </w:tcPr>
          <w:p w14:paraId="50AF2D5D">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合计</w:t>
            </w:r>
          </w:p>
        </w:tc>
        <w:tc>
          <w:tcPr>
            <w:tcW w:w="1061" w:type="pct"/>
            <w:tcBorders>
              <w:tl2br w:val="nil"/>
              <w:tr2bl w:val="nil"/>
            </w:tcBorders>
            <w:noWrap w:val="0"/>
            <w:vAlign w:val="center"/>
          </w:tcPr>
          <w:p w14:paraId="691B8390">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450133</w:t>
            </w:r>
          </w:p>
        </w:tc>
        <w:tc>
          <w:tcPr>
            <w:tcW w:w="1045" w:type="pct"/>
            <w:vMerge w:val="continue"/>
            <w:tcBorders>
              <w:tl2br w:val="nil"/>
              <w:tr2bl w:val="nil"/>
            </w:tcBorders>
            <w:noWrap w:val="0"/>
            <w:vAlign w:val="center"/>
          </w:tcPr>
          <w:p w14:paraId="7D63A821">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highlight w:val="none"/>
                <w:lang w:val="en-US" w:eastAsia="zh-CN"/>
              </w:rPr>
            </w:pPr>
          </w:p>
        </w:tc>
        <w:tc>
          <w:tcPr>
            <w:tcW w:w="583" w:type="pct"/>
            <w:tcBorders>
              <w:tl2br w:val="nil"/>
              <w:tr2bl w:val="nil"/>
            </w:tcBorders>
            <w:noWrap w:val="0"/>
            <w:vAlign w:val="center"/>
          </w:tcPr>
          <w:p w14:paraId="4AEE2A7E">
            <w:pPr>
              <w:keepNext w:val="0"/>
              <w:keepLines w:val="0"/>
              <w:pageBreakBefore w:val="0"/>
              <w:widowControl w:val="0"/>
              <w:kinsoku/>
              <w:wordWrap/>
              <w:overflowPunct w:val="0"/>
              <w:bidi w:val="0"/>
              <w:adjustRightInd w:val="0"/>
              <w:snapToGrid/>
              <w:spacing w:line="280" w:lineRule="atLeast"/>
              <w:ind w:right="0" w:firstLine="0" w:firstLineChars="0"/>
              <w:jc w:val="center"/>
              <w:textAlignment w:val="baseline"/>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r>
    </w:tbl>
    <w:p w14:paraId="0E4C7118">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3.2.</w:t>
      </w:r>
      <w:r>
        <w:rPr>
          <w:rFonts w:hint="eastAsia" w:ascii="Times New Roman" w:hAnsi="Times New Roman" w:cs="Times New Roman"/>
          <w:color w:val="auto"/>
          <w:lang w:val="en-US" w:eastAsia="zh-CN"/>
        </w:rPr>
        <w:t>7</w:t>
      </w:r>
      <w:r>
        <w:rPr>
          <w:rFonts w:hint="default" w:ascii="Times New Roman" w:hAnsi="Times New Roman" w:cs="Times New Roman"/>
          <w:color w:val="auto"/>
          <w:lang w:val="en-US" w:eastAsia="zh-CN"/>
        </w:rPr>
        <w:t xml:space="preserve"> 用地及选线合理性分析</w:t>
      </w:r>
    </w:p>
    <w:p w14:paraId="4FA8429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评价从环境保护角度对本项目选线、占地的合理性分析要点如下：</w:t>
      </w:r>
    </w:p>
    <w:p w14:paraId="4BCAB3E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（1）与《公路建设项目用地指标》的符合性</w:t>
      </w:r>
    </w:p>
    <w:p w14:paraId="15ED1EA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路线范围涉及阿图什市、喀什市，穿过兰干塔格山，上跨喀什绕城高速路，终点接喀什经济开发区城东大道。线路穿越山前洪积扇平原（Ⅰ）、兰干塔格山低山区（Ⅱ）及兰干塔格山南坡山前洪积扇平原（Ⅲ）三个地貌区。根据2011年住房和城乡建设部、国土资源部、交通运输部联合颁布的《公路工程项目建设用地指标》的规定，本项目作为一级公路建设项目，不应超过其建设用地指标。</w:t>
      </w:r>
    </w:p>
    <w:p w14:paraId="221B5A2A">
      <w:pPr>
        <w:keepNext w:val="0"/>
        <w:keepLines w:val="0"/>
        <w:widowControl/>
        <w:suppressLineNumbers w:val="0"/>
        <w:spacing w:line="240" w:lineRule="auto"/>
        <w:jc w:val="center"/>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highlight w:val="none"/>
          <w:lang w:val="en-US" w:eastAsia="zh-CN" w:bidi="ar"/>
        </w:rPr>
        <w:t>表</w:t>
      </w:r>
      <w:r>
        <w:rPr>
          <w:rFonts w:hint="default" w:ascii="Times New Roman" w:hAnsi="Times New Roman" w:cs="Times New Roman"/>
          <w:b/>
          <w:bCs/>
          <w:color w:val="auto"/>
          <w:kern w:val="0"/>
          <w:sz w:val="21"/>
          <w:szCs w:val="21"/>
          <w:highlight w:val="none"/>
          <w:lang w:val="en-US" w:eastAsia="zh-CN" w:bidi="ar"/>
        </w:rPr>
        <w:t>3.2</w:t>
      </w:r>
      <w:r>
        <w:rPr>
          <w:rFonts w:hint="default" w:ascii="Times New Roman" w:hAnsi="Times New Roman" w:eastAsia="宋体" w:cs="Times New Roman"/>
          <w:b/>
          <w:bCs/>
          <w:color w:val="auto"/>
          <w:kern w:val="0"/>
          <w:sz w:val="21"/>
          <w:szCs w:val="21"/>
          <w:highlight w:val="none"/>
          <w:lang w:val="en-US" w:eastAsia="zh-CN" w:bidi="ar"/>
        </w:rPr>
        <w:t>-</w:t>
      </w:r>
      <w:r>
        <w:rPr>
          <w:rFonts w:hint="eastAsia" w:cs="Times New Roman"/>
          <w:b/>
          <w:bCs/>
          <w:color w:val="auto"/>
          <w:kern w:val="0"/>
          <w:sz w:val="21"/>
          <w:szCs w:val="21"/>
          <w:highlight w:val="none"/>
          <w:lang w:val="en-US" w:eastAsia="zh-CN" w:bidi="ar"/>
        </w:rPr>
        <w:t>17</w:t>
      </w:r>
      <w:r>
        <w:rPr>
          <w:rFonts w:hint="default" w:ascii="Times New Roman" w:hAnsi="Times New Roman" w:cs="Times New Roman"/>
          <w:b/>
          <w:bCs/>
          <w:color w:val="auto"/>
          <w:kern w:val="0"/>
          <w:sz w:val="21"/>
          <w:szCs w:val="21"/>
          <w:highlight w:val="none"/>
          <w:lang w:val="en-US" w:eastAsia="zh-CN" w:bidi="ar"/>
        </w:rPr>
        <w:t xml:space="preserve">  </w:t>
      </w:r>
      <w:r>
        <w:rPr>
          <w:rFonts w:hint="default" w:ascii="Times New Roman" w:hAnsi="Times New Roman" w:eastAsia="宋体" w:cs="Times New Roman"/>
          <w:b/>
          <w:bCs/>
          <w:color w:val="auto"/>
          <w:kern w:val="0"/>
          <w:sz w:val="21"/>
          <w:szCs w:val="21"/>
          <w:highlight w:val="none"/>
          <w:lang w:val="en-US" w:eastAsia="zh-CN" w:bidi="ar"/>
        </w:rPr>
        <w:t xml:space="preserve"> 拟建公路项目用地总体指标分析表</w:t>
      </w:r>
    </w:p>
    <w:tbl>
      <w:tblPr>
        <w:tblStyle w:val="3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4"/>
        <w:gridCol w:w="768"/>
        <w:gridCol w:w="1356"/>
        <w:gridCol w:w="1428"/>
        <w:gridCol w:w="1200"/>
        <w:gridCol w:w="1584"/>
        <w:gridCol w:w="1063"/>
      </w:tblGrid>
      <w:tr w14:paraId="13732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4" w:type="dxa"/>
            <w:vMerge w:val="restart"/>
            <w:vAlign w:val="center"/>
          </w:tcPr>
          <w:p w14:paraId="2326DF5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工程类别</w:t>
            </w:r>
          </w:p>
        </w:tc>
        <w:tc>
          <w:tcPr>
            <w:tcW w:w="768" w:type="dxa"/>
            <w:vMerge w:val="restart"/>
            <w:vAlign w:val="center"/>
          </w:tcPr>
          <w:p w14:paraId="287577C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等级</w:t>
            </w:r>
          </w:p>
        </w:tc>
        <w:tc>
          <w:tcPr>
            <w:tcW w:w="3984" w:type="dxa"/>
            <w:gridSpan w:val="3"/>
            <w:vAlign w:val="center"/>
          </w:tcPr>
          <w:p w14:paraId="22B39F6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工程用地</w:t>
            </w:r>
          </w:p>
        </w:tc>
        <w:tc>
          <w:tcPr>
            <w:tcW w:w="1584" w:type="dxa"/>
            <w:vAlign w:val="center"/>
          </w:tcPr>
          <w:p w14:paraId="1606E62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用地总体指标</w:t>
            </w:r>
          </w:p>
        </w:tc>
        <w:tc>
          <w:tcPr>
            <w:tcW w:w="1063" w:type="dxa"/>
            <w:vMerge w:val="restart"/>
            <w:vAlign w:val="center"/>
          </w:tcPr>
          <w:p w14:paraId="7B5FD87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分析</w:t>
            </w:r>
          </w:p>
        </w:tc>
      </w:tr>
      <w:tr w14:paraId="72DBE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4" w:type="dxa"/>
            <w:vMerge w:val="continue"/>
            <w:vAlign w:val="center"/>
          </w:tcPr>
          <w:p w14:paraId="6CF5E0A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p>
        </w:tc>
        <w:tc>
          <w:tcPr>
            <w:tcW w:w="768" w:type="dxa"/>
            <w:vMerge w:val="continue"/>
            <w:vAlign w:val="center"/>
          </w:tcPr>
          <w:p w14:paraId="69BAEFF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p>
        </w:tc>
        <w:tc>
          <w:tcPr>
            <w:tcW w:w="1356" w:type="dxa"/>
            <w:vAlign w:val="center"/>
          </w:tcPr>
          <w:p w14:paraId="5F42799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面积（公顷）</w:t>
            </w:r>
          </w:p>
        </w:tc>
        <w:tc>
          <w:tcPr>
            <w:tcW w:w="1428" w:type="dxa"/>
            <w:vAlign w:val="center"/>
          </w:tcPr>
          <w:p w14:paraId="7947E8B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长度（公里）</w:t>
            </w:r>
          </w:p>
        </w:tc>
        <w:tc>
          <w:tcPr>
            <w:tcW w:w="1200" w:type="dxa"/>
            <w:vAlign w:val="center"/>
          </w:tcPr>
          <w:p w14:paraId="7E5A111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公顷/公里</w:t>
            </w:r>
          </w:p>
        </w:tc>
        <w:tc>
          <w:tcPr>
            <w:tcW w:w="1584" w:type="dxa"/>
            <w:vAlign w:val="center"/>
          </w:tcPr>
          <w:p w14:paraId="70B16B0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（公顷/公里）</w:t>
            </w:r>
          </w:p>
        </w:tc>
        <w:tc>
          <w:tcPr>
            <w:tcW w:w="1063" w:type="dxa"/>
            <w:vMerge w:val="continue"/>
            <w:vAlign w:val="center"/>
          </w:tcPr>
          <w:p w14:paraId="4019828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p>
        </w:tc>
      </w:tr>
      <w:tr w14:paraId="0BCBF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4" w:type="dxa"/>
            <w:vAlign w:val="center"/>
          </w:tcPr>
          <w:p w14:paraId="54C108F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全线</w:t>
            </w:r>
          </w:p>
        </w:tc>
        <w:tc>
          <w:tcPr>
            <w:tcW w:w="768" w:type="dxa"/>
            <w:vAlign w:val="center"/>
          </w:tcPr>
          <w:p w14:paraId="593F402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一级</w:t>
            </w:r>
          </w:p>
        </w:tc>
        <w:tc>
          <w:tcPr>
            <w:tcW w:w="1356" w:type="dxa"/>
            <w:vAlign w:val="center"/>
          </w:tcPr>
          <w:p w14:paraId="18CB5DF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30.66</w:t>
            </w:r>
          </w:p>
        </w:tc>
        <w:tc>
          <w:tcPr>
            <w:tcW w:w="1428" w:type="dxa"/>
            <w:vAlign w:val="center"/>
          </w:tcPr>
          <w:p w14:paraId="35A1C3F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5.385</w:t>
            </w:r>
          </w:p>
        </w:tc>
        <w:tc>
          <w:tcPr>
            <w:tcW w:w="1200" w:type="dxa"/>
            <w:vAlign w:val="center"/>
          </w:tcPr>
          <w:p w14:paraId="74FD359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5.69</w:t>
            </w:r>
          </w:p>
        </w:tc>
        <w:tc>
          <w:tcPr>
            <w:tcW w:w="1584" w:type="dxa"/>
            <w:vAlign w:val="center"/>
          </w:tcPr>
          <w:p w14:paraId="5C07997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5.996</w:t>
            </w:r>
          </w:p>
        </w:tc>
        <w:tc>
          <w:tcPr>
            <w:tcW w:w="1063" w:type="dxa"/>
            <w:vAlign w:val="center"/>
          </w:tcPr>
          <w:p w14:paraId="117BEFA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符合要求</w:t>
            </w:r>
          </w:p>
        </w:tc>
      </w:tr>
    </w:tbl>
    <w:p w14:paraId="39ED841D">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从上表可以看出，拟建项目用地指标符合</w:t>
      </w:r>
      <w:r>
        <w:rPr>
          <w:rFonts w:hint="eastAsia" w:cs="Times New Roman"/>
          <w:color w:val="auto"/>
          <w:kern w:val="0"/>
          <w:sz w:val="24"/>
          <w:szCs w:val="24"/>
          <w:lang w:val="en-US" w:eastAsia="zh-CN" w:bidi="ar"/>
        </w:rPr>
        <w:t>交通运输部</w:t>
      </w:r>
      <w:r>
        <w:rPr>
          <w:rFonts w:hint="default" w:ascii="Times New Roman" w:hAnsi="Times New Roman" w:eastAsia="宋体" w:cs="Times New Roman"/>
          <w:color w:val="auto"/>
          <w:kern w:val="0"/>
          <w:sz w:val="24"/>
          <w:szCs w:val="24"/>
          <w:lang w:val="en-US" w:eastAsia="zh-CN" w:bidi="ar"/>
        </w:rPr>
        <w:t>、建设部以及国土资源部联合发布的《公路建设项目用地指标》(2011)中Ⅰ类、II类地区的要求，拟建公路工程的永久占地数量合理。</w:t>
      </w:r>
    </w:p>
    <w:p w14:paraId="37CD87DE">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（2）附属设施选址合理性分析</w:t>
      </w:r>
    </w:p>
    <w:p w14:paraId="3476C7EC">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本工程附属工程沿线共设置收费站1处、隧道管理所1处（与收费站合建）、隧道配电室1处。收费站及隧道管理站设置在K3+500处，隧道配电室设置在K5+500处。</w:t>
      </w:r>
      <w:r>
        <w:rPr>
          <w:rFonts w:hint="eastAsia" w:cs="Times New Roman"/>
          <w:color w:val="auto"/>
          <w:kern w:val="0"/>
          <w:sz w:val="24"/>
          <w:szCs w:val="24"/>
          <w:lang w:val="en-US" w:eastAsia="zh-CN" w:bidi="ar"/>
        </w:rPr>
        <w:t>总占地面积17159m</w:t>
      </w:r>
      <w:r>
        <w:rPr>
          <w:rFonts w:hint="eastAsia" w:cs="Times New Roman"/>
          <w:color w:val="auto"/>
          <w:kern w:val="0"/>
          <w:sz w:val="24"/>
          <w:szCs w:val="24"/>
          <w:vertAlign w:val="superscript"/>
          <w:lang w:val="en-US" w:eastAsia="zh-CN" w:bidi="ar"/>
        </w:rPr>
        <w:t>2</w:t>
      </w:r>
      <w:r>
        <w:rPr>
          <w:rFonts w:hint="eastAsia" w:cs="Times New Roman"/>
          <w:color w:val="auto"/>
          <w:kern w:val="0"/>
          <w:sz w:val="24"/>
          <w:szCs w:val="24"/>
          <w:lang w:val="en-US" w:eastAsia="zh-CN" w:bidi="ar"/>
        </w:rPr>
        <w:t>，占地类型为园地。</w:t>
      </w:r>
    </w:p>
    <w:p w14:paraId="34797A6E">
      <w:pPr>
        <w:keepNext w:val="0"/>
        <w:keepLines w:val="0"/>
        <w:widowControl/>
        <w:suppressLineNumbers w:val="0"/>
        <w:jc w:val="left"/>
        <w:rPr>
          <w:rFonts w:hint="default" w:ascii="Times New Roman" w:hAnsi="Times New Roman" w:cs="Times New Roman"/>
          <w:color w:val="auto"/>
          <w:kern w:val="0"/>
          <w:sz w:val="24"/>
          <w:szCs w:val="24"/>
          <w:lang w:val="en-US" w:eastAsia="zh-CN" w:bidi="ar"/>
        </w:rPr>
      </w:pPr>
      <w:r>
        <w:rPr>
          <w:rFonts w:hint="eastAsia" w:cs="Times New Roman"/>
          <w:color w:val="auto"/>
          <w:kern w:val="0"/>
          <w:sz w:val="24"/>
          <w:szCs w:val="24"/>
          <w:lang w:val="en-US" w:eastAsia="zh-CN" w:bidi="ar"/>
        </w:rPr>
        <w:t>附属设施选址</w:t>
      </w:r>
      <w:r>
        <w:rPr>
          <w:rFonts w:hint="default" w:ascii="Times New Roman" w:hAnsi="Times New Roman" w:eastAsia="宋体" w:cs="Times New Roman"/>
          <w:color w:val="auto"/>
          <w:kern w:val="0"/>
          <w:sz w:val="24"/>
          <w:szCs w:val="24"/>
          <w:lang w:val="en-US" w:eastAsia="zh-CN" w:bidi="ar"/>
        </w:rPr>
        <w:t>充分考虑了项目区</w:t>
      </w:r>
      <w:r>
        <w:rPr>
          <w:rFonts w:hint="default" w:ascii="Times New Roman" w:hAnsi="Times New Roman" w:cs="Times New Roman"/>
          <w:color w:val="auto"/>
          <w:kern w:val="0"/>
          <w:sz w:val="24"/>
          <w:szCs w:val="24"/>
          <w:lang w:val="en-US" w:eastAsia="zh-CN" w:bidi="ar"/>
        </w:rPr>
        <w:t>耕地</w:t>
      </w:r>
      <w:r>
        <w:rPr>
          <w:rFonts w:hint="default" w:ascii="Times New Roman" w:hAnsi="Times New Roman" w:eastAsia="宋体" w:cs="Times New Roman"/>
          <w:color w:val="auto"/>
          <w:kern w:val="0"/>
          <w:sz w:val="24"/>
          <w:szCs w:val="24"/>
          <w:lang w:val="en-US" w:eastAsia="zh-CN" w:bidi="ar"/>
        </w:rPr>
        <w:t>、林地、地表水、村镇等环境保护目标的影响，根据现场调查及资料收集，工程除涉及村庄及塔里木河流域水土流失重点治理区外，项目选线和占地不涉及自然保护区、风景名胜区、生活饮用水水源保护区、供水远景规划区、矿产资源储备区、军事要地、国家保密地区和其他需要特别保护的区域，不涉及生态红线</w:t>
      </w:r>
      <w:r>
        <w:rPr>
          <w:rFonts w:hint="eastAsia" w:cs="Times New Roman"/>
          <w:color w:val="auto"/>
          <w:kern w:val="0"/>
          <w:sz w:val="24"/>
          <w:szCs w:val="24"/>
          <w:lang w:val="en-US" w:eastAsia="zh-CN" w:bidi="ar"/>
        </w:rPr>
        <w:t>和</w:t>
      </w:r>
      <w:r>
        <w:rPr>
          <w:rFonts w:hint="default" w:ascii="Times New Roman" w:hAnsi="Times New Roman" w:eastAsia="宋体" w:cs="Times New Roman"/>
          <w:color w:val="auto"/>
          <w:kern w:val="0"/>
          <w:sz w:val="24"/>
          <w:szCs w:val="24"/>
          <w:lang w:val="en-US" w:eastAsia="zh-CN" w:bidi="ar"/>
        </w:rPr>
        <w:t>基本农田</w:t>
      </w:r>
      <w:r>
        <w:rPr>
          <w:rFonts w:hint="default" w:ascii="Times New Roman" w:hAnsi="Times New Roman" w:cs="Times New Roman"/>
          <w:color w:val="auto"/>
          <w:kern w:val="0"/>
          <w:sz w:val="24"/>
          <w:szCs w:val="24"/>
          <w:lang w:val="en-US" w:eastAsia="zh-CN" w:bidi="ar"/>
        </w:rPr>
        <w:t>。</w:t>
      </w:r>
      <w:r>
        <w:rPr>
          <w:rFonts w:hint="eastAsia" w:cs="Times New Roman"/>
          <w:color w:val="auto"/>
          <w:kern w:val="0"/>
          <w:sz w:val="24"/>
          <w:szCs w:val="24"/>
          <w:lang w:val="en-US" w:eastAsia="zh-CN" w:bidi="ar"/>
        </w:rPr>
        <w:t>收费站（隧道管理站）</w:t>
      </w:r>
      <w:r>
        <w:rPr>
          <w:rFonts w:hint="default" w:ascii="Times New Roman" w:hAnsi="Times New Roman" w:cs="Times New Roman"/>
          <w:color w:val="auto"/>
          <w:kern w:val="0"/>
          <w:sz w:val="24"/>
          <w:szCs w:val="24"/>
          <w:lang w:val="en-US" w:eastAsia="zh-CN" w:bidi="ar"/>
        </w:rPr>
        <w:t>设置一体化污水处理设施处理达标之后用于附属设施绿化，冬储夏灌不外排。禁止将废水排入河流，服务区废水、生活垃圾等固体废弃物均能得到有效处置，其选址合理可行。</w:t>
      </w:r>
    </w:p>
    <w:p w14:paraId="152EA25C">
      <w:pPr>
        <w:keepNext w:val="0"/>
        <w:keepLines w:val="0"/>
        <w:widowControl/>
        <w:suppressLineNumbers w:val="0"/>
        <w:ind w:left="0" w:leftChars="0" w:right="0" w:rightChars="0" w:firstLine="0" w:firstLineChars="0"/>
        <w:jc w:val="center"/>
        <w:rPr>
          <w:rFonts w:hint="default" w:ascii="Times New Roman" w:hAnsi="Times New Roman" w:cs="Times New Roman"/>
          <w:color w:val="auto"/>
          <w:kern w:val="0"/>
          <w:sz w:val="24"/>
          <w:szCs w:val="24"/>
          <w:lang w:val="en-US" w:eastAsia="zh-CN" w:bidi="ar"/>
        </w:rPr>
      </w:pPr>
      <w:r>
        <w:rPr>
          <w:color w:val="auto"/>
        </w:rPr>
        <w:drawing>
          <wp:inline distT="0" distB="0" distL="114300" distR="114300">
            <wp:extent cx="4495800" cy="2724150"/>
            <wp:effectExtent l="0" t="0" r="0" b="0"/>
            <wp:docPr id="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
                    <pic:cNvPicPr>
                      <a:picLocks noChangeAspect="1"/>
                    </pic:cNvPicPr>
                  </pic:nvPicPr>
                  <pic:blipFill>
                    <a:blip r:embed="rId22"/>
                    <a:stretch>
                      <a:fillRect/>
                    </a:stretch>
                  </pic:blipFill>
                  <pic:spPr>
                    <a:xfrm>
                      <a:off x="0" y="0"/>
                      <a:ext cx="4495800" cy="2724150"/>
                    </a:xfrm>
                    <a:prstGeom prst="rect">
                      <a:avLst/>
                    </a:prstGeom>
                    <a:noFill/>
                    <a:ln>
                      <a:noFill/>
                    </a:ln>
                  </pic:spPr>
                </pic:pic>
              </a:graphicData>
            </a:graphic>
          </wp:inline>
        </w:drawing>
      </w:r>
    </w:p>
    <w:p w14:paraId="2716DE4F">
      <w:pPr>
        <w:keepNext w:val="0"/>
        <w:keepLines w:val="0"/>
        <w:widowControl/>
        <w:suppressLineNumbers w:val="0"/>
        <w:ind w:left="0" w:leftChars="0" w:right="0" w:rightChars="0" w:firstLine="0" w:firstLineChars="0"/>
        <w:jc w:val="center"/>
        <w:rPr>
          <w:rFonts w:hint="default" w:ascii="Times New Roman" w:hAnsi="Times New Roman" w:cs="Times New Roman"/>
          <w:color w:val="auto"/>
          <w:kern w:val="0"/>
          <w:sz w:val="24"/>
          <w:szCs w:val="24"/>
          <w:lang w:val="en-US" w:eastAsia="zh-CN" w:bidi="ar"/>
        </w:rPr>
      </w:pPr>
      <w:r>
        <w:rPr>
          <w:rFonts w:hint="eastAsia" w:cs="Times New Roman"/>
          <w:b/>
          <w:bCs/>
          <w:color w:val="auto"/>
          <w:kern w:val="0"/>
          <w:sz w:val="24"/>
          <w:szCs w:val="24"/>
          <w:lang w:val="en-US" w:eastAsia="zh-CN" w:bidi="ar"/>
        </w:rPr>
        <w:t>图3.2-1  收费站占地现状</w:t>
      </w:r>
    </w:p>
    <w:p w14:paraId="05560DBC">
      <w:pPr>
        <w:keepNext w:val="0"/>
        <w:keepLines w:val="0"/>
        <w:widowControl/>
        <w:suppressLineNumbers w:val="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收费站及隧道管理站表土主要分布在占用的园地内，现状园地有农作物种植，土质较好，本</w:t>
      </w:r>
      <w:r>
        <w:rPr>
          <w:rFonts w:hint="eastAsia" w:cs="Times New Roman"/>
          <w:color w:val="auto"/>
          <w:kern w:val="0"/>
          <w:sz w:val="24"/>
          <w:szCs w:val="24"/>
          <w:lang w:val="en-US" w:eastAsia="zh-CN" w:bidi="ar"/>
        </w:rPr>
        <w:t>项目</w:t>
      </w:r>
      <w:r>
        <w:rPr>
          <w:rFonts w:hint="default" w:ascii="Times New Roman" w:hAnsi="Times New Roman" w:cs="Times New Roman"/>
          <w:color w:val="auto"/>
          <w:kern w:val="0"/>
          <w:sz w:val="24"/>
          <w:szCs w:val="24"/>
          <w:lang w:val="en-US" w:eastAsia="zh-CN" w:bidi="ar"/>
        </w:rPr>
        <w:t>对除村道占压外的表土进行剥离。</w:t>
      </w:r>
    </w:p>
    <w:p w14:paraId="2AF95DA8">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（3）临时工程选址合理性分析</w:t>
      </w:r>
    </w:p>
    <w:p w14:paraId="3CD4129D">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eastAsia" w:cs="Times New Roman"/>
          <w:color w:val="auto"/>
          <w:kern w:val="0"/>
          <w:sz w:val="24"/>
          <w:szCs w:val="24"/>
          <w:lang w:val="en-US" w:eastAsia="zh-CN" w:bidi="ar"/>
        </w:rPr>
        <w:t>①</w:t>
      </w:r>
      <w:r>
        <w:rPr>
          <w:rFonts w:hint="default" w:ascii="Times New Roman" w:hAnsi="Times New Roman" w:eastAsia="宋体" w:cs="Times New Roman"/>
          <w:color w:val="auto"/>
          <w:kern w:val="0"/>
          <w:sz w:val="24"/>
          <w:szCs w:val="24"/>
          <w:lang w:val="en-US" w:eastAsia="zh-CN" w:bidi="ar"/>
        </w:rPr>
        <w:t>设置原则</w:t>
      </w:r>
    </w:p>
    <w:p w14:paraId="0A19B876">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1）施工场地（包括预制场、拌合站、水稳站、碎石场、钢筋加工场等）及施工营地尽量选择在路基、沿线设施占地范围内，尽量减少临时占地。</w:t>
      </w:r>
    </w:p>
    <w:p w14:paraId="528A790D">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2）施工生产生活区尽量选用荒坡和劣质的土地，远离村庄、学校、医院等敏感目标，一般要选在处于上述敏感目标下风向500m以外。</w:t>
      </w:r>
    </w:p>
    <w:p w14:paraId="6E57DB0F">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5）施工生产生活区需远离河道以减少对河道水质的影响，其中，混凝土拌合站与预制场应设置沉淀池，施工生产废水经沉淀处理后上清液用作施工场地洒水，沉淀池定期进行清理，不得向河道倾倒泥沙和建筑施工垃圾。</w:t>
      </w:r>
    </w:p>
    <w:p w14:paraId="2408F41F">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6）临时工程占地尽量永临结合，不占耕地，少占林地和草地，考虑沿线荒地、荒坡地形，避开水土流失严重区。</w:t>
      </w:r>
    </w:p>
    <w:p w14:paraId="574C77FD">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eastAsia" w:cs="Times New Roman"/>
          <w:color w:val="auto"/>
          <w:kern w:val="0"/>
          <w:sz w:val="24"/>
          <w:szCs w:val="24"/>
          <w:lang w:val="en-US" w:eastAsia="zh-CN" w:bidi="ar"/>
        </w:rPr>
        <w:t>②设置合理性分析</w:t>
      </w:r>
    </w:p>
    <w:p w14:paraId="1B7516A6">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本工程共设置2处施工生产区。</w:t>
      </w:r>
    </w:p>
    <w:p w14:paraId="008831DF">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1#施工生产区位于主线桩号K6+550右侧，主要为沥青、混凝土拌合站、预制场等，场地全部采取硬化处理，施工结束后拆除临建设施及硬化场地恢复原地貌。</w:t>
      </w:r>
    </w:p>
    <w:p w14:paraId="56C32F58">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2#施工生</w:t>
      </w:r>
      <w:r>
        <w:rPr>
          <w:rFonts w:hint="eastAsia" w:cs="Times New Roman"/>
          <w:color w:val="auto"/>
          <w:kern w:val="0"/>
          <w:sz w:val="24"/>
          <w:szCs w:val="24"/>
          <w:lang w:val="en-US" w:eastAsia="zh-CN" w:bidi="ar"/>
        </w:rPr>
        <w:t>产区</w:t>
      </w:r>
      <w:r>
        <w:rPr>
          <w:rFonts w:hint="default" w:ascii="Times New Roman" w:hAnsi="Times New Roman" w:eastAsia="宋体" w:cs="Times New Roman"/>
          <w:color w:val="auto"/>
          <w:kern w:val="0"/>
          <w:sz w:val="24"/>
          <w:szCs w:val="24"/>
          <w:lang w:val="en-US" w:eastAsia="zh-CN" w:bidi="ar"/>
        </w:rPr>
        <w:t>位于主线桩号K10+823右侧，施工生产区内部设沥青、混凝土拌合站、预制场等临建设施，场地全部采取硬化处理，施工结束后拆除临建设施及硬化场地恢复原地貌。</w:t>
      </w:r>
    </w:p>
    <w:p w14:paraId="2A41DBA5">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eastAsia" w:cs="Times New Roman"/>
          <w:color w:val="auto"/>
          <w:kern w:val="0"/>
          <w:sz w:val="24"/>
          <w:szCs w:val="24"/>
          <w:lang w:val="en-US" w:eastAsia="zh-CN" w:bidi="ar"/>
        </w:rPr>
        <w:t>施工生产区</w:t>
      </w:r>
      <w:r>
        <w:rPr>
          <w:rFonts w:hint="default" w:ascii="Times New Roman" w:hAnsi="Times New Roman" w:eastAsia="宋体" w:cs="Times New Roman"/>
          <w:color w:val="auto"/>
          <w:kern w:val="0"/>
          <w:sz w:val="24"/>
          <w:szCs w:val="24"/>
          <w:lang w:val="en-US" w:eastAsia="zh-CN" w:bidi="ar"/>
        </w:rPr>
        <w:t>占地类型为</w:t>
      </w:r>
      <w:r>
        <w:rPr>
          <w:rFonts w:hint="eastAsia" w:cs="Times New Roman"/>
          <w:color w:val="auto"/>
          <w:kern w:val="0"/>
          <w:sz w:val="24"/>
          <w:szCs w:val="24"/>
          <w:lang w:val="en-US" w:eastAsia="zh-CN" w:bidi="ar"/>
        </w:rPr>
        <w:t>工矿仓储用地和裸岩石砾地</w:t>
      </w:r>
      <w:r>
        <w:rPr>
          <w:rFonts w:hint="default" w:ascii="Times New Roman" w:hAnsi="Times New Roman" w:eastAsia="宋体" w:cs="Times New Roman"/>
          <w:color w:val="auto"/>
          <w:kern w:val="0"/>
          <w:sz w:val="24"/>
          <w:szCs w:val="24"/>
          <w:lang w:val="en-US" w:eastAsia="zh-CN" w:bidi="ar"/>
        </w:rPr>
        <w:t>。经现场调查，并结合周边环境现状分析，本项目施工生产区选址未设置于生态保护红线区等环境敏感区，施工生产生活区500m范围内无村庄，评价范围内不存在大气、声环境和水环境保护目标。占地尽量选在植被较稀疏区域，按照满足基本施工需求的情况下尽可能减少数量和减小规模的原则进行了布设</w:t>
      </w:r>
      <w:r>
        <w:rPr>
          <w:rFonts w:hint="eastAsia" w:cs="Times New Roman"/>
          <w:color w:val="auto"/>
          <w:kern w:val="0"/>
          <w:sz w:val="24"/>
          <w:szCs w:val="24"/>
          <w:lang w:val="en-US" w:eastAsia="zh-CN" w:bidi="ar"/>
        </w:rPr>
        <w:t>，本项目遵循满足基本施工需求的情况下尽可能减少施工生产区数量和规模的原则进行了布设，并通过合理利用永久占地、优化合并设置等方式节约临时用地，本项目施工生产区设置基本合理。</w:t>
      </w:r>
      <w:r>
        <w:rPr>
          <w:rFonts w:hint="default" w:ascii="Times New Roman" w:hAnsi="Times New Roman" w:eastAsia="宋体" w:cs="Times New Roman"/>
          <w:color w:val="auto"/>
          <w:kern w:val="0"/>
          <w:sz w:val="24"/>
          <w:szCs w:val="24"/>
          <w:lang w:val="en-US" w:eastAsia="zh-CN" w:bidi="ar"/>
        </w:rPr>
        <w:t>项目所需砂石料购买商品料，沿线可依托砂石料场储量能够满足本项目需求。设置的取弃土场选址和占地生态敏感程度不高，选址合理。</w:t>
      </w:r>
    </w:p>
    <w:p w14:paraId="202E3A75">
      <w:pPr>
        <w:keepNext w:val="0"/>
        <w:keepLines w:val="0"/>
        <w:widowControl/>
        <w:suppressLineNumbers w:val="0"/>
        <w:jc w:val="left"/>
        <w:rPr>
          <w:rFonts w:hint="eastAsia" w:cs="Times New Roman"/>
          <w:color w:val="auto"/>
          <w:kern w:val="0"/>
          <w:sz w:val="24"/>
          <w:szCs w:val="24"/>
          <w:lang w:val="en-US" w:eastAsia="zh-CN" w:bidi="ar"/>
        </w:rPr>
      </w:pPr>
      <w:r>
        <w:rPr>
          <w:rFonts w:hint="eastAsia" w:cs="Times New Roman"/>
          <w:color w:val="auto"/>
          <w:kern w:val="0"/>
          <w:sz w:val="24"/>
          <w:szCs w:val="24"/>
          <w:lang w:val="en-US" w:eastAsia="zh-CN" w:bidi="ar"/>
        </w:rPr>
        <w:t>（3）弃土场选址合理性分析</w:t>
      </w:r>
    </w:p>
    <w:p w14:paraId="2923005A">
      <w:pPr>
        <w:keepNext w:val="0"/>
        <w:keepLines w:val="0"/>
        <w:widowControl/>
        <w:suppressLineNumbers w:val="0"/>
        <w:jc w:val="left"/>
        <w:rPr>
          <w:rFonts w:hint="eastAsia" w:cs="Times New Roman"/>
          <w:color w:val="auto"/>
          <w:kern w:val="0"/>
          <w:sz w:val="24"/>
          <w:szCs w:val="24"/>
          <w:lang w:val="en-US" w:eastAsia="zh-CN" w:bidi="ar"/>
        </w:rPr>
      </w:pPr>
      <w:r>
        <w:rPr>
          <w:rFonts w:hint="eastAsia" w:cs="Times New Roman"/>
          <w:color w:val="auto"/>
          <w:kern w:val="0"/>
          <w:sz w:val="24"/>
          <w:szCs w:val="24"/>
          <w:lang w:val="en-US" w:eastAsia="zh-CN" w:bidi="ar"/>
        </w:rPr>
        <w:t>根据本项目设计及水土保持方案资料，本项目共设置4处弃土场，根据土石方平衡情况、弃渣量、区域环境概况及环境敏感区分布等因素，并经现场调查，本项目弃渣场未占用耕地和林地；未侵占河道等重要设施，未布设在对公共设施、基础设施、工业企业、居民点等有重大影响的区域。</w:t>
      </w:r>
    </w:p>
    <w:p w14:paraId="4C6DC754">
      <w:pPr>
        <w:keepNext w:val="0"/>
        <w:keepLines w:val="0"/>
        <w:widowControl/>
        <w:suppressLineNumbers w:val="0"/>
        <w:jc w:val="left"/>
        <w:rPr>
          <w:rFonts w:hint="eastAsia" w:cs="Times New Roman"/>
          <w:color w:val="auto"/>
          <w:kern w:val="0"/>
          <w:sz w:val="24"/>
          <w:szCs w:val="24"/>
          <w:lang w:val="en-US" w:eastAsia="zh-CN" w:bidi="ar"/>
        </w:rPr>
      </w:pPr>
      <w:r>
        <w:rPr>
          <w:rFonts w:hint="eastAsia" w:cs="Times New Roman"/>
          <w:color w:val="auto"/>
          <w:kern w:val="0"/>
          <w:sz w:val="24"/>
          <w:szCs w:val="24"/>
          <w:lang w:val="en-US" w:eastAsia="zh-CN" w:bidi="ar"/>
        </w:rPr>
        <w:t>弃渣场工程地质条件较好，基底承载力满足要求，弃渣场整体稳定性均较好，满足规范要求。总体来说，本项目选择地形条件有利、稳定的洼地、废弃沙坑进行弃渣，弃渣前做好沟口拦挡、截排水等措施，避免上游汇水对渣体冲刷，能够实现对弃渣的有效拦挡，弃渣场发生地质灾害可能造成的潜在危害较小。弃渣场设置合理性分析详见表 3.2-18。</w:t>
      </w:r>
    </w:p>
    <w:p w14:paraId="74F59D9C">
      <w:pPr>
        <w:keepNext w:val="0"/>
        <w:keepLines w:val="0"/>
        <w:widowControl/>
        <w:suppressLineNumbers w:val="0"/>
        <w:jc w:val="left"/>
        <w:rPr>
          <w:rFonts w:hint="eastAsia" w:cs="Times New Roman"/>
          <w:color w:val="auto"/>
          <w:kern w:val="0"/>
          <w:sz w:val="24"/>
          <w:szCs w:val="24"/>
          <w:lang w:val="en-US" w:eastAsia="zh-CN" w:bidi="ar"/>
        </w:rPr>
      </w:pPr>
      <w:r>
        <w:rPr>
          <w:rFonts w:hint="eastAsia" w:cs="Times New Roman"/>
          <w:color w:val="auto"/>
          <w:kern w:val="0"/>
          <w:sz w:val="24"/>
          <w:szCs w:val="24"/>
          <w:lang w:val="en-US" w:eastAsia="zh-CN" w:bidi="ar"/>
        </w:rPr>
        <w:t>弃渣场施工一般采用自卸汽车运输，机械碾压。施工前首先根据弃渣场周边地形、弃渣量，经过计算确定的渣场边界，在渣场边界外 2m 布设截排水设施，预防场内外汇流对渣体的冲刷，并修建进场施工便道和场内临时道路。堆渣采用从低到高、逐层碾压堆弃的方式，弃土场从下往上堆置，每10m设置一级平台，平台宽3m。施工前，主体工程设计对弃土场下游远离路基侧布置挡渣墙拦挡措施，挡渣墙基础埋深1.0m，基础宽1.02m，顶宽0.6m。施工结束后，主体设计在弃土场迎水面边坡设置C30混凝土护坡。为防止雨水等对弃土场的冲刷，主体设计在弃土场堆渣上方设置混凝土排水沟。</w:t>
      </w:r>
    </w:p>
    <w:p w14:paraId="202A4F11">
      <w:pPr>
        <w:keepNext w:val="0"/>
        <w:keepLines w:val="0"/>
        <w:widowControl/>
        <w:suppressLineNumbers w:val="0"/>
        <w:jc w:val="left"/>
        <w:rPr>
          <w:rFonts w:hint="eastAsia" w:cs="Times New Roman"/>
          <w:color w:val="auto"/>
          <w:kern w:val="0"/>
          <w:sz w:val="24"/>
          <w:szCs w:val="24"/>
          <w:lang w:val="en-US" w:eastAsia="zh-CN" w:bidi="ar"/>
        </w:rPr>
      </w:pPr>
    </w:p>
    <w:p w14:paraId="3FF6C2F8">
      <w:pPr>
        <w:keepNext w:val="0"/>
        <w:keepLines w:val="0"/>
        <w:widowControl/>
        <w:suppressLineNumbers w:val="0"/>
        <w:jc w:val="left"/>
        <w:rPr>
          <w:rFonts w:hint="eastAsia" w:cs="Times New Roman"/>
          <w:color w:val="auto"/>
          <w:kern w:val="0"/>
          <w:sz w:val="24"/>
          <w:szCs w:val="24"/>
          <w:lang w:val="en-US" w:eastAsia="zh-CN" w:bidi="ar"/>
        </w:rPr>
      </w:pPr>
    </w:p>
    <w:p w14:paraId="51EFD6B2">
      <w:pPr>
        <w:keepNext w:val="0"/>
        <w:keepLines w:val="0"/>
        <w:widowControl/>
        <w:suppressLineNumbers w:val="0"/>
        <w:jc w:val="left"/>
        <w:rPr>
          <w:rFonts w:hint="eastAsia" w:cs="Times New Roman"/>
          <w:color w:val="auto"/>
          <w:kern w:val="0"/>
          <w:sz w:val="24"/>
          <w:szCs w:val="24"/>
          <w:lang w:val="en-US" w:eastAsia="zh-CN" w:bidi="ar"/>
        </w:rPr>
      </w:pPr>
    </w:p>
    <w:p w14:paraId="687F9317">
      <w:pPr>
        <w:keepNext w:val="0"/>
        <w:keepLines w:val="0"/>
        <w:widowControl/>
        <w:suppressLineNumbers w:val="0"/>
        <w:jc w:val="left"/>
        <w:rPr>
          <w:rFonts w:hint="eastAsia" w:cs="Times New Roman"/>
          <w:color w:val="auto"/>
          <w:kern w:val="0"/>
          <w:sz w:val="24"/>
          <w:szCs w:val="24"/>
          <w:lang w:val="en-US" w:eastAsia="zh-CN" w:bidi="ar"/>
        </w:rPr>
        <w:sectPr>
          <w:pgSz w:w="11907" w:h="16839"/>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FA6AF4B">
      <w:pPr>
        <w:pageBreakBefore w:val="0"/>
        <w:kinsoku/>
        <w:wordWrap/>
        <w:bidi w:val="0"/>
        <w:adjustRightInd/>
        <w:snapToGrid/>
        <w:spacing w:line="228" w:lineRule="auto"/>
        <w:ind w:left="0" w:leftChars="0" w:right="0" w:rightChars="0" w:firstLine="0" w:firstLineChars="0"/>
        <w:jc w:val="center"/>
        <w:rPr>
          <w:rFonts w:hint="default" w:ascii="Times New Roman" w:hAnsi="Times New Roman" w:eastAsia="宋体" w:cs="Times New Roman"/>
          <w:b/>
          <w:bCs/>
          <w:color w:val="auto"/>
          <w:spacing w:val="5"/>
          <w:sz w:val="20"/>
          <w:szCs w:val="20"/>
          <w:lang w:val="en-US" w:eastAsia="zh-CN"/>
        </w:rPr>
      </w:pPr>
      <w:r>
        <w:rPr>
          <w:rFonts w:hint="default" w:ascii="Times New Roman" w:hAnsi="Times New Roman" w:eastAsia="宋体" w:cs="Times New Roman"/>
          <w:b/>
          <w:bCs/>
          <w:color w:val="auto"/>
          <w:spacing w:val="5"/>
          <w:sz w:val="20"/>
          <w:szCs w:val="20"/>
          <w:lang w:val="en-US" w:eastAsia="zh-CN"/>
        </w:rPr>
        <w:t>表 3.2-</w:t>
      </w:r>
      <w:r>
        <w:rPr>
          <w:rFonts w:hint="eastAsia" w:cs="Times New Roman"/>
          <w:b/>
          <w:bCs/>
          <w:color w:val="auto"/>
          <w:spacing w:val="5"/>
          <w:sz w:val="20"/>
          <w:szCs w:val="20"/>
          <w:lang w:val="en-US" w:eastAsia="zh-CN"/>
        </w:rPr>
        <w:t>18</w:t>
      </w:r>
      <w:r>
        <w:rPr>
          <w:rFonts w:hint="default" w:ascii="Times New Roman" w:hAnsi="Times New Roman" w:eastAsia="宋体" w:cs="Times New Roman"/>
          <w:b/>
          <w:bCs/>
          <w:color w:val="auto"/>
          <w:spacing w:val="5"/>
          <w:sz w:val="20"/>
          <w:szCs w:val="20"/>
          <w:lang w:val="en-US" w:eastAsia="zh-CN"/>
        </w:rPr>
        <w:t xml:space="preserve">    弃土场一览表</w:t>
      </w:r>
    </w:p>
    <w:tbl>
      <w:tblPr>
        <w:tblStyle w:val="125"/>
        <w:tblW w:w="5033"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50"/>
        <w:gridCol w:w="1114"/>
        <w:gridCol w:w="1064"/>
        <w:gridCol w:w="1477"/>
        <w:gridCol w:w="1176"/>
        <w:gridCol w:w="3630"/>
        <w:gridCol w:w="1218"/>
        <w:gridCol w:w="3728"/>
      </w:tblGrid>
      <w:tr w14:paraId="3E2ABE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231" w:type="pct"/>
            <w:tcBorders>
              <w:tl2br w:val="nil"/>
              <w:tr2bl w:val="nil"/>
            </w:tcBorders>
            <w:noWrap w:val="0"/>
            <w:vAlign w:val="center"/>
          </w:tcPr>
          <w:p w14:paraId="53DB6EDD">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en-US" w:bidi="ar-SA"/>
              </w:rPr>
            </w:pPr>
            <w:r>
              <w:rPr>
                <w:rFonts w:hint="default" w:ascii="Times New Roman" w:hAnsi="Times New Roman" w:eastAsia="宋体" w:cs="Times New Roman"/>
                <w:b w:val="0"/>
                <w:bCs w:val="0"/>
                <w:color w:val="auto"/>
                <w:spacing w:val="4"/>
                <w:kern w:val="2"/>
                <w:sz w:val="21"/>
                <w:szCs w:val="21"/>
                <w:lang w:val="en-US" w:eastAsia="en-US" w:bidi="ar-SA"/>
              </w:rPr>
              <w:t>序号</w:t>
            </w:r>
          </w:p>
        </w:tc>
        <w:tc>
          <w:tcPr>
            <w:tcW w:w="396" w:type="pct"/>
            <w:tcBorders>
              <w:tl2br w:val="nil"/>
              <w:tr2bl w:val="nil"/>
            </w:tcBorders>
            <w:noWrap w:val="0"/>
            <w:vAlign w:val="center"/>
          </w:tcPr>
          <w:p w14:paraId="456D2FA8">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en-US" w:bidi="ar-SA"/>
              </w:rPr>
            </w:pPr>
            <w:r>
              <w:rPr>
                <w:rFonts w:hint="default" w:ascii="Times New Roman" w:hAnsi="Times New Roman" w:eastAsia="宋体" w:cs="Times New Roman"/>
                <w:b w:val="0"/>
                <w:bCs w:val="0"/>
                <w:color w:val="auto"/>
                <w:spacing w:val="4"/>
                <w:kern w:val="2"/>
                <w:sz w:val="21"/>
                <w:szCs w:val="21"/>
                <w:lang w:val="en-US" w:eastAsia="en-US" w:bidi="ar-SA"/>
              </w:rPr>
              <w:t>名称</w:t>
            </w:r>
          </w:p>
        </w:tc>
        <w:tc>
          <w:tcPr>
            <w:tcW w:w="378" w:type="pct"/>
            <w:tcBorders>
              <w:tl2br w:val="nil"/>
              <w:tr2bl w:val="nil"/>
            </w:tcBorders>
            <w:noWrap w:val="0"/>
            <w:vAlign w:val="center"/>
          </w:tcPr>
          <w:p w14:paraId="65B8C6BA">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en-US" w:bidi="ar-SA"/>
              </w:rPr>
            </w:pPr>
            <w:r>
              <w:rPr>
                <w:rFonts w:hint="default" w:ascii="Times New Roman" w:hAnsi="Times New Roman" w:eastAsia="宋体" w:cs="Times New Roman"/>
                <w:b w:val="0"/>
                <w:bCs w:val="0"/>
                <w:color w:val="auto"/>
                <w:spacing w:val="4"/>
                <w:kern w:val="2"/>
                <w:sz w:val="21"/>
                <w:szCs w:val="21"/>
                <w:lang w:val="en-US" w:eastAsia="en-US" w:bidi="ar-SA"/>
              </w:rPr>
              <w:t>用地面积</w:t>
            </w:r>
          </w:p>
          <w:p w14:paraId="2A95B3D1">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en-US" w:bidi="ar-SA"/>
              </w:rPr>
            </w:pPr>
            <w:r>
              <w:rPr>
                <w:rFonts w:hint="default" w:ascii="Times New Roman" w:hAnsi="Times New Roman" w:eastAsia="宋体" w:cs="Times New Roman"/>
                <w:b w:val="0"/>
                <w:bCs w:val="0"/>
                <w:color w:val="auto"/>
                <w:spacing w:val="4"/>
                <w:kern w:val="2"/>
                <w:sz w:val="21"/>
                <w:szCs w:val="21"/>
                <w:lang w:val="en-US" w:eastAsia="en-US" w:bidi="ar-SA"/>
              </w:rPr>
              <w:t>（m</w:t>
            </w:r>
            <w:r>
              <w:rPr>
                <w:rFonts w:hint="default" w:ascii="Times New Roman" w:hAnsi="Times New Roman" w:eastAsia="宋体" w:cs="Times New Roman"/>
                <w:b w:val="0"/>
                <w:bCs w:val="0"/>
                <w:color w:val="auto"/>
                <w:spacing w:val="4"/>
                <w:kern w:val="2"/>
                <w:sz w:val="21"/>
                <w:szCs w:val="21"/>
                <w:vertAlign w:val="superscript"/>
                <w:lang w:val="en-US" w:eastAsia="zh-CN" w:bidi="ar-SA"/>
              </w:rPr>
              <w:t>2</w:t>
            </w:r>
            <w:r>
              <w:rPr>
                <w:rFonts w:hint="default" w:ascii="Times New Roman" w:hAnsi="Times New Roman" w:eastAsia="宋体" w:cs="Times New Roman"/>
                <w:b w:val="0"/>
                <w:bCs w:val="0"/>
                <w:color w:val="auto"/>
                <w:spacing w:val="4"/>
                <w:kern w:val="2"/>
                <w:sz w:val="21"/>
                <w:szCs w:val="21"/>
                <w:lang w:val="en-US" w:eastAsia="en-US" w:bidi="ar-SA"/>
              </w:rPr>
              <w:t>）</w:t>
            </w:r>
          </w:p>
        </w:tc>
        <w:tc>
          <w:tcPr>
            <w:tcW w:w="525" w:type="pct"/>
            <w:tcBorders>
              <w:tl2br w:val="nil"/>
              <w:tr2bl w:val="nil"/>
            </w:tcBorders>
            <w:noWrap w:val="0"/>
            <w:vAlign w:val="center"/>
          </w:tcPr>
          <w:p w14:paraId="30B58024">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占地类型</w:t>
            </w:r>
          </w:p>
        </w:tc>
        <w:tc>
          <w:tcPr>
            <w:tcW w:w="418" w:type="pct"/>
            <w:tcBorders>
              <w:tl2br w:val="nil"/>
              <w:tr2bl w:val="nil"/>
            </w:tcBorders>
            <w:noWrap w:val="0"/>
            <w:vAlign w:val="center"/>
          </w:tcPr>
          <w:p w14:paraId="14C523F0">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en-US" w:bidi="ar-SA"/>
              </w:rPr>
            </w:pPr>
            <w:r>
              <w:rPr>
                <w:rFonts w:hint="default" w:ascii="Times New Roman" w:hAnsi="Times New Roman" w:eastAsia="宋体" w:cs="Times New Roman"/>
                <w:b w:val="0"/>
                <w:bCs w:val="0"/>
                <w:color w:val="auto"/>
                <w:spacing w:val="4"/>
                <w:kern w:val="2"/>
                <w:sz w:val="21"/>
                <w:szCs w:val="21"/>
                <w:lang w:val="en-US" w:eastAsia="zh-CN" w:bidi="ar-SA"/>
              </w:rPr>
              <w:t>最终</w:t>
            </w:r>
            <w:r>
              <w:rPr>
                <w:rFonts w:hint="default" w:ascii="Times New Roman" w:hAnsi="Times New Roman" w:eastAsia="宋体" w:cs="Times New Roman"/>
                <w:b w:val="0"/>
                <w:bCs w:val="0"/>
                <w:color w:val="auto"/>
                <w:spacing w:val="4"/>
                <w:kern w:val="2"/>
                <w:sz w:val="21"/>
                <w:szCs w:val="21"/>
                <w:lang w:val="en-US" w:eastAsia="en-US" w:bidi="ar-SA"/>
              </w:rPr>
              <w:t>弃土量</w:t>
            </w:r>
          </w:p>
          <w:p w14:paraId="547CD24E">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en-US" w:bidi="ar-SA"/>
              </w:rPr>
            </w:pPr>
            <w:r>
              <w:rPr>
                <w:rFonts w:hint="default" w:ascii="Times New Roman" w:hAnsi="Times New Roman" w:eastAsia="宋体" w:cs="Times New Roman"/>
                <w:b w:val="0"/>
                <w:bCs w:val="0"/>
                <w:color w:val="auto"/>
                <w:spacing w:val="4"/>
                <w:kern w:val="2"/>
                <w:sz w:val="21"/>
                <w:szCs w:val="21"/>
                <w:lang w:val="en-US" w:eastAsia="en-US" w:bidi="ar-SA"/>
              </w:rPr>
              <w:t>（ m</w:t>
            </w:r>
            <w:r>
              <w:rPr>
                <w:rFonts w:hint="default" w:ascii="Times New Roman" w:hAnsi="Times New Roman" w:eastAsia="宋体" w:cs="Times New Roman"/>
                <w:b w:val="0"/>
                <w:bCs w:val="0"/>
                <w:color w:val="auto"/>
                <w:spacing w:val="4"/>
                <w:kern w:val="2"/>
                <w:sz w:val="21"/>
                <w:szCs w:val="21"/>
                <w:vertAlign w:val="superscript"/>
                <w:lang w:val="en-US" w:eastAsia="zh-CN" w:bidi="ar-SA"/>
              </w:rPr>
              <w:t>3</w:t>
            </w:r>
            <w:r>
              <w:rPr>
                <w:rFonts w:hint="default" w:ascii="Times New Roman" w:hAnsi="Times New Roman" w:eastAsia="宋体" w:cs="Times New Roman"/>
                <w:b w:val="0"/>
                <w:bCs w:val="0"/>
                <w:color w:val="auto"/>
                <w:spacing w:val="4"/>
                <w:kern w:val="2"/>
                <w:sz w:val="21"/>
                <w:szCs w:val="21"/>
                <w:lang w:val="en-US" w:eastAsia="en-US" w:bidi="ar-SA"/>
              </w:rPr>
              <w:t>）</w:t>
            </w:r>
          </w:p>
        </w:tc>
        <w:tc>
          <w:tcPr>
            <w:tcW w:w="1290" w:type="pct"/>
            <w:tcBorders>
              <w:tl2br w:val="nil"/>
              <w:tr2bl w:val="nil"/>
            </w:tcBorders>
            <w:noWrap w:val="0"/>
            <w:vAlign w:val="center"/>
          </w:tcPr>
          <w:p w14:paraId="0F227240">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en-US" w:bidi="ar-SA"/>
              </w:rPr>
            </w:pPr>
            <w:r>
              <w:rPr>
                <w:rFonts w:hint="default" w:ascii="Times New Roman" w:hAnsi="Times New Roman" w:eastAsia="宋体" w:cs="Times New Roman"/>
                <w:b w:val="0"/>
                <w:bCs w:val="0"/>
                <w:color w:val="auto"/>
                <w:spacing w:val="4"/>
                <w:kern w:val="2"/>
                <w:sz w:val="21"/>
                <w:szCs w:val="21"/>
                <w:lang w:val="en-US" w:eastAsia="en-US" w:bidi="ar-SA"/>
              </w:rPr>
              <w:t>选址环境合理性及用地适应性分析</w:t>
            </w:r>
          </w:p>
        </w:tc>
        <w:tc>
          <w:tcPr>
            <w:tcW w:w="433" w:type="pct"/>
            <w:tcBorders>
              <w:tl2br w:val="nil"/>
              <w:tr2bl w:val="nil"/>
            </w:tcBorders>
            <w:noWrap w:val="0"/>
            <w:vAlign w:val="center"/>
          </w:tcPr>
          <w:p w14:paraId="242F0EFB">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en-US" w:bidi="ar-SA"/>
              </w:rPr>
            </w:pPr>
            <w:r>
              <w:rPr>
                <w:rFonts w:hint="default" w:ascii="Times New Roman" w:hAnsi="Times New Roman" w:eastAsia="宋体" w:cs="Times New Roman"/>
                <w:b w:val="0"/>
                <w:bCs w:val="0"/>
                <w:color w:val="auto"/>
                <w:spacing w:val="4"/>
                <w:kern w:val="2"/>
                <w:sz w:val="21"/>
                <w:szCs w:val="21"/>
                <w:lang w:val="en-US" w:eastAsia="en-US" w:bidi="ar-SA"/>
              </w:rPr>
              <w:t>标段</w:t>
            </w:r>
          </w:p>
        </w:tc>
        <w:tc>
          <w:tcPr>
            <w:tcW w:w="1325" w:type="pct"/>
            <w:tcBorders>
              <w:tl2br w:val="nil"/>
              <w:tr2bl w:val="nil"/>
            </w:tcBorders>
            <w:noWrap w:val="0"/>
            <w:vAlign w:val="center"/>
          </w:tcPr>
          <w:p w14:paraId="7E22491E">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eastAsia" w:ascii="Times New Roman" w:hAnsi="Times New Roman" w:eastAsia="宋体" w:cs="Times New Roman"/>
                <w:b w:val="0"/>
                <w:bCs w:val="0"/>
                <w:color w:val="auto"/>
                <w:spacing w:val="4"/>
                <w:kern w:val="2"/>
                <w:sz w:val="21"/>
                <w:szCs w:val="21"/>
                <w:lang w:val="en-US" w:eastAsia="zh-CN" w:bidi="ar-SA"/>
              </w:rPr>
              <w:t>卫星影像</w:t>
            </w:r>
          </w:p>
        </w:tc>
      </w:tr>
      <w:tr w14:paraId="2288C7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9" w:hRule="atLeast"/>
        </w:trPr>
        <w:tc>
          <w:tcPr>
            <w:tcW w:w="231" w:type="pct"/>
            <w:tcBorders>
              <w:tl2br w:val="nil"/>
              <w:tr2bl w:val="nil"/>
            </w:tcBorders>
            <w:noWrap w:val="0"/>
            <w:vAlign w:val="center"/>
          </w:tcPr>
          <w:p w14:paraId="29CF437F">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en-US" w:bidi="ar-SA"/>
              </w:rPr>
            </w:pPr>
            <w:r>
              <w:rPr>
                <w:rFonts w:hint="default" w:ascii="Times New Roman" w:hAnsi="Times New Roman" w:eastAsia="宋体" w:cs="Times New Roman"/>
                <w:b w:val="0"/>
                <w:bCs w:val="0"/>
                <w:color w:val="auto"/>
                <w:spacing w:val="4"/>
                <w:kern w:val="2"/>
                <w:sz w:val="21"/>
                <w:szCs w:val="21"/>
                <w:lang w:val="en-US" w:eastAsia="en-US" w:bidi="ar-SA"/>
              </w:rPr>
              <w:t>1</w:t>
            </w:r>
          </w:p>
        </w:tc>
        <w:tc>
          <w:tcPr>
            <w:tcW w:w="396" w:type="pct"/>
            <w:tcBorders>
              <w:tl2br w:val="nil"/>
              <w:tr2bl w:val="nil"/>
            </w:tcBorders>
            <w:noWrap w:val="0"/>
            <w:vAlign w:val="center"/>
          </w:tcPr>
          <w:p w14:paraId="61604612">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弃土场1</w:t>
            </w:r>
          </w:p>
        </w:tc>
        <w:tc>
          <w:tcPr>
            <w:tcW w:w="378" w:type="pct"/>
            <w:tcBorders>
              <w:tl2br w:val="nil"/>
              <w:tr2bl w:val="nil"/>
            </w:tcBorders>
            <w:noWrap w:val="0"/>
            <w:vAlign w:val="center"/>
          </w:tcPr>
          <w:p w14:paraId="5A861D5A">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11000</w:t>
            </w:r>
          </w:p>
        </w:tc>
        <w:tc>
          <w:tcPr>
            <w:tcW w:w="525" w:type="pct"/>
            <w:tcBorders>
              <w:tl2br w:val="nil"/>
              <w:tr2bl w:val="nil"/>
            </w:tcBorders>
            <w:noWrap w:val="0"/>
            <w:vAlign w:val="center"/>
          </w:tcPr>
          <w:p w14:paraId="017B29B9">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裸岩石砾地</w:t>
            </w:r>
          </w:p>
          <w:p w14:paraId="6156D4DF">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（裸岩石质地）</w:t>
            </w:r>
          </w:p>
        </w:tc>
        <w:tc>
          <w:tcPr>
            <w:tcW w:w="418" w:type="pct"/>
            <w:tcBorders>
              <w:tl2br w:val="nil"/>
              <w:tr2bl w:val="nil"/>
            </w:tcBorders>
            <w:noWrap w:val="0"/>
            <w:vAlign w:val="center"/>
          </w:tcPr>
          <w:p w14:paraId="2539E19C">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en-US" w:bidi="ar-SA"/>
              </w:rPr>
            </w:pPr>
            <w:r>
              <w:rPr>
                <w:rFonts w:hint="default" w:ascii="Times New Roman" w:hAnsi="Times New Roman" w:eastAsia="宋体" w:cs="Times New Roman"/>
                <w:b w:val="0"/>
                <w:bCs w:val="0"/>
                <w:color w:val="auto"/>
                <w:spacing w:val="4"/>
                <w:kern w:val="2"/>
                <w:sz w:val="21"/>
                <w:szCs w:val="21"/>
                <w:lang w:val="en-US" w:eastAsia="zh-CN" w:bidi="ar-SA"/>
              </w:rPr>
              <w:t>185000m</w:t>
            </w:r>
            <w:r>
              <w:rPr>
                <w:rFonts w:hint="default" w:ascii="Times New Roman" w:hAnsi="Times New Roman" w:eastAsia="宋体" w:cs="Times New Roman"/>
                <w:b w:val="0"/>
                <w:bCs w:val="0"/>
                <w:color w:val="auto"/>
                <w:spacing w:val="4"/>
                <w:kern w:val="2"/>
                <w:sz w:val="21"/>
                <w:szCs w:val="21"/>
                <w:vertAlign w:val="superscript"/>
                <w:lang w:val="en-US" w:eastAsia="zh-CN" w:bidi="ar-SA"/>
              </w:rPr>
              <w:t>3</w:t>
            </w:r>
          </w:p>
        </w:tc>
        <w:tc>
          <w:tcPr>
            <w:tcW w:w="1290" w:type="pct"/>
            <w:tcBorders>
              <w:tl2br w:val="nil"/>
              <w:tr2bl w:val="nil"/>
            </w:tcBorders>
            <w:noWrap w:val="0"/>
            <w:vAlign w:val="center"/>
          </w:tcPr>
          <w:p w14:paraId="699D4130">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弃土场位于山间洼地</w:t>
            </w:r>
            <w:r>
              <w:rPr>
                <w:rFonts w:hint="eastAsia" w:cs="Times New Roman"/>
                <w:b w:val="0"/>
                <w:bCs w:val="0"/>
                <w:color w:val="auto"/>
                <w:spacing w:val="4"/>
                <w:kern w:val="2"/>
                <w:sz w:val="21"/>
                <w:szCs w:val="21"/>
                <w:lang w:val="en-US" w:eastAsia="zh-CN" w:bidi="ar-SA"/>
              </w:rPr>
              <w:t>，场地呈不规则布置，无高陡边坡，无滑坡、崩塌等地质灾害，地表基本无植被覆盖。未处于饮用水源保护区范围内，未处于自然保护区、生态红线及河道范围内，未处于对公共设施、基础设施、工业企业、居民点等有重大影响的区域，容量可满足弃渣需求，符合水土保持要求。弃土场下游 1km 不涉及居民点、河流、水库等保护目标，设置合理</w:t>
            </w:r>
          </w:p>
        </w:tc>
        <w:tc>
          <w:tcPr>
            <w:tcW w:w="433" w:type="pct"/>
            <w:tcBorders>
              <w:tl2br w:val="nil"/>
              <w:tr2bl w:val="nil"/>
            </w:tcBorders>
            <w:noWrap w:val="0"/>
            <w:vAlign w:val="center"/>
          </w:tcPr>
          <w:p w14:paraId="4581F108">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en-US" w:bidi="ar-SA"/>
              </w:rPr>
            </w:pPr>
            <w:r>
              <w:rPr>
                <w:rFonts w:hint="default" w:ascii="Times New Roman" w:hAnsi="Times New Roman" w:eastAsia="宋体" w:cs="Times New Roman"/>
                <w:b w:val="0"/>
                <w:bCs w:val="0"/>
                <w:color w:val="auto"/>
                <w:spacing w:val="4"/>
                <w:kern w:val="2"/>
                <w:sz w:val="21"/>
                <w:szCs w:val="21"/>
                <w:lang w:val="en-US" w:eastAsia="zh-CN" w:bidi="ar-SA"/>
              </w:rPr>
              <w:t>右侧K8+694</w:t>
            </w:r>
          </w:p>
        </w:tc>
        <w:tc>
          <w:tcPr>
            <w:tcW w:w="1325" w:type="pct"/>
            <w:tcBorders>
              <w:tl2br w:val="nil"/>
              <w:tr2bl w:val="nil"/>
            </w:tcBorders>
            <w:noWrap w:val="0"/>
            <w:vAlign w:val="center"/>
          </w:tcPr>
          <w:p w14:paraId="0E6A7264">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color w:val="auto"/>
              </w:rPr>
              <w:drawing>
                <wp:inline distT="0" distB="0" distL="114300" distR="114300">
                  <wp:extent cx="2339975" cy="2016125"/>
                  <wp:effectExtent l="0" t="0" r="3175" b="3175"/>
                  <wp:docPr id="69" name="图片 4"/>
                  <wp:cNvGraphicFramePr/>
                  <a:graphic xmlns:a="http://schemas.openxmlformats.org/drawingml/2006/main">
                    <a:graphicData uri="http://schemas.openxmlformats.org/drawingml/2006/picture">
                      <pic:pic xmlns:pic="http://schemas.openxmlformats.org/drawingml/2006/picture">
                        <pic:nvPicPr>
                          <pic:cNvPr id="69" name="图片 4"/>
                          <pic:cNvPicPr/>
                        </pic:nvPicPr>
                        <pic:blipFill>
                          <a:blip r:embed="rId23"/>
                          <a:stretch>
                            <a:fillRect/>
                          </a:stretch>
                        </pic:blipFill>
                        <pic:spPr>
                          <a:xfrm>
                            <a:off x="0" y="0"/>
                            <a:ext cx="2339975" cy="2016125"/>
                          </a:xfrm>
                          <a:prstGeom prst="rect">
                            <a:avLst/>
                          </a:prstGeom>
                          <a:noFill/>
                          <a:ln>
                            <a:noFill/>
                          </a:ln>
                        </pic:spPr>
                      </pic:pic>
                    </a:graphicData>
                  </a:graphic>
                </wp:inline>
              </w:drawing>
            </w:r>
          </w:p>
        </w:tc>
      </w:tr>
      <w:tr w14:paraId="12E28E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3" w:hRule="atLeast"/>
        </w:trPr>
        <w:tc>
          <w:tcPr>
            <w:tcW w:w="231" w:type="pct"/>
            <w:tcBorders>
              <w:tl2br w:val="nil"/>
              <w:tr2bl w:val="nil"/>
            </w:tcBorders>
            <w:noWrap w:val="0"/>
            <w:vAlign w:val="center"/>
          </w:tcPr>
          <w:p w14:paraId="3BD7DB95">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en-US" w:bidi="ar-SA"/>
              </w:rPr>
            </w:pPr>
            <w:r>
              <w:rPr>
                <w:rFonts w:hint="default" w:ascii="Times New Roman" w:hAnsi="Times New Roman" w:eastAsia="宋体" w:cs="Times New Roman"/>
                <w:b w:val="0"/>
                <w:bCs w:val="0"/>
                <w:color w:val="auto"/>
                <w:spacing w:val="4"/>
                <w:kern w:val="2"/>
                <w:sz w:val="21"/>
                <w:szCs w:val="21"/>
                <w:lang w:val="en-US" w:eastAsia="en-US" w:bidi="ar-SA"/>
              </w:rPr>
              <w:t>2</w:t>
            </w:r>
          </w:p>
        </w:tc>
        <w:tc>
          <w:tcPr>
            <w:tcW w:w="396" w:type="pct"/>
            <w:tcBorders>
              <w:tl2br w:val="nil"/>
              <w:tr2bl w:val="nil"/>
            </w:tcBorders>
            <w:noWrap w:val="0"/>
            <w:vAlign w:val="center"/>
          </w:tcPr>
          <w:p w14:paraId="7C739E6F">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弃土场2</w:t>
            </w:r>
          </w:p>
        </w:tc>
        <w:tc>
          <w:tcPr>
            <w:tcW w:w="378" w:type="pct"/>
            <w:tcBorders>
              <w:tl2br w:val="nil"/>
              <w:tr2bl w:val="nil"/>
            </w:tcBorders>
            <w:noWrap w:val="0"/>
            <w:vAlign w:val="center"/>
          </w:tcPr>
          <w:p w14:paraId="73226529">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13800</w:t>
            </w:r>
          </w:p>
        </w:tc>
        <w:tc>
          <w:tcPr>
            <w:tcW w:w="525" w:type="pct"/>
            <w:tcBorders>
              <w:tl2br w:val="nil"/>
              <w:tr2bl w:val="nil"/>
            </w:tcBorders>
            <w:noWrap w:val="0"/>
            <w:vAlign w:val="center"/>
          </w:tcPr>
          <w:p w14:paraId="53E5A988">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裸岩石砾地</w:t>
            </w:r>
          </w:p>
          <w:p w14:paraId="65B3ECCB">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en-US" w:bidi="ar-SA"/>
              </w:rPr>
            </w:pPr>
            <w:r>
              <w:rPr>
                <w:rFonts w:hint="default" w:ascii="Times New Roman" w:hAnsi="Times New Roman" w:eastAsia="宋体" w:cs="Times New Roman"/>
                <w:b w:val="0"/>
                <w:bCs w:val="0"/>
                <w:color w:val="auto"/>
                <w:spacing w:val="4"/>
                <w:kern w:val="2"/>
                <w:sz w:val="21"/>
                <w:szCs w:val="21"/>
                <w:lang w:val="en-US" w:eastAsia="zh-CN" w:bidi="ar-SA"/>
              </w:rPr>
              <w:t>（裸岩石质地）</w:t>
            </w:r>
          </w:p>
        </w:tc>
        <w:tc>
          <w:tcPr>
            <w:tcW w:w="418" w:type="pct"/>
            <w:tcBorders>
              <w:tl2br w:val="nil"/>
              <w:tr2bl w:val="nil"/>
            </w:tcBorders>
            <w:noWrap w:val="0"/>
            <w:vAlign w:val="center"/>
          </w:tcPr>
          <w:p w14:paraId="4730E395">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en-US" w:bidi="ar-SA"/>
              </w:rPr>
            </w:pPr>
            <w:r>
              <w:rPr>
                <w:rFonts w:hint="default" w:ascii="Times New Roman" w:hAnsi="Times New Roman" w:eastAsia="宋体" w:cs="Times New Roman"/>
                <w:b w:val="0"/>
                <w:bCs w:val="0"/>
                <w:color w:val="auto"/>
                <w:spacing w:val="4"/>
                <w:kern w:val="2"/>
                <w:sz w:val="21"/>
                <w:szCs w:val="21"/>
                <w:lang w:val="en-US" w:eastAsia="zh-CN" w:bidi="ar-SA"/>
              </w:rPr>
              <w:t>254900m</w:t>
            </w:r>
            <w:r>
              <w:rPr>
                <w:rFonts w:hint="default" w:ascii="Times New Roman" w:hAnsi="Times New Roman" w:eastAsia="宋体" w:cs="Times New Roman"/>
                <w:b w:val="0"/>
                <w:bCs w:val="0"/>
                <w:color w:val="auto"/>
                <w:spacing w:val="4"/>
                <w:kern w:val="2"/>
                <w:sz w:val="21"/>
                <w:szCs w:val="21"/>
                <w:vertAlign w:val="superscript"/>
                <w:lang w:val="en-US" w:eastAsia="zh-CN" w:bidi="ar-SA"/>
              </w:rPr>
              <w:t>3</w:t>
            </w:r>
          </w:p>
        </w:tc>
        <w:tc>
          <w:tcPr>
            <w:tcW w:w="1290" w:type="pct"/>
            <w:tcBorders>
              <w:tl2br w:val="nil"/>
              <w:tr2bl w:val="nil"/>
            </w:tcBorders>
            <w:noWrap w:val="0"/>
            <w:vAlign w:val="center"/>
          </w:tcPr>
          <w:p w14:paraId="02070F25">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en-US" w:bidi="ar-SA"/>
              </w:rPr>
            </w:pPr>
            <w:r>
              <w:rPr>
                <w:rFonts w:hint="default" w:ascii="Times New Roman" w:hAnsi="Times New Roman" w:eastAsia="宋体" w:cs="Times New Roman"/>
                <w:b w:val="0"/>
                <w:bCs w:val="0"/>
                <w:color w:val="auto"/>
                <w:spacing w:val="4"/>
                <w:kern w:val="2"/>
                <w:sz w:val="21"/>
                <w:szCs w:val="21"/>
                <w:lang w:val="en-US" w:eastAsia="en-US" w:bidi="ar-SA"/>
              </w:rPr>
              <w:t>弃土场位于山间洼地，场地呈不规则布置，无高陡边坡，无滑坡、崩塌等地质灾害，地表基本无植被覆盖。未处于饮用水源保护区范围内，未处于自然保护区、生态红线及河道范围内，未处于对公共设施、基础设施、工业企业、居民点等有重大影响的区域，容量可满足弃渣需求，符合水土保持要求。弃</w:t>
            </w:r>
            <w:r>
              <w:rPr>
                <w:rFonts w:hint="eastAsia" w:cs="Times New Roman"/>
                <w:b w:val="0"/>
                <w:bCs w:val="0"/>
                <w:color w:val="auto"/>
                <w:spacing w:val="4"/>
                <w:kern w:val="2"/>
                <w:sz w:val="21"/>
                <w:szCs w:val="21"/>
                <w:lang w:val="en-US" w:eastAsia="zh-CN" w:bidi="ar-SA"/>
              </w:rPr>
              <w:t>土</w:t>
            </w:r>
            <w:r>
              <w:rPr>
                <w:rFonts w:hint="default" w:ascii="Times New Roman" w:hAnsi="Times New Roman" w:eastAsia="宋体" w:cs="Times New Roman"/>
                <w:b w:val="0"/>
                <w:bCs w:val="0"/>
                <w:color w:val="auto"/>
                <w:spacing w:val="4"/>
                <w:kern w:val="2"/>
                <w:sz w:val="21"/>
                <w:szCs w:val="21"/>
                <w:lang w:val="en-US" w:eastAsia="en-US" w:bidi="ar-SA"/>
              </w:rPr>
              <w:t>场下游 1km 不涉及居民点、河流、水库等保护目标，设置合理</w:t>
            </w:r>
          </w:p>
        </w:tc>
        <w:tc>
          <w:tcPr>
            <w:tcW w:w="433" w:type="pct"/>
            <w:tcBorders>
              <w:tl2br w:val="nil"/>
              <w:tr2bl w:val="nil"/>
            </w:tcBorders>
            <w:noWrap w:val="0"/>
            <w:vAlign w:val="center"/>
          </w:tcPr>
          <w:p w14:paraId="5C589A88">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en-US" w:bidi="ar-SA"/>
              </w:rPr>
            </w:pPr>
            <w:r>
              <w:rPr>
                <w:rFonts w:hint="default" w:ascii="Times New Roman" w:hAnsi="Times New Roman" w:eastAsia="宋体" w:cs="Times New Roman"/>
                <w:b w:val="0"/>
                <w:bCs w:val="0"/>
                <w:color w:val="auto"/>
                <w:spacing w:val="4"/>
                <w:kern w:val="2"/>
                <w:sz w:val="21"/>
                <w:szCs w:val="21"/>
                <w:lang w:val="en-US" w:eastAsia="zh-CN" w:bidi="ar-SA"/>
              </w:rPr>
              <w:t>右侧K9+065</w:t>
            </w:r>
          </w:p>
        </w:tc>
        <w:tc>
          <w:tcPr>
            <w:tcW w:w="1325" w:type="pct"/>
            <w:tcBorders>
              <w:tl2br w:val="nil"/>
              <w:tr2bl w:val="nil"/>
            </w:tcBorders>
            <w:noWrap w:val="0"/>
            <w:vAlign w:val="center"/>
          </w:tcPr>
          <w:p w14:paraId="505B8B81">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color w:val="auto"/>
              </w:rPr>
              <w:drawing>
                <wp:inline distT="0" distB="0" distL="114300" distR="114300">
                  <wp:extent cx="2339975" cy="2016125"/>
                  <wp:effectExtent l="0" t="0" r="3175" b="3175"/>
                  <wp:docPr id="70" name="图片 5"/>
                  <wp:cNvGraphicFramePr/>
                  <a:graphic xmlns:a="http://schemas.openxmlformats.org/drawingml/2006/main">
                    <a:graphicData uri="http://schemas.openxmlformats.org/drawingml/2006/picture">
                      <pic:pic xmlns:pic="http://schemas.openxmlformats.org/drawingml/2006/picture">
                        <pic:nvPicPr>
                          <pic:cNvPr id="70" name="图片 5"/>
                          <pic:cNvPicPr/>
                        </pic:nvPicPr>
                        <pic:blipFill>
                          <a:blip r:embed="rId24"/>
                          <a:stretch>
                            <a:fillRect/>
                          </a:stretch>
                        </pic:blipFill>
                        <pic:spPr>
                          <a:xfrm>
                            <a:off x="0" y="0"/>
                            <a:ext cx="2339975" cy="2016125"/>
                          </a:xfrm>
                          <a:prstGeom prst="rect">
                            <a:avLst/>
                          </a:prstGeom>
                          <a:noFill/>
                          <a:ln>
                            <a:noFill/>
                          </a:ln>
                        </pic:spPr>
                      </pic:pic>
                    </a:graphicData>
                  </a:graphic>
                </wp:inline>
              </w:drawing>
            </w:r>
          </w:p>
        </w:tc>
      </w:tr>
      <w:tr w14:paraId="117F49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3" w:hRule="atLeast"/>
        </w:trPr>
        <w:tc>
          <w:tcPr>
            <w:tcW w:w="231" w:type="pct"/>
            <w:tcBorders>
              <w:tl2br w:val="nil"/>
              <w:tr2bl w:val="nil"/>
            </w:tcBorders>
            <w:noWrap w:val="0"/>
            <w:vAlign w:val="center"/>
          </w:tcPr>
          <w:p w14:paraId="40B976E3">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3</w:t>
            </w:r>
          </w:p>
        </w:tc>
        <w:tc>
          <w:tcPr>
            <w:tcW w:w="396" w:type="pct"/>
            <w:tcBorders>
              <w:tl2br w:val="nil"/>
              <w:tr2bl w:val="nil"/>
            </w:tcBorders>
            <w:noWrap w:val="0"/>
            <w:vAlign w:val="center"/>
          </w:tcPr>
          <w:p w14:paraId="1091E540">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弃土场3</w:t>
            </w:r>
          </w:p>
        </w:tc>
        <w:tc>
          <w:tcPr>
            <w:tcW w:w="378" w:type="pct"/>
            <w:tcBorders>
              <w:tl2br w:val="nil"/>
              <w:tr2bl w:val="nil"/>
            </w:tcBorders>
            <w:noWrap w:val="0"/>
            <w:vAlign w:val="center"/>
          </w:tcPr>
          <w:p w14:paraId="6117EF6E">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33300</w:t>
            </w:r>
          </w:p>
        </w:tc>
        <w:tc>
          <w:tcPr>
            <w:tcW w:w="525" w:type="pct"/>
            <w:tcBorders>
              <w:tl2br w:val="nil"/>
              <w:tr2bl w:val="nil"/>
            </w:tcBorders>
            <w:noWrap w:val="0"/>
            <w:vAlign w:val="center"/>
          </w:tcPr>
          <w:p w14:paraId="361F8552">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裸岩石砾地</w:t>
            </w:r>
          </w:p>
          <w:p w14:paraId="7B9FA596">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（裸岩石质地）</w:t>
            </w:r>
          </w:p>
        </w:tc>
        <w:tc>
          <w:tcPr>
            <w:tcW w:w="418" w:type="pct"/>
            <w:tcBorders>
              <w:tl2br w:val="nil"/>
              <w:tr2bl w:val="nil"/>
            </w:tcBorders>
            <w:noWrap w:val="0"/>
            <w:vAlign w:val="center"/>
          </w:tcPr>
          <w:p w14:paraId="69B80EDF">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484100m</w:t>
            </w:r>
            <w:r>
              <w:rPr>
                <w:rFonts w:hint="default" w:ascii="Times New Roman" w:hAnsi="Times New Roman" w:eastAsia="宋体" w:cs="Times New Roman"/>
                <w:b w:val="0"/>
                <w:bCs w:val="0"/>
                <w:color w:val="auto"/>
                <w:spacing w:val="4"/>
                <w:kern w:val="2"/>
                <w:sz w:val="21"/>
                <w:szCs w:val="21"/>
                <w:vertAlign w:val="superscript"/>
                <w:lang w:val="en-US" w:eastAsia="zh-CN" w:bidi="ar-SA"/>
              </w:rPr>
              <w:t>3</w:t>
            </w:r>
          </w:p>
        </w:tc>
        <w:tc>
          <w:tcPr>
            <w:tcW w:w="1290" w:type="pct"/>
            <w:tcBorders>
              <w:tl2br w:val="nil"/>
              <w:tr2bl w:val="nil"/>
            </w:tcBorders>
            <w:noWrap w:val="0"/>
            <w:vAlign w:val="center"/>
          </w:tcPr>
          <w:p w14:paraId="0283334F">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弃土场位于山间洼地，场地呈不规则布置，无高陡边坡，无滑坡、崩塌等地质灾害，地表基本无植被覆盖。未处于饮用水源保护区范围内，未处于自然保护区、生态红线及河道范围内，未处于对公共设施、基础设施、工业企业、居民点等有重大影响的区域，容量可满足弃渣需求，符合水土保持要求。弃</w:t>
            </w:r>
            <w:r>
              <w:rPr>
                <w:rFonts w:hint="eastAsia" w:cs="Times New Roman"/>
                <w:b w:val="0"/>
                <w:bCs w:val="0"/>
                <w:color w:val="auto"/>
                <w:spacing w:val="4"/>
                <w:kern w:val="2"/>
                <w:sz w:val="21"/>
                <w:szCs w:val="21"/>
                <w:lang w:val="en-US" w:eastAsia="zh-CN" w:bidi="ar-SA"/>
              </w:rPr>
              <w:t>土</w:t>
            </w:r>
            <w:r>
              <w:rPr>
                <w:rFonts w:hint="default" w:ascii="Times New Roman" w:hAnsi="Times New Roman" w:eastAsia="宋体" w:cs="Times New Roman"/>
                <w:b w:val="0"/>
                <w:bCs w:val="0"/>
                <w:color w:val="auto"/>
                <w:spacing w:val="4"/>
                <w:kern w:val="2"/>
                <w:sz w:val="21"/>
                <w:szCs w:val="21"/>
                <w:lang w:val="en-US" w:eastAsia="zh-CN" w:bidi="ar-SA"/>
              </w:rPr>
              <w:t>场下游 1km 不涉及居民点、河流、水库等保护目标，设置合理</w:t>
            </w:r>
          </w:p>
        </w:tc>
        <w:tc>
          <w:tcPr>
            <w:tcW w:w="433" w:type="pct"/>
            <w:tcBorders>
              <w:tl2br w:val="nil"/>
              <w:tr2bl w:val="nil"/>
            </w:tcBorders>
            <w:noWrap w:val="0"/>
            <w:vAlign w:val="center"/>
          </w:tcPr>
          <w:p w14:paraId="43786471">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左侧K9+065</w:t>
            </w:r>
          </w:p>
        </w:tc>
        <w:tc>
          <w:tcPr>
            <w:tcW w:w="1325" w:type="pct"/>
            <w:tcBorders>
              <w:tl2br w:val="nil"/>
              <w:tr2bl w:val="nil"/>
            </w:tcBorders>
            <w:noWrap w:val="0"/>
            <w:vAlign w:val="center"/>
          </w:tcPr>
          <w:p w14:paraId="18E6B02A">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color w:val="auto"/>
              </w:rPr>
              <w:drawing>
                <wp:inline distT="0" distB="0" distL="114300" distR="114300">
                  <wp:extent cx="2339975" cy="2016125"/>
                  <wp:effectExtent l="0" t="0" r="3175" b="3175"/>
                  <wp:docPr id="71" name="图片 6"/>
                  <wp:cNvGraphicFramePr/>
                  <a:graphic xmlns:a="http://schemas.openxmlformats.org/drawingml/2006/main">
                    <a:graphicData uri="http://schemas.openxmlformats.org/drawingml/2006/picture">
                      <pic:pic xmlns:pic="http://schemas.openxmlformats.org/drawingml/2006/picture">
                        <pic:nvPicPr>
                          <pic:cNvPr id="71" name="图片 6"/>
                          <pic:cNvPicPr/>
                        </pic:nvPicPr>
                        <pic:blipFill>
                          <a:blip r:embed="rId25"/>
                          <a:stretch>
                            <a:fillRect/>
                          </a:stretch>
                        </pic:blipFill>
                        <pic:spPr>
                          <a:xfrm>
                            <a:off x="0" y="0"/>
                            <a:ext cx="2339975" cy="2016125"/>
                          </a:xfrm>
                          <a:prstGeom prst="rect">
                            <a:avLst/>
                          </a:prstGeom>
                          <a:noFill/>
                          <a:ln>
                            <a:noFill/>
                          </a:ln>
                        </pic:spPr>
                      </pic:pic>
                    </a:graphicData>
                  </a:graphic>
                </wp:inline>
              </w:drawing>
            </w:r>
          </w:p>
        </w:tc>
      </w:tr>
      <w:tr w14:paraId="29DB63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3" w:hRule="atLeast"/>
        </w:trPr>
        <w:tc>
          <w:tcPr>
            <w:tcW w:w="231" w:type="pct"/>
            <w:tcBorders>
              <w:tl2br w:val="nil"/>
              <w:tr2bl w:val="nil"/>
            </w:tcBorders>
            <w:noWrap w:val="0"/>
            <w:vAlign w:val="center"/>
          </w:tcPr>
          <w:p w14:paraId="3AD6C17A">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4</w:t>
            </w:r>
          </w:p>
        </w:tc>
        <w:tc>
          <w:tcPr>
            <w:tcW w:w="396" w:type="pct"/>
            <w:tcBorders>
              <w:tl2br w:val="nil"/>
              <w:tr2bl w:val="nil"/>
            </w:tcBorders>
            <w:noWrap w:val="0"/>
            <w:vAlign w:val="center"/>
          </w:tcPr>
          <w:p w14:paraId="6EB86DB8">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弃土场4</w:t>
            </w:r>
          </w:p>
        </w:tc>
        <w:tc>
          <w:tcPr>
            <w:tcW w:w="378" w:type="pct"/>
            <w:tcBorders>
              <w:tl2br w:val="nil"/>
              <w:tr2bl w:val="nil"/>
            </w:tcBorders>
            <w:noWrap w:val="0"/>
            <w:vAlign w:val="center"/>
          </w:tcPr>
          <w:p w14:paraId="6382CB95">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19500</w:t>
            </w:r>
          </w:p>
        </w:tc>
        <w:tc>
          <w:tcPr>
            <w:tcW w:w="525" w:type="pct"/>
            <w:tcBorders>
              <w:tl2br w:val="nil"/>
              <w:tr2bl w:val="nil"/>
            </w:tcBorders>
            <w:noWrap w:val="0"/>
            <w:vAlign w:val="center"/>
          </w:tcPr>
          <w:p w14:paraId="05DA3E8F">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裸岩石砾地</w:t>
            </w:r>
          </w:p>
          <w:p w14:paraId="58C5902B">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（裸岩石质地）</w:t>
            </w:r>
          </w:p>
        </w:tc>
        <w:tc>
          <w:tcPr>
            <w:tcW w:w="418" w:type="pct"/>
            <w:tcBorders>
              <w:tl2br w:val="nil"/>
              <w:tr2bl w:val="nil"/>
            </w:tcBorders>
            <w:noWrap w:val="0"/>
            <w:vAlign w:val="center"/>
          </w:tcPr>
          <w:p w14:paraId="02E512F6">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374700m</w:t>
            </w:r>
            <w:r>
              <w:rPr>
                <w:rFonts w:hint="default" w:ascii="Times New Roman" w:hAnsi="Times New Roman" w:eastAsia="宋体" w:cs="Times New Roman"/>
                <w:b w:val="0"/>
                <w:bCs w:val="0"/>
                <w:color w:val="auto"/>
                <w:spacing w:val="4"/>
                <w:kern w:val="2"/>
                <w:sz w:val="21"/>
                <w:szCs w:val="21"/>
                <w:vertAlign w:val="superscript"/>
                <w:lang w:val="en-US" w:eastAsia="zh-CN" w:bidi="ar-SA"/>
              </w:rPr>
              <w:t>3</w:t>
            </w:r>
          </w:p>
        </w:tc>
        <w:tc>
          <w:tcPr>
            <w:tcW w:w="1290" w:type="pct"/>
            <w:tcBorders>
              <w:tl2br w:val="nil"/>
              <w:tr2bl w:val="nil"/>
            </w:tcBorders>
            <w:noWrap w:val="0"/>
            <w:vAlign w:val="center"/>
          </w:tcPr>
          <w:p w14:paraId="236B352B">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弃土场位于山间洼地，场地呈不规则布置，无高陡边坡，无滑坡、崩塌等地质灾害，地表基本无植被覆盖。未处于饮用水源保护区范围内，未处于自然保护区、生态红线及河道范围内，未处于对公共设施、基础设施、工业企业、居民点等有重大影响的区域，容量可满足弃渣需求，符合水土保持要求。弃</w:t>
            </w:r>
            <w:r>
              <w:rPr>
                <w:rFonts w:hint="eastAsia" w:cs="Times New Roman"/>
                <w:b w:val="0"/>
                <w:bCs w:val="0"/>
                <w:color w:val="auto"/>
                <w:spacing w:val="4"/>
                <w:kern w:val="2"/>
                <w:sz w:val="21"/>
                <w:szCs w:val="21"/>
                <w:lang w:val="en-US" w:eastAsia="zh-CN" w:bidi="ar-SA"/>
              </w:rPr>
              <w:t>土</w:t>
            </w:r>
            <w:r>
              <w:rPr>
                <w:rFonts w:hint="default" w:ascii="Times New Roman" w:hAnsi="Times New Roman" w:eastAsia="宋体" w:cs="Times New Roman"/>
                <w:b w:val="0"/>
                <w:bCs w:val="0"/>
                <w:color w:val="auto"/>
                <w:spacing w:val="4"/>
                <w:kern w:val="2"/>
                <w:sz w:val="21"/>
                <w:szCs w:val="21"/>
                <w:lang w:val="en-US" w:eastAsia="zh-CN" w:bidi="ar-SA"/>
              </w:rPr>
              <w:t>场下游 1km 不涉及居民点、河流、水库等保护目标，设置合理</w:t>
            </w:r>
          </w:p>
        </w:tc>
        <w:tc>
          <w:tcPr>
            <w:tcW w:w="433" w:type="pct"/>
            <w:tcBorders>
              <w:tl2br w:val="nil"/>
              <w:tr2bl w:val="nil"/>
            </w:tcBorders>
            <w:noWrap w:val="0"/>
            <w:vAlign w:val="center"/>
          </w:tcPr>
          <w:p w14:paraId="0E2E5D43">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eastAsia="宋体" w:cs="Times New Roman"/>
                <w:b w:val="0"/>
                <w:bCs w:val="0"/>
                <w:color w:val="auto"/>
                <w:spacing w:val="4"/>
                <w:kern w:val="2"/>
                <w:sz w:val="21"/>
                <w:szCs w:val="21"/>
                <w:lang w:val="en-US" w:eastAsia="zh-CN" w:bidi="ar-SA"/>
              </w:rPr>
              <w:t>左侧K9+460</w:t>
            </w:r>
          </w:p>
        </w:tc>
        <w:tc>
          <w:tcPr>
            <w:tcW w:w="1325" w:type="pct"/>
            <w:tcBorders>
              <w:tl2br w:val="nil"/>
              <w:tr2bl w:val="nil"/>
            </w:tcBorders>
            <w:noWrap w:val="0"/>
            <w:vAlign w:val="center"/>
          </w:tcPr>
          <w:p w14:paraId="5A53364D">
            <w:pPr>
              <w:pageBreakBefore w:val="0"/>
              <w:widowControl w:val="0"/>
              <w:kinsoku/>
              <w:wordWrap/>
              <w:bidi w:val="0"/>
              <w:spacing w:line="229" w:lineRule="auto"/>
              <w:ind w:left="0" w:leftChars="0" w:right="0" w:rightChars="0" w:firstLine="0" w:firstLineChars="0"/>
              <w:jc w:val="center"/>
              <w:rPr>
                <w:rFonts w:hint="default" w:ascii="Times New Roman" w:hAnsi="Times New Roman" w:eastAsia="宋体" w:cs="Times New Roman"/>
                <w:b w:val="0"/>
                <w:bCs w:val="0"/>
                <w:color w:val="auto"/>
                <w:spacing w:val="4"/>
                <w:kern w:val="2"/>
                <w:sz w:val="21"/>
                <w:szCs w:val="21"/>
                <w:lang w:val="en-US" w:eastAsia="zh-CN" w:bidi="ar-SA"/>
              </w:rPr>
            </w:pPr>
            <w:r>
              <w:rPr>
                <w:color w:val="auto"/>
              </w:rPr>
              <w:drawing>
                <wp:inline distT="0" distB="0" distL="114300" distR="114300">
                  <wp:extent cx="2339975" cy="2016125"/>
                  <wp:effectExtent l="0" t="0" r="3175" b="3175"/>
                  <wp:docPr id="72" name="图片 7"/>
                  <wp:cNvGraphicFramePr/>
                  <a:graphic xmlns:a="http://schemas.openxmlformats.org/drawingml/2006/main">
                    <a:graphicData uri="http://schemas.openxmlformats.org/drawingml/2006/picture">
                      <pic:pic xmlns:pic="http://schemas.openxmlformats.org/drawingml/2006/picture">
                        <pic:nvPicPr>
                          <pic:cNvPr id="72" name="图片 7"/>
                          <pic:cNvPicPr/>
                        </pic:nvPicPr>
                        <pic:blipFill>
                          <a:blip r:embed="rId26"/>
                          <a:stretch>
                            <a:fillRect/>
                          </a:stretch>
                        </pic:blipFill>
                        <pic:spPr>
                          <a:xfrm>
                            <a:off x="0" y="0"/>
                            <a:ext cx="2339975" cy="2016125"/>
                          </a:xfrm>
                          <a:prstGeom prst="rect">
                            <a:avLst/>
                          </a:prstGeom>
                          <a:noFill/>
                          <a:ln>
                            <a:noFill/>
                          </a:ln>
                        </pic:spPr>
                      </pic:pic>
                    </a:graphicData>
                  </a:graphic>
                </wp:inline>
              </w:drawing>
            </w:r>
          </w:p>
        </w:tc>
      </w:tr>
    </w:tbl>
    <w:p w14:paraId="1466FFCC">
      <w:pPr>
        <w:keepNext w:val="0"/>
        <w:keepLines w:val="0"/>
        <w:widowControl/>
        <w:suppressLineNumbers w:val="0"/>
        <w:jc w:val="left"/>
        <w:rPr>
          <w:rFonts w:hint="default" w:cs="Times New Roman"/>
          <w:color w:val="auto"/>
          <w:kern w:val="0"/>
          <w:sz w:val="24"/>
          <w:szCs w:val="24"/>
          <w:lang w:val="en-US" w:eastAsia="zh-CN" w:bidi="ar"/>
        </w:rPr>
        <w:sectPr>
          <w:pgSz w:w="16839" w:h="11907"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86E2078">
      <w:pPr>
        <w:pStyle w:val="4"/>
        <w:bidi w:val="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3.2.8工程土石方情况</w:t>
      </w:r>
    </w:p>
    <w:p w14:paraId="26B1A3A0">
      <w:pPr>
        <w:keepNext w:val="0"/>
        <w:keepLines w:val="0"/>
        <w:widowControl/>
        <w:suppressLineNumbers w:val="0"/>
        <w:jc w:val="left"/>
        <w:rPr>
          <w:rFonts w:hint="default" w:cs="Times New Roman"/>
          <w:color w:val="auto"/>
          <w:kern w:val="0"/>
          <w:sz w:val="24"/>
          <w:szCs w:val="24"/>
          <w:lang w:val="en-US" w:eastAsia="zh-CN" w:bidi="ar"/>
        </w:rPr>
      </w:pPr>
      <w:r>
        <w:rPr>
          <w:rFonts w:hint="eastAsia" w:cs="Times New Roman"/>
          <w:color w:val="auto"/>
          <w:kern w:val="0"/>
          <w:sz w:val="24"/>
          <w:szCs w:val="24"/>
          <w:lang w:val="en-US" w:eastAsia="zh-CN" w:bidi="ar"/>
        </w:rPr>
        <w:t>根据本项目已批复的水土保持方案报告书资料，</w:t>
      </w:r>
      <w:r>
        <w:rPr>
          <w:rFonts w:hint="default" w:cs="Times New Roman"/>
          <w:color w:val="auto"/>
          <w:kern w:val="0"/>
          <w:sz w:val="24"/>
          <w:szCs w:val="24"/>
          <w:lang w:val="en-US" w:eastAsia="zh-CN" w:bidi="ar"/>
        </w:rPr>
        <w:t>本工程占地类型有：园地、交通运输用地、工矿仓储用地、裸岩石砾地，经现场查勘和查阅当地相关土壤资料，工程区属于低山地貌，表土主要分布在园地范围内，但园地占地较小，占总面积的0.03%。</w:t>
      </w:r>
    </w:p>
    <w:p w14:paraId="38E8F4B5">
      <w:pPr>
        <w:keepNext w:val="0"/>
        <w:keepLines w:val="0"/>
        <w:widowControl/>
        <w:suppressLineNumbers w:val="0"/>
        <w:jc w:val="left"/>
        <w:rPr>
          <w:rFonts w:hint="default" w:cs="Times New Roman"/>
          <w:color w:val="auto"/>
          <w:kern w:val="0"/>
          <w:sz w:val="24"/>
          <w:szCs w:val="24"/>
          <w:lang w:val="en-US" w:eastAsia="zh-CN" w:bidi="ar"/>
        </w:rPr>
      </w:pPr>
      <w:r>
        <w:rPr>
          <w:rFonts w:hint="default" w:cs="Times New Roman"/>
          <w:color w:val="auto"/>
          <w:kern w:val="0"/>
          <w:sz w:val="24"/>
          <w:szCs w:val="24"/>
          <w:lang w:val="en-US" w:eastAsia="zh-CN" w:bidi="ar"/>
        </w:rPr>
        <w:t>本工程占用园地，主体工程设计对可剥离表土区域进行表土剥离，后期用于工程绿化用土，本工程可剥离面积1.21hm²，可剥离厚度按30cm计，可剥离表土量0.36万m³</w:t>
      </w:r>
      <w:r>
        <w:rPr>
          <w:rFonts w:hint="eastAsia" w:cs="Times New Roman"/>
          <w:color w:val="auto"/>
          <w:kern w:val="0"/>
          <w:sz w:val="24"/>
          <w:szCs w:val="24"/>
          <w:lang w:val="en-US" w:eastAsia="zh-CN" w:bidi="ar"/>
        </w:rPr>
        <w:t>。本工程剥离的表土主要来源于附属工程区，施工期，剥离表土临时堆放在附属工程区空地上，施工结束后用于植物措施的覆土。表土剥离采用推土机推松表土，剥离厚度为50cm。表土按照1：1.5边坡堆置，最大堆高小于3m，施工期采用防尘网苫盖措施防护。</w:t>
      </w:r>
    </w:p>
    <w:p w14:paraId="70913A99">
      <w:pPr>
        <w:keepNext w:val="0"/>
        <w:keepLines w:val="0"/>
        <w:widowControl/>
        <w:suppressLineNumbers w:val="0"/>
        <w:jc w:val="left"/>
        <w:rPr>
          <w:rFonts w:hint="default" w:cs="Times New Roman"/>
          <w:color w:val="auto"/>
          <w:kern w:val="0"/>
          <w:sz w:val="24"/>
          <w:szCs w:val="24"/>
          <w:lang w:val="en-US" w:eastAsia="zh-CN" w:bidi="ar"/>
        </w:rPr>
      </w:pPr>
      <w:r>
        <w:rPr>
          <w:rFonts w:hint="default" w:cs="Times New Roman"/>
          <w:color w:val="auto"/>
          <w:kern w:val="0"/>
          <w:sz w:val="24"/>
          <w:szCs w:val="24"/>
          <w:lang w:val="en-US" w:eastAsia="zh-CN" w:bidi="ar"/>
        </w:rPr>
        <w:t>根据本工程主体设计，经土石方平衡分析，确定本工程挖方302.31万m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；填方138.72万m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；借方111.46万m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；弃方275.05万m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，其中，2处招拍挂料场料坑综合治理消纳148.46万m³，剩余126.59万m³余土全部拉运至4处独立弃土场堆存。</w:t>
      </w:r>
    </w:p>
    <w:p w14:paraId="68CA56B8">
      <w:pPr>
        <w:keepNext w:val="0"/>
        <w:keepLines w:val="0"/>
        <w:widowControl/>
        <w:suppressLineNumbers w:val="0"/>
        <w:jc w:val="left"/>
        <w:rPr>
          <w:rFonts w:hint="default" w:cs="Times New Roman"/>
          <w:color w:val="auto"/>
          <w:kern w:val="0"/>
          <w:sz w:val="24"/>
          <w:szCs w:val="24"/>
          <w:lang w:val="en-US" w:eastAsia="zh-CN" w:bidi="ar"/>
        </w:rPr>
      </w:pPr>
      <w:r>
        <w:rPr>
          <w:rFonts w:hint="default" w:cs="Times New Roman"/>
          <w:color w:val="auto"/>
          <w:kern w:val="0"/>
          <w:sz w:val="24"/>
          <w:szCs w:val="24"/>
          <w:lang w:val="en-US" w:eastAsia="zh-CN" w:bidi="ar"/>
        </w:rPr>
        <w:t>（1）路基工程</w:t>
      </w:r>
    </w:p>
    <w:p w14:paraId="60BBEE66">
      <w:pPr>
        <w:keepNext w:val="0"/>
        <w:keepLines w:val="0"/>
        <w:widowControl/>
        <w:suppressLineNumbers w:val="0"/>
        <w:jc w:val="left"/>
        <w:rPr>
          <w:rFonts w:hint="default" w:cs="Times New Roman"/>
          <w:color w:val="auto"/>
          <w:kern w:val="0"/>
          <w:sz w:val="24"/>
          <w:szCs w:val="24"/>
          <w:lang w:val="en-US" w:eastAsia="zh-CN" w:bidi="ar"/>
        </w:rPr>
      </w:pPr>
      <w:r>
        <w:rPr>
          <w:rFonts w:hint="default" w:cs="Times New Roman"/>
          <w:color w:val="auto"/>
          <w:kern w:val="0"/>
          <w:sz w:val="24"/>
          <w:szCs w:val="24"/>
          <w:lang w:val="en-US" w:eastAsia="zh-CN" w:bidi="ar"/>
        </w:rPr>
        <w:t>开挖总量为239.99万m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，路基工程开挖土石方主要为泥岩和极软岩，遇水崩解，故全部不能利用；</w:t>
      </w:r>
    </w:p>
    <w:p w14:paraId="38E5F52B">
      <w:pPr>
        <w:keepNext w:val="0"/>
        <w:keepLines w:val="0"/>
        <w:widowControl/>
        <w:suppressLineNumbers w:val="0"/>
        <w:jc w:val="left"/>
        <w:rPr>
          <w:rFonts w:hint="default" w:cs="Times New Roman"/>
          <w:color w:val="auto"/>
          <w:kern w:val="0"/>
          <w:sz w:val="24"/>
          <w:szCs w:val="24"/>
          <w:lang w:val="en-US" w:eastAsia="zh-CN" w:bidi="ar"/>
        </w:rPr>
      </w:pPr>
      <w:r>
        <w:rPr>
          <w:rFonts w:hint="default" w:cs="Times New Roman"/>
          <w:color w:val="auto"/>
          <w:kern w:val="0"/>
          <w:sz w:val="24"/>
          <w:szCs w:val="24"/>
          <w:lang w:val="en-US" w:eastAsia="zh-CN" w:bidi="ar"/>
        </w:rPr>
        <w:t>填方总量115.24万m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，其中，10.89万m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利用隧道工程进口处开挖的土石方，不足部分填筑料来源于招拍挂料场；借方总量104.35万m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，全部从招拍挂料场开采；余方总量239.99万m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，其中1#取土场弃20.20万m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，2#取土场弃93.19万m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，1#弃土场弃18.00万m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，2#弃土场弃24.80万m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，3#弃土场弃48.41万m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，4#弃土场弃35.38万m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w:t>
      </w:r>
    </w:p>
    <w:p w14:paraId="16D62B93">
      <w:pPr>
        <w:keepNext w:val="0"/>
        <w:keepLines w:val="0"/>
        <w:widowControl/>
        <w:suppressLineNumbers w:val="0"/>
        <w:jc w:val="left"/>
        <w:rPr>
          <w:rFonts w:hint="default" w:cs="Times New Roman"/>
          <w:color w:val="auto"/>
          <w:kern w:val="0"/>
          <w:sz w:val="24"/>
          <w:szCs w:val="24"/>
          <w:lang w:val="en-US" w:eastAsia="zh-CN" w:bidi="ar"/>
        </w:rPr>
      </w:pPr>
      <w:r>
        <w:rPr>
          <w:rFonts w:hint="default" w:cs="Times New Roman"/>
          <w:color w:val="auto"/>
          <w:kern w:val="0"/>
          <w:sz w:val="24"/>
          <w:szCs w:val="24"/>
          <w:lang w:val="en-US" w:eastAsia="zh-CN" w:bidi="ar"/>
        </w:rPr>
        <w:t>（2）桥梁工程</w:t>
      </w:r>
    </w:p>
    <w:p w14:paraId="554C7EBA">
      <w:pPr>
        <w:keepNext w:val="0"/>
        <w:keepLines w:val="0"/>
        <w:widowControl/>
        <w:suppressLineNumbers w:val="0"/>
        <w:jc w:val="left"/>
        <w:rPr>
          <w:rFonts w:hint="default" w:cs="Times New Roman"/>
          <w:color w:val="auto"/>
          <w:kern w:val="0"/>
          <w:sz w:val="24"/>
          <w:szCs w:val="24"/>
          <w:lang w:val="en-US" w:eastAsia="zh-CN" w:bidi="ar"/>
        </w:rPr>
      </w:pPr>
      <w:r>
        <w:rPr>
          <w:rFonts w:hint="default" w:cs="Times New Roman"/>
          <w:color w:val="auto"/>
          <w:kern w:val="0"/>
          <w:sz w:val="24"/>
          <w:szCs w:val="24"/>
          <w:lang w:val="en-US" w:eastAsia="zh-CN" w:bidi="ar"/>
        </w:rPr>
        <w:t>开挖总量为6.19万m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；填方总量0.05万m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；借方总量0.05万m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；共产生弃方6.19万m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，余方全部运至2#取土场内。</w:t>
      </w:r>
    </w:p>
    <w:p w14:paraId="165814A0">
      <w:pPr>
        <w:keepNext w:val="0"/>
        <w:keepLines w:val="0"/>
        <w:widowControl/>
        <w:suppressLineNumbers w:val="0"/>
        <w:jc w:val="left"/>
        <w:rPr>
          <w:rFonts w:hint="default" w:cs="Times New Roman"/>
          <w:color w:val="auto"/>
          <w:kern w:val="0"/>
          <w:sz w:val="24"/>
          <w:szCs w:val="24"/>
          <w:lang w:val="en-US" w:eastAsia="zh-CN" w:bidi="ar"/>
        </w:rPr>
      </w:pPr>
      <w:r>
        <w:rPr>
          <w:rFonts w:hint="default" w:cs="Times New Roman"/>
          <w:color w:val="auto"/>
          <w:kern w:val="0"/>
          <w:sz w:val="24"/>
          <w:szCs w:val="24"/>
          <w:lang w:val="en-US" w:eastAsia="zh-CN" w:bidi="ar"/>
        </w:rPr>
        <w:t>（3）隧道工程</w:t>
      </w:r>
    </w:p>
    <w:p w14:paraId="3BC1A54A">
      <w:pPr>
        <w:keepNext w:val="0"/>
        <w:keepLines w:val="0"/>
        <w:widowControl/>
        <w:suppressLineNumbers w:val="0"/>
        <w:jc w:val="left"/>
        <w:rPr>
          <w:rFonts w:hint="default" w:cs="Times New Roman"/>
          <w:color w:val="auto"/>
          <w:kern w:val="0"/>
          <w:sz w:val="24"/>
          <w:szCs w:val="24"/>
          <w:lang w:val="en-US" w:eastAsia="zh-CN" w:bidi="ar"/>
        </w:rPr>
      </w:pPr>
      <w:r>
        <w:rPr>
          <w:rFonts w:hint="default" w:cs="Times New Roman"/>
          <w:color w:val="auto"/>
          <w:kern w:val="0"/>
          <w:sz w:val="24"/>
          <w:szCs w:val="24"/>
          <w:lang w:val="en-US" w:eastAsia="zh-CN" w:bidi="ar"/>
        </w:rPr>
        <w:t>开挖总量为39.77万m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，其中，10.89万m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调运至路基工程（K7+087.500～K9+000）作为填筑料使用；隧道工程无填筑；共产生弃方28.88万m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，其中1#取土场弃17.41万m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，2#取土场弃11.47万m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w:t>
      </w:r>
    </w:p>
    <w:p w14:paraId="2AE06FAD">
      <w:pPr>
        <w:keepNext w:val="0"/>
        <w:keepLines w:val="0"/>
        <w:widowControl/>
        <w:suppressLineNumbers w:val="0"/>
        <w:jc w:val="left"/>
        <w:rPr>
          <w:rFonts w:hint="default" w:cs="Times New Roman"/>
          <w:color w:val="auto"/>
          <w:kern w:val="0"/>
          <w:sz w:val="24"/>
          <w:szCs w:val="24"/>
          <w:lang w:val="en-US" w:eastAsia="zh-CN" w:bidi="ar"/>
        </w:rPr>
      </w:pPr>
      <w:r>
        <w:rPr>
          <w:rFonts w:hint="default" w:cs="Times New Roman"/>
          <w:color w:val="auto"/>
          <w:kern w:val="0"/>
          <w:sz w:val="24"/>
          <w:szCs w:val="24"/>
          <w:lang w:val="en-US" w:eastAsia="zh-CN" w:bidi="ar"/>
        </w:rPr>
        <w:t>（4）附属工程区</w:t>
      </w:r>
    </w:p>
    <w:p w14:paraId="6E750E93">
      <w:pPr>
        <w:keepNext w:val="0"/>
        <w:keepLines w:val="0"/>
        <w:widowControl/>
        <w:suppressLineNumbers w:val="0"/>
        <w:jc w:val="left"/>
        <w:rPr>
          <w:rFonts w:hint="default" w:cs="Times New Roman"/>
          <w:color w:val="auto"/>
          <w:kern w:val="0"/>
          <w:sz w:val="24"/>
          <w:szCs w:val="24"/>
          <w:lang w:val="en-US" w:eastAsia="zh-CN" w:bidi="ar"/>
        </w:rPr>
      </w:pPr>
      <w:r>
        <w:rPr>
          <w:rFonts w:hint="default" w:cs="Times New Roman"/>
          <w:color w:val="auto"/>
          <w:kern w:val="0"/>
          <w:sz w:val="24"/>
          <w:szCs w:val="24"/>
          <w:lang w:val="en-US" w:eastAsia="zh-CN" w:bidi="ar"/>
        </w:rPr>
        <w:t>附属工程无开挖；总填筑量5.83万m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；借方5.83万m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，全部来源于招拍挂料场开采；无弃方。</w:t>
      </w:r>
    </w:p>
    <w:p w14:paraId="17DDFB0A">
      <w:pPr>
        <w:keepNext w:val="0"/>
        <w:keepLines w:val="0"/>
        <w:widowControl/>
        <w:suppressLineNumbers w:val="0"/>
        <w:jc w:val="left"/>
        <w:rPr>
          <w:rFonts w:hint="default" w:cs="Times New Roman"/>
          <w:color w:val="auto"/>
          <w:kern w:val="0"/>
          <w:sz w:val="24"/>
          <w:szCs w:val="24"/>
          <w:lang w:val="en-US" w:eastAsia="zh-CN" w:bidi="ar"/>
        </w:rPr>
      </w:pPr>
      <w:r>
        <w:rPr>
          <w:rFonts w:hint="default" w:cs="Times New Roman"/>
          <w:color w:val="auto"/>
          <w:kern w:val="0"/>
          <w:sz w:val="24"/>
          <w:szCs w:val="24"/>
          <w:lang w:val="en-US" w:eastAsia="zh-CN" w:bidi="ar"/>
        </w:rPr>
        <w:t>（5）施工便道</w:t>
      </w:r>
    </w:p>
    <w:p w14:paraId="372F574D">
      <w:pPr>
        <w:keepNext w:val="0"/>
        <w:keepLines w:val="0"/>
        <w:widowControl/>
        <w:suppressLineNumbers w:val="0"/>
        <w:jc w:val="left"/>
        <w:rPr>
          <w:rFonts w:hint="default" w:cs="Times New Roman"/>
          <w:color w:val="auto"/>
          <w:kern w:val="0"/>
          <w:sz w:val="24"/>
          <w:szCs w:val="24"/>
          <w:lang w:val="en-US" w:eastAsia="zh-CN" w:bidi="ar"/>
        </w:rPr>
      </w:pPr>
      <w:r>
        <w:rPr>
          <w:rFonts w:hint="default" w:cs="Times New Roman"/>
          <w:color w:val="auto"/>
          <w:kern w:val="0"/>
          <w:sz w:val="24"/>
          <w:szCs w:val="24"/>
          <w:lang w:val="en-US" w:eastAsia="zh-CN" w:bidi="ar"/>
        </w:rPr>
        <w:t>开挖总量为16.32万m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，全部自身填筑利用；总填筑量17.55万m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；从招拍挂料场借方1.23万m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；无弃方。</w:t>
      </w:r>
    </w:p>
    <w:p w14:paraId="20897276">
      <w:pPr>
        <w:keepNext w:val="0"/>
        <w:keepLines w:val="0"/>
        <w:widowControl/>
        <w:suppressLineNumbers w:val="0"/>
        <w:jc w:val="left"/>
        <w:rPr>
          <w:rFonts w:hint="default" w:cs="Times New Roman"/>
          <w:color w:val="auto"/>
          <w:kern w:val="0"/>
          <w:sz w:val="24"/>
          <w:szCs w:val="24"/>
          <w:lang w:val="en-US" w:eastAsia="zh-CN" w:bidi="ar"/>
        </w:rPr>
      </w:pPr>
      <w:r>
        <w:rPr>
          <w:rFonts w:hint="default" w:cs="Times New Roman"/>
          <w:color w:val="auto"/>
          <w:kern w:val="0"/>
          <w:sz w:val="24"/>
          <w:szCs w:val="24"/>
          <w:lang w:val="en-US" w:eastAsia="zh-CN" w:bidi="ar"/>
        </w:rPr>
        <w:t>（6）施工生产生活区</w:t>
      </w:r>
    </w:p>
    <w:p w14:paraId="0F4B1440">
      <w:pPr>
        <w:keepNext w:val="0"/>
        <w:keepLines w:val="0"/>
        <w:widowControl/>
        <w:suppressLineNumbers w:val="0"/>
        <w:jc w:val="left"/>
        <w:rPr>
          <w:rFonts w:hint="default" w:cs="Times New Roman"/>
          <w:color w:val="auto"/>
          <w:kern w:val="0"/>
          <w:sz w:val="24"/>
          <w:szCs w:val="24"/>
          <w:lang w:val="en-US" w:eastAsia="zh-CN" w:bidi="ar"/>
        </w:rPr>
      </w:pPr>
      <w:r>
        <w:rPr>
          <w:rFonts w:hint="default" w:cs="Times New Roman"/>
          <w:color w:val="auto"/>
          <w:kern w:val="0"/>
          <w:sz w:val="24"/>
          <w:szCs w:val="24"/>
          <w:lang w:val="en-US" w:eastAsia="zh-CN" w:bidi="ar"/>
        </w:rPr>
        <w:t>开挖总量为0.01万m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，填方0.01万m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；无借方；无弃方。</w:t>
      </w:r>
    </w:p>
    <w:p w14:paraId="016DA151">
      <w:pPr>
        <w:keepNext w:val="0"/>
        <w:keepLines w:val="0"/>
        <w:widowControl/>
        <w:suppressLineNumbers w:val="0"/>
        <w:jc w:val="left"/>
        <w:rPr>
          <w:rFonts w:hint="default" w:cs="Times New Roman"/>
          <w:color w:val="auto"/>
          <w:kern w:val="0"/>
          <w:sz w:val="24"/>
          <w:szCs w:val="24"/>
          <w:lang w:val="en-US" w:eastAsia="zh-CN" w:bidi="ar"/>
        </w:rPr>
      </w:pPr>
      <w:r>
        <w:rPr>
          <w:rFonts w:hint="default" w:cs="Times New Roman"/>
          <w:color w:val="auto"/>
          <w:kern w:val="0"/>
          <w:sz w:val="24"/>
          <w:szCs w:val="24"/>
          <w:lang w:val="en-US" w:eastAsia="zh-CN" w:bidi="ar"/>
        </w:rPr>
        <w:t>（7）外水外电工程</w:t>
      </w:r>
    </w:p>
    <w:p w14:paraId="38704B1C">
      <w:pPr>
        <w:keepNext w:val="0"/>
        <w:keepLines w:val="0"/>
        <w:widowControl/>
        <w:suppressLineNumbers w:val="0"/>
        <w:jc w:val="left"/>
        <w:rPr>
          <w:rFonts w:hint="default" w:cs="Times New Roman"/>
          <w:color w:val="auto"/>
          <w:kern w:val="0"/>
          <w:sz w:val="24"/>
          <w:szCs w:val="24"/>
          <w:lang w:val="en-US" w:eastAsia="zh-CN" w:bidi="ar"/>
        </w:rPr>
      </w:pPr>
      <w:r>
        <w:rPr>
          <w:rFonts w:hint="default" w:cs="Times New Roman"/>
          <w:color w:val="auto"/>
          <w:kern w:val="0"/>
          <w:sz w:val="24"/>
          <w:szCs w:val="24"/>
          <w:lang w:val="en-US" w:eastAsia="zh-CN" w:bidi="ar"/>
        </w:rPr>
        <w:t>开挖总量为0.03万m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，全部利用，其中，外水工程225m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，外电工程64m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；填方0.03万m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，其中，外水工程225m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，外电工程64m</w:t>
      </w:r>
      <w:r>
        <w:rPr>
          <w:rFonts w:hint="default" w:cs="Times New Roman"/>
          <w:color w:val="auto"/>
          <w:kern w:val="0"/>
          <w:sz w:val="24"/>
          <w:szCs w:val="24"/>
          <w:vertAlign w:val="superscript"/>
          <w:lang w:val="en-US" w:eastAsia="zh-CN" w:bidi="ar"/>
        </w:rPr>
        <w:t>3</w:t>
      </w:r>
      <w:r>
        <w:rPr>
          <w:rFonts w:hint="default" w:cs="Times New Roman"/>
          <w:color w:val="auto"/>
          <w:kern w:val="0"/>
          <w:sz w:val="24"/>
          <w:szCs w:val="24"/>
          <w:lang w:val="en-US" w:eastAsia="zh-CN" w:bidi="ar"/>
        </w:rPr>
        <w:t>；无借方，无弃方。</w:t>
      </w:r>
    </w:p>
    <w:p w14:paraId="6A98D590">
      <w:pPr>
        <w:keepNext w:val="0"/>
        <w:keepLines w:val="0"/>
        <w:widowControl/>
        <w:suppressLineNumbers w:val="0"/>
        <w:ind w:left="0" w:leftChars="0" w:firstLine="0" w:firstLineChars="0"/>
        <w:jc w:val="left"/>
        <w:rPr>
          <w:color w:val="auto"/>
        </w:rPr>
      </w:pPr>
      <w:r>
        <w:rPr>
          <w:color w:val="auto"/>
        </w:rPr>
        <w:drawing>
          <wp:inline distT="0" distB="0" distL="114300" distR="114300">
            <wp:extent cx="5270500" cy="2605405"/>
            <wp:effectExtent l="0" t="0" r="6350" b="4445"/>
            <wp:docPr id="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
                    <pic:cNvPicPr>
                      <a:picLocks noChangeAspect="1"/>
                    </pic:cNvPicPr>
                  </pic:nvPicPr>
                  <pic:blipFill>
                    <a:blip r:embed="rId27"/>
                    <a:stretch>
                      <a:fillRect/>
                    </a:stretch>
                  </pic:blipFill>
                  <pic:spPr>
                    <a:xfrm>
                      <a:off x="0" y="0"/>
                      <a:ext cx="5270500" cy="2605405"/>
                    </a:xfrm>
                    <a:prstGeom prst="rect">
                      <a:avLst/>
                    </a:prstGeom>
                    <a:noFill/>
                    <a:ln>
                      <a:noFill/>
                    </a:ln>
                  </pic:spPr>
                </pic:pic>
              </a:graphicData>
            </a:graphic>
          </wp:inline>
        </w:drawing>
      </w:r>
    </w:p>
    <w:p w14:paraId="783FBCE8">
      <w:pPr>
        <w:keepNext w:val="0"/>
        <w:keepLines w:val="0"/>
        <w:pageBreakBefore w:val="0"/>
        <w:widowControl w:val="0"/>
        <w:kinsoku/>
        <w:wordWrap/>
        <w:overflowPunct/>
        <w:topLinePunct w:val="0"/>
        <w:autoSpaceDE/>
        <w:autoSpaceDN/>
        <w:bidi w:val="0"/>
        <w:adjustRightInd/>
        <w:snapToGrid/>
        <w:spacing w:before="0" w:after="0" w:line="360" w:lineRule="auto"/>
        <w:ind w:right="0" w:firstLine="422" w:firstLineChars="200"/>
        <w:jc w:val="center"/>
        <w:textAlignment w:val="auto"/>
        <w:outlineLvl w:val="9"/>
        <w:rPr>
          <w:rFonts w:hint="default"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图</w:t>
      </w:r>
      <w:r>
        <w:rPr>
          <w:rFonts w:hint="eastAsia" w:cs="Times New Roman"/>
          <w:b/>
          <w:bCs/>
          <w:color w:val="auto"/>
          <w:kern w:val="2"/>
          <w:sz w:val="21"/>
          <w:szCs w:val="21"/>
          <w:lang w:val="en-US" w:eastAsia="zh-CN" w:bidi="ar-SA"/>
        </w:rPr>
        <w:t>3.2-2</w:t>
      </w:r>
      <w:r>
        <w:rPr>
          <w:rFonts w:hint="eastAsia" w:ascii="Times New Roman" w:hAnsi="Times New Roman" w:eastAsia="宋体" w:cs="Times New Roman"/>
          <w:b/>
          <w:bCs/>
          <w:color w:val="auto"/>
          <w:kern w:val="2"/>
          <w:sz w:val="21"/>
          <w:szCs w:val="21"/>
          <w:lang w:val="en-US" w:eastAsia="zh-CN" w:bidi="ar-SA"/>
        </w:rPr>
        <w:t xml:space="preserve">   土石方流程图（单位：万 m</w:t>
      </w:r>
      <w:r>
        <w:rPr>
          <w:rFonts w:hint="eastAsia" w:ascii="Times New Roman" w:hAnsi="Times New Roman" w:eastAsia="宋体" w:cs="Times New Roman"/>
          <w:b/>
          <w:bCs/>
          <w:color w:val="auto"/>
          <w:kern w:val="2"/>
          <w:sz w:val="21"/>
          <w:szCs w:val="21"/>
          <w:vertAlign w:val="superscript"/>
          <w:lang w:val="en-US" w:eastAsia="zh-CN" w:bidi="ar-SA"/>
        </w:rPr>
        <w:t>3</w:t>
      </w:r>
      <w:r>
        <w:rPr>
          <w:rFonts w:hint="eastAsia" w:ascii="Times New Roman" w:hAnsi="Times New Roman" w:eastAsia="宋体" w:cs="Times New Roman"/>
          <w:b/>
          <w:bCs/>
          <w:color w:val="auto"/>
          <w:kern w:val="2"/>
          <w:sz w:val="21"/>
          <w:szCs w:val="21"/>
          <w:lang w:val="en-US" w:eastAsia="zh-CN" w:bidi="ar-SA"/>
        </w:rPr>
        <w:t>）</w:t>
      </w:r>
    </w:p>
    <w:p w14:paraId="4580A39E">
      <w:pPr>
        <w:keepNext w:val="0"/>
        <w:keepLines w:val="0"/>
        <w:widowControl/>
        <w:suppressLineNumbers w:val="0"/>
        <w:ind w:left="0" w:leftChars="0" w:firstLine="0" w:firstLineChars="0"/>
        <w:jc w:val="left"/>
        <w:rPr>
          <w:color w:val="auto"/>
        </w:rPr>
      </w:pPr>
    </w:p>
    <w:p w14:paraId="2F3499BC">
      <w:pPr>
        <w:keepNext w:val="0"/>
        <w:keepLines w:val="0"/>
        <w:widowControl/>
        <w:suppressLineNumbers w:val="0"/>
        <w:ind w:left="0" w:leftChars="0" w:firstLine="0" w:firstLineChars="0"/>
        <w:jc w:val="left"/>
        <w:rPr>
          <w:color w:val="auto"/>
        </w:rPr>
        <w:sectPr>
          <w:pgSz w:w="11907" w:h="16839"/>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02DB6D8">
      <w:pPr>
        <w:keepNext w:val="0"/>
        <w:keepLines w:val="0"/>
        <w:widowControl/>
        <w:suppressLineNumbers w:val="0"/>
        <w:spacing w:line="240" w:lineRule="auto"/>
        <w:jc w:val="center"/>
        <w:rPr>
          <w:rFonts w:hint="default" w:ascii="Times New Roman" w:hAnsi="Times New Roman" w:eastAsia="宋体" w:cs="Times New Roman"/>
          <w:b/>
          <w:bCs/>
          <w:color w:val="auto"/>
          <w:kern w:val="0"/>
          <w:sz w:val="21"/>
          <w:szCs w:val="21"/>
          <w:highlight w:val="none"/>
          <w:lang w:val="en-US" w:eastAsia="zh-CN" w:bidi="ar"/>
        </w:rPr>
      </w:pPr>
      <w:r>
        <w:rPr>
          <w:rFonts w:hint="eastAsia" w:ascii="Times New Roman" w:hAnsi="Times New Roman" w:eastAsia="宋体" w:cs="Times New Roman"/>
          <w:b/>
          <w:bCs/>
          <w:color w:val="auto"/>
          <w:kern w:val="0"/>
          <w:sz w:val="21"/>
          <w:szCs w:val="21"/>
          <w:highlight w:val="none"/>
          <w:lang w:val="en-US" w:eastAsia="zh-CN" w:bidi="ar"/>
        </w:rPr>
        <w:t>表3.2-</w:t>
      </w:r>
      <w:r>
        <w:rPr>
          <w:rFonts w:hint="eastAsia" w:cs="Times New Roman"/>
          <w:b/>
          <w:bCs/>
          <w:color w:val="auto"/>
          <w:kern w:val="0"/>
          <w:sz w:val="21"/>
          <w:szCs w:val="21"/>
          <w:highlight w:val="none"/>
          <w:lang w:val="en-US" w:eastAsia="zh-CN" w:bidi="ar"/>
        </w:rPr>
        <w:t xml:space="preserve">19  </w:t>
      </w:r>
      <w:r>
        <w:rPr>
          <w:rFonts w:hint="eastAsia" w:ascii="Times New Roman" w:hAnsi="Times New Roman" w:eastAsia="宋体" w:cs="Times New Roman"/>
          <w:b/>
          <w:bCs/>
          <w:color w:val="auto"/>
          <w:kern w:val="0"/>
          <w:sz w:val="21"/>
          <w:szCs w:val="21"/>
          <w:highlight w:val="none"/>
          <w:lang w:val="en-US" w:eastAsia="zh-CN" w:bidi="ar"/>
        </w:rPr>
        <w:t>土石方平衡分析表</w:t>
      </w:r>
      <w:r>
        <w:rPr>
          <w:rFonts w:hint="eastAsia" w:cs="Times New Roman"/>
          <w:b/>
          <w:bCs/>
          <w:color w:val="auto"/>
          <w:kern w:val="0"/>
          <w:sz w:val="21"/>
          <w:szCs w:val="21"/>
          <w:highlight w:val="none"/>
          <w:lang w:val="en-US" w:eastAsia="zh-CN" w:bidi="ar"/>
        </w:rPr>
        <w:t xml:space="preserve">                    单位：万m3</w:t>
      </w:r>
    </w:p>
    <w:tbl>
      <w:tblPr>
        <w:tblStyle w:val="30"/>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710"/>
        <w:gridCol w:w="2558"/>
        <w:gridCol w:w="876"/>
        <w:gridCol w:w="876"/>
        <w:gridCol w:w="774"/>
        <w:gridCol w:w="729"/>
        <w:gridCol w:w="774"/>
        <w:gridCol w:w="1134"/>
        <w:gridCol w:w="876"/>
        <w:gridCol w:w="644"/>
        <w:gridCol w:w="877"/>
        <w:gridCol w:w="2341"/>
      </w:tblGrid>
      <w:tr w14:paraId="06CCE1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tblHeader/>
          <w:jc w:val="center"/>
        </w:trPr>
        <w:tc>
          <w:tcPr>
            <w:tcW w:w="1505" w:type="pct"/>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3DA2E13">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防治分区</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5EF620">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挖方</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800197">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填方</w:t>
            </w:r>
          </w:p>
        </w:tc>
        <w:tc>
          <w:tcPr>
            <w:tcW w:w="53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B80D9D9">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调入</w:t>
            </w:r>
          </w:p>
        </w:tc>
        <w:tc>
          <w:tcPr>
            <w:tcW w:w="67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AFEF9DF">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调出</w:t>
            </w:r>
          </w:p>
        </w:tc>
        <w:tc>
          <w:tcPr>
            <w:tcW w:w="53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039089A">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借方</w:t>
            </w:r>
          </w:p>
        </w:tc>
        <w:tc>
          <w:tcPr>
            <w:tcW w:w="113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A56EECC">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弃方</w:t>
            </w:r>
          </w:p>
        </w:tc>
      </w:tr>
      <w:tr w14:paraId="640604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blHeader/>
          <w:jc w:val="center"/>
        </w:trPr>
        <w:tc>
          <w:tcPr>
            <w:tcW w:w="150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69EE9D">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35A23E">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数量</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360399">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数量</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99E69A">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数量</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850D62">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来源</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DD5D4E">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数量</w:t>
            </w: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1FCC1E">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去向</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95BA4C">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数量</w:t>
            </w:r>
          </w:p>
        </w:tc>
        <w:tc>
          <w:tcPr>
            <w:tcW w:w="2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70507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来源</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40775D">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数量</w:t>
            </w: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E45F97">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去向</w:t>
            </w:r>
          </w:p>
        </w:tc>
      </w:tr>
      <w:tr w14:paraId="31773D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60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BD00E72">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路基工程</w:t>
            </w:r>
          </w:p>
        </w:tc>
        <w:tc>
          <w:tcPr>
            <w:tcW w:w="9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43BD3B">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K6+975.416～K7+087.500</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177312">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5C758B">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45E3DD">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A85A51">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1C5174">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66DD6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A7E9DA">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2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89DB139">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招拍</w:t>
            </w:r>
          </w:p>
          <w:p w14:paraId="05B65BB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挂料</w:t>
            </w:r>
          </w:p>
          <w:p w14:paraId="4ADA25D3">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场</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41B03D">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8637EF">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r>
      <w:tr w14:paraId="015FB3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60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336885">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9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91F167">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K7+087.500～K8+000</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8CC34A">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65.02</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A26624">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10.59</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EB32D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10.59</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3DA35C">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隧道</w:t>
            </w:r>
          </w:p>
          <w:p w14:paraId="53C6DA5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工程</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58D067">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7B4D30">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3A15FD">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5.59</w:t>
            </w:r>
          </w:p>
        </w:tc>
        <w:tc>
          <w:tcPr>
            <w:tcW w:w="22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C9678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5C638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65.02</w:t>
            </w: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DFC8E0">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2#取土场</w:t>
            </w:r>
          </w:p>
        </w:tc>
      </w:tr>
      <w:tr w14:paraId="35B164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60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4280FD">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9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71D1B3">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K8+000～K9+000</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ED1893">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95.67</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19DFAA">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29.29</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7EF4D9">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0.30</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6DB08F">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隧道</w:t>
            </w:r>
          </w:p>
          <w:p w14:paraId="22651EF1">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工程</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8F9693">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83933C">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C5DF22">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23.40</w:t>
            </w:r>
          </w:p>
        </w:tc>
        <w:tc>
          <w:tcPr>
            <w:tcW w:w="22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EEF411">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DB9B01">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95.67</w:t>
            </w: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FFE12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1#弃土场、2#弃土场、</w:t>
            </w:r>
          </w:p>
          <w:p w14:paraId="6772EE5C">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3#弃土场、2#取土场</w:t>
            </w:r>
          </w:p>
        </w:tc>
      </w:tr>
      <w:tr w14:paraId="0B2F5A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60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86D579">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9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3C0017">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K9+000～K10+000</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602B1A">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45.20</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6A56FC">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55.49</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469BE2">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4BEE2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811E2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269940">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4A9959">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55.49</w:t>
            </w:r>
          </w:p>
        </w:tc>
        <w:tc>
          <w:tcPr>
            <w:tcW w:w="22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B34A98">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A18EDB">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45.20</w:t>
            </w: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28E679">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3#弃土场、4#弃土场</w:t>
            </w:r>
          </w:p>
        </w:tc>
      </w:tr>
      <w:tr w14:paraId="4CD83B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60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C89995">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9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4D3B93">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K10+000～K10+799.500</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87E37E">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10.42</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4CDE0E">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18.83</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5D1D11">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E1AB2C">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CD8980">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EE69AE">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91F2F9">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18.83</w:t>
            </w:r>
          </w:p>
        </w:tc>
        <w:tc>
          <w:tcPr>
            <w:tcW w:w="22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8F0F1A">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7E123A">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10.42</w:t>
            </w: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28018B">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4#弃土场</w:t>
            </w:r>
          </w:p>
        </w:tc>
      </w:tr>
      <w:tr w14:paraId="624C9A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60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6D1A7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9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52F927">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L</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47B52E">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8.48</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47B2D2">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2606E5">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C3FB3E">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C66511">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FDC3FB">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F5F175">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2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77345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E68BA2">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8.48</w:t>
            </w: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F846DA">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1#取土场</w:t>
            </w:r>
          </w:p>
        </w:tc>
      </w:tr>
      <w:tr w14:paraId="66335F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60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A7E045">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9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E501A7">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R</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F6EAA0">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11.72</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1A087D">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0.004</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0A2C17">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46CBE8">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5AAADA">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418789">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8C2395">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0.004</w:t>
            </w:r>
          </w:p>
        </w:tc>
        <w:tc>
          <w:tcPr>
            <w:tcW w:w="22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A34185">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0193AD">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11.72</w:t>
            </w: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B83AD7">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1#取土场</w:t>
            </w:r>
          </w:p>
        </w:tc>
      </w:tr>
      <w:tr w14:paraId="40072D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60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B8CD3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9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B23991">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平面交叉口</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33F42A">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94EF13">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1.04</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14D06A">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6B65FE">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B03B69">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041710">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33230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1.04</w:t>
            </w:r>
          </w:p>
        </w:tc>
        <w:tc>
          <w:tcPr>
            <w:tcW w:w="22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2E1640">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74B787">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62F187">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r>
      <w:tr w14:paraId="0DA1B2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60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1D5DA3">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9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CDCDAD">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清表土</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464718">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3.48</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CD6F55">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BF5438">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2A1E6E">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AAE1C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B1EE94">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DF4573">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2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492F44">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AB59C5">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3.48</w:t>
            </w: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0C8280">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1#、2#、3#、4#弃土场</w:t>
            </w:r>
          </w:p>
        </w:tc>
      </w:tr>
      <w:tr w14:paraId="2DF840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60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613A6E">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9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33169B">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主线小计</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00709E">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239.99</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150FE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115.24</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64539D">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10.89</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7CFB22">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40ABE4">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9C6E52">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083A83">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104.35</w:t>
            </w:r>
          </w:p>
        </w:tc>
        <w:tc>
          <w:tcPr>
            <w:tcW w:w="22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CCDA25">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E94FF9">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239.99</w:t>
            </w: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A6D87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r>
      <w:tr w14:paraId="66DCE8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6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E3E46F">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桥梁工程</w:t>
            </w:r>
          </w:p>
        </w:tc>
        <w:tc>
          <w:tcPr>
            <w:tcW w:w="9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DB0D60">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A60451">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6.19</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7AFEE1">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0.05</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5637B1">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B11E49">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BF9A6F">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BC84BC">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14355E">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0.05</w:t>
            </w:r>
          </w:p>
        </w:tc>
        <w:tc>
          <w:tcPr>
            <w:tcW w:w="22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8EE6E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736430">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6.19</w:t>
            </w: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8608AC">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1#取土场、2#取土场</w:t>
            </w:r>
          </w:p>
        </w:tc>
      </w:tr>
      <w:tr w14:paraId="244AB8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6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EC8FBF">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隧道工程</w:t>
            </w:r>
          </w:p>
        </w:tc>
        <w:tc>
          <w:tcPr>
            <w:tcW w:w="9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2E98C2">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267D9F">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39.77</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3A6A4B">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D36AEE">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B96BC2">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02550D">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10.89</w:t>
            </w: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152CCD">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路基工程</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FF652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2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9EDDE9">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16FAB0">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28.88</w:t>
            </w: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463991">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1#取土场、2#取土场</w:t>
            </w:r>
          </w:p>
        </w:tc>
      </w:tr>
      <w:tr w14:paraId="6E2629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6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37DB88">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附属工程</w:t>
            </w:r>
          </w:p>
        </w:tc>
        <w:tc>
          <w:tcPr>
            <w:tcW w:w="9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EF152F">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EAD9D9">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FCB43C">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5.83</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D401B3">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DDB819">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1717C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B7BAB2">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E60638">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5.83</w:t>
            </w:r>
          </w:p>
        </w:tc>
        <w:tc>
          <w:tcPr>
            <w:tcW w:w="22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67F3A4">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424CDC">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BA6FC2">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r>
      <w:tr w14:paraId="4E58A2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6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32E71A">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施工便道</w:t>
            </w:r>
          </w:p>
        </w:tc>
        <w:tc>
          <w:tcPr>
            <w:tcW w:w="9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69988A">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67C69D">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16.32</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9360B5">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17.55</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FD06FE">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8B6DEB">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6E2585">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C71284">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4D352F">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1.23</w:t>
            </w:r>
          </w:p>
        </w:tc>
        <w:tc>
          <w:tcPr>
            <w:tcW w:w="22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C75E4D">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48B75B">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473859">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r>
      <w:tr w14:paraId="50F42F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6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D3CB78">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施工生产生活区</w:t>
            </w:r>
          </w:p>
        </w:tc>
        <w:tc>
          <w:tcPr>
            <w:tcW w:w="9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BDC758">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BCD243">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0.01</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90469E">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0.01</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ECF952">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6531A3">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0C85F0">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0BBA6A">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9174F3">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2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57330E">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D7B974">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7031A2">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r>
      <w:tr w14:paraId="7F9C97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6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32A25E">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外水外电工程</w:t>
            </w:r>
          </w:p>
        </w:tc>
        <w:tc>
          <w:tcPr>
            <w:tcW w:w="9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C34B8D">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9E9C2A">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0.03</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B2CF38">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0.03</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F9BAF9">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0B1E65">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399C3F">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49A308">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651C39">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2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126BFD">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A3063D">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A59DDA">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r>
      <w:tr w14:paraId="1224F6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6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40A36C">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合计</w:t>
            </w:r>
          </w:p>
        </w:tc>
        <w:tc>
          <w:tcPr>
            <w:tcW w:w="9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5D6E50">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F9572F">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302.31</w:t>
            </w: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31C16E">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138.72</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EF9E75">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10.89</w:t>
            </w:r>
          </w:p>
        </w:tc>
        <w:tc>
          <w:tcPr>
            <w:tcW w:w="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BA9AE7">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564C80">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10.89</w:t>
            </w: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E6571F">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F253FB">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111.46</w:t>
            </w:r>
          </w:p>
        </w:tc>
        <w:tc>
          <w:tcPr>
            <w:tcW w:w="2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E0BDA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c>
          <w:tcPr>
            <w:tcW w:w="3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54784B">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275.05</w:t>
            </w: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3EEFDF">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p>
        </w:tc>
      </w:tr>
    </w:tbl>
    <w:p w14:paraId="63CF6CC2">
      <w:pPr>
        <w:keepNext w:val="0"/>
        <w:keepLines w:val="0"/>
        <w:widowControl/>
        <w:suppressLineNumbers w:val="0"/>
        <w:ind w:left="0" w:leftChars="0" w:firstLine="0" w:firstLineChars="0"/>
        <w:jc w:val="left"/>
        <w:rPr>
          <w:rFonts w:hint="default"/>
          <w:color w:val="auto"/>
          <w:lang w:val="en-US" w:eastAsia="zh-CN"/>
        </w:rPr>
      </w:pPr>
    </w:p>
    <w:p w14:paraId="3E2F7816">
      <w:pPr>
        <w:keepNext w:val="0"/>
        <w:keepLines w:val="0"/>
        <w:widowControl/>
        <w:suppressLineNumbers w:val="0"/>
        <w:ind w:left="0" w:leftChars="0" w:firstLine="0" w:firstLineChars="0"/>
        <w:jc w:val="left"/>
        <w:rPr>
          <w:rFonts w:hint="default"/>
          <w:color w:val="auto"/>
          <w:lang w:val="en-US" w:eastAsia="zh-CN"/>
        </w:rPr>
      </w:pPr>
    </w:p>
    <w:p w14:paraId="3B50B6DA">
      <w:pPr>
        <w:keepNext w:val="0"/>
        <w:keepLines w:val="0"/>
        <w:widowControl/>
        <w:suppressLineNumbers w:val="0"/>
        <w:ind w:left="0" w:leftChars="0" w:firstLine="0" w:firstLineChars="0"/>
        <w:jc w:val="left"/>
        <w:rPr>
          <w:rFonts w:hint="default"/>
          <w:color w:val="auto"/>
          <w:lang w:val="en-US" w:eastAsia="zh-CN"/>
        </w:rPr>
        <w:sectPr>
          <w:pgSz w:w="16839" w:h="11907"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E6BE45B">
      <w:pPr>
        <w:pStyle w:val="3"/>
        <w:numPr>
          <w:ilvl w:val="1"/>
          <w:numId w:val="0"/>
        </w:numPr>
        <w:bidi w:val="0"/>
        <w:rPr>
          <w:rFonts w:hint="default" w:ascii="Times New Roman" w:hAnsi="Times New Roman" w:eastAsia="宋体" w:cs="Times New Roman"/>
          <w:color w:val="auto"/>
          <w:lang w:val="en-US" w:eastAsia="zh-CN"/>
        </w:rPr>
      </w:pPr>
      <w:bookmarkStart w:id="819" w:name="_Toc29615"/>
      <w:bookmarkStart w:id="820" w:name="_Toc30904"/>
      <w:bookmarkStart w:id="821" w:name="_Toc2996"/>
      <w:bookmarkStart w:id="822" w:name="_Toc21000"/>
      <w:bookmarkStart w:id="823" w:name="_Toc30143"/>
      <w:bookmarkStart w:id="824" w:name="_Toc20579"/>
      <w:bookmarkStart w:id="825" w:name="_Toc353"/>
      <w:r>
        <w:rPr>
          <w:rFonts w:hint="default" w:ascii="Times New Roman" w:hAnsi="Times New Roman" w:cs="Times New Roman"/>
          <w:color w:val="auto"/>
          <w:lang w:val="en-US" w:eastAsia="zh-CN"/>
        </w:rPr>
        <w:t>3.3 工程分析</w:t>
      </w:r>
      <w:bookmarkEnd w:id="819"/>
      <w:bookmarkEnd w:id="820"/>
      <w:bookmarkEnd w:id="821"/>
      <w:bookmarkEnd w:id="822"/>
      <w:bookmarkEnd w:id="823"/>
      <w:bookmarkEnd w:id="824"/>
      <w:bookmarkEnd w:id="825"/>
    </w:p>
    <w:p w14:paraId="4FBDE0A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拟建项目属典型的非污染生态影响类建设项目。工程的设计、建设及运行过程中均会对环境产生不同性质和不同程度的影响，以下就工程对环境的作用因素与影响进行识别和分析，并对项目环境污染的源强进行估算。</w:t>
      </w:r>
    </w:p>
    <w:p w14:paraId="27C00F94">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3.3.1 施工工艺</w:t>
      </w:r>
    </w:p>
    <w:p w14:paraId="04D6E2B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（1）路基工程</w:t>
      </w:r>
    </w:p>
    <w:p w14:paraId="1B8FF69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路基工程主要包括土石方、路基压实、特殊路基处理、防护、排水、中小型构造物建设等。路基工程土石方施工主要采用机械化施工，路基防护和排水在路基土石方工程后期进行。要求施工单位做出详细的施工组织计划，严禁乱挖乱弃，减少土石方运输及装卸过程中的扬尘产生量；合理安排施工时间，防止路基压实过</w:t>
      </w:r>
      <w:r>
        <w:rPr>
          <w:rFonts w:hint="eastAsia" w:cs="Times New Roman"/>
          <w:color w:val="auto"/>
          <w:kern w:val="0"/>
          <w:sz w:val="24"/>
          <w:szCs w:val="24"/>
          <w:lang w:val="en-US" w:eastAsia="zh-CN" w:bidi="ar"/>
        </w:rPr>
        <w:t>程中</w:t>
      </w:r>
      <w:r>
        <w:rPr>
          <w:rFonts w:hint="default" w:ascii="Times New Roman" w:hAnsi="Times New Roman" w:eastAsia="宋体" w:cs="Times New Roman"/>
          <w:color w:val="auto"/>
          <w:kern w:val="0"/>
          <w:sz w:val="24"/>
          <w:szCs w:val="24"/>
          <w:lang w:val="en-US" w:eastAsia="zh-CN" w:bidi="ar"/>
        </w:rPr>
        <w:t>产生的噪声影响沿线区域居民的休息；雨季须采取措施避免路基边坡受到冲刷；特殊路基地段处理要按设计事先进行处理</w:t>
      </w:r>
    </w:p>
    <w:p w14:paraId="2210413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路基施工主要分为路基填筑施工和路基找平施工，施工工艺见图3.</w:t>
      </w:r>
      <w:r>
        <w:rPr>
          <w:rFonts w:hint="eastAsia" w:ascii="Times New Roman" w:hAnsi="Times New Roman"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-1及图3.</w:t>
      </w:r>
      <w:r>
        <w:rPr>
          <w:rFonts w:hint="eastAsia" w:ascii="Times New Roman" w:hAnsi="Times New Roman"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-2。</w:t>
      </w:r>
    </w:p>
    <w:p w14:paraId="6A9DED79">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5074920" cy="4242435"/>
            <wp:effectExtent l="0" t="0" r="11430" b="5715"/>
            <wp:docPr id="1" name="图片 1" descr="截图2024060600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截图20240606002120"/>
                    <pic:cNvPicPr>
                      <a:picLocks noChangeAspect="1"/>
                    </pic:cNvPicPr>
                  </pic:nvPicPr>
                  <pic:blipFill>
                    <a:blip r:embed="rId28">
                      <a:lum bright="24000"/>
                    </a:blip>
                    <a:stretch>
                      <a:fillRect/>
                    </a:stretch>
                  </pic:blipFill>
                  <pic:spPr>
                    <a:xfrm>
                      <a:off x="0" y="0"/>
                      <a:ext cx="5074920" cy="4242435"/>
                    </a:xfrm>
                    <a:prstGeom prst="rect">
                      <a:avLst/>
                    </a:prstGeom>
                  </pic:spPr>
                </pic:pic>
              </a:graphicData>
            </a:graphic>
          </wp:inline>
        </w:drawing>
      </w:r>
    </w:p>
    <w:p w14:paraId="21683D34">
      <w:pPr>
        <w:keepNext w:val="0"/>
        <w:keepLines w:val="0"/>
        <w:widowControl/>
        <w:suppressLineNumbers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kern w:val="0"/>
          <w:sz w:val="21"/>
          <w:szCs w:val="21"/>
          <w:lang w:val="en-US" w:eastAsia="zh-CN" w:bidi="ar"/>
        </w:rPr>
        <w:t>图3.</w:t>
      </w:r>
      <w:r>
        <w:rPr>
          <w:rFonts w:hint="eastAsia" w:ascii="Times New Roman" w:hAnsi="Times New Roman" w:cs="Times New Roman"/>
          <w:b/>
          <w:bCs/>
          <w:color w:val="auto"/>
          <w:kern w:val="0"/>
          <w:sz w:val="21"/>
          <w:szCs w:val="21"/>
          <w:lang w:val="en-US" w:eastAsia="zh-CN" w:bidi="ar"/>
        </w:rPr>
        <w:t>3</w:t>
      </w:r>
      <w:r>
        <w:rPr>
          <w:rFonts w:hint="default" w:ascii="Times New Roman" w:hAnsi="Times New Roman" w:eastAsia="宋体" w:cs="Times New Roman"/>
          <w:b/>
          <w:bCs/>
          <w:color w:val="auto"/>
          <w:kern w:val="0"/>
          <w:sz w:val="21"/>
          <w:szCs w:val="21"/>
          <w:lang w:val="en-US" w:eastAsia="zh-CN" w:bidi="ar"/>
        </w:rPr>
        <w:t>-1 路基施工工艺流程及产污环节框图</w:t>
      </w:r>
    </w:p>
    <w:p w14:paraId="76BE4F97">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（2）路面施工工艺及产污环节分析</w:t>
      </w:r>
    </w:p>
    <w:p w14:paraId="4957327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路面工程包括底基层、基层、面层工程，路面施工主要环境影响表现在拌合站噪声的影响、施工场地噪声、物料运输车辆噪声、混凝土拌合粉尘影响、沥青拌合及路面摊铺沥青烟和扬尘影响等。</w:t>
      </w:r>
    </w:p>
    <w:p w14:paraId="6FAC4AEC">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4873625" cy="2214880"/>
            <wp:effectExtent l="0" t="0" r="3175" b="10160"/>
            <wp:docPr id="4" name="图片 4" descr="截图2024060600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截图20240606002352"/>
                    <pic:cNvPicPr>
                      <a:picLocks noChangeAspect="1"/>
                    </pic:cNvPicPr>
                  </pic:nvPicPr>
                  <pic:blipFill>
                    <a:blip r:embed="rId29">
                      <a:lum bright="30000"/>
                    </a:blip>
                    <a:stretch>
                      <a:fillRect/>
                    </a:stretch>
                  </pic:blipFill>
                  <pic:spPr>
                    <a:xfrm>
                      <a:off x="0" y="0"/>
                      <a:ext cx="4873625" cy="2214880"/>
                    </a:xfrm>
                    <a:prstGeom prst="rect">
                      <a:avLst/>
                    </a:prstGeom>
                  </pic:spPr>
                </pic:pic>
              </a:graphicData>
            </a:graphic>
          </wp:inline>
        </w:drawing>
      </w:r>
    </w:p>
    <w:p w14:paraId="5956C4E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
        </w:rPr>
        <w:t>图3.</w:t>
      </w:r>
      <w:r>
        <w:rPr>
          <w:rFonts w:hint="eastAsia" w:ascii="Times New Roman" w:hAnsi="Times New Roman" w:cs="Times New Roman"/>
          <w:b/>
          <w:bCs/>
          <w:color w:val="auto"/>
          <w:kern w:val="0"/>
          <w:sz w:val="21"/>
          <w:szCs w:val="21"/>
          <w:lang w:val="en-US" w:eastAsia="zh-CN" w:bidi="ar"/>
        </w:rPr>
        <w:t>3</w:t>
      </w:r>
      <w:r>
        <w:rPr>
          <w:rFonts w:hint="default" w:ascii="Times New Roman" w:hAnsi="Times New Roman" w:eastAsia="宋体" w:cs="Times New Roman"/>
          <w:b/>
          <w:bCs/>
          <w:color w:val="auto"/>
          <w:kern w:val="0"/>
          <w:sz w:val="21"/>
          <w:szCs w:val="21"/>
          <w:lang w:val="en-US" w:eastAsia="zh-CN" w:bidi="ar"/>
        </w:rPr>
        <w:t>-2 路面施工工艺流程及产污环节框图</w:t>
      </w:r>
    </w:p>
    <w:p w14:paraId="62410066">
      <w:pPr>
        <w:keepNext w:val="0"/>
        <w:keepLines w:val="0"/>
        <w:pageBreakBefore w:val="0"/>
        <w:widowControl/>
        <w:suppressLineNumbers w:val="0"/>
        <w:kinsoku/>
        <w:wordWrap/>
        <w:overflowPunct/>
        <w:topLinePunct w:val="0"/>
        <w:autoSpaceDE/>
        <w:autoSpaceDN/>
        <w:bidi w:val="0"/>
        <w:adjustRightInd w:val="0"/>
        <w:snapToGrid w:val="0"/>
        <w:spacing w:before="157" w:beforeLines="50"/>
        <w:jc w:val="both"/>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（3）桥梁施工</w:t>
      </w:r>
    </w:p>
    <w:p w14:paraId="5CD47DA0">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桥梁上部构造采用装配式预应力T梁、小箱梁和预应力砼连续梁，下部构造采用柱式墩台。桥涵施工包括上部结构、下部结构两个部分的施工。</w:t>
      </w:r>
    </w:p>
    <w:p w14:paraId="65091144">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①上部结构</w:t>
      </w:r>
    </w:p>
    <w:p w14:paraId="23A18553">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桥梁上部结构采用装配式T梁和小箱梁和预应力连续梁，在预制场集中预制，由汽车运至现场起吊安装，完成试吊、落梁等工序，最后进行桥面附属设施施工。</w:t>
      </w:r>
    </w:p>
    <w:p w14:paraId="5688A64D">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项目梁上部结构预制安装工艺流程及产污环节见图3.</w:t>
      </w:r>
      <w:r>
        <w:rPr>
          <w:rFonts w:hint="eastAsia" w:ascii="Times New Roman" w:hAnsi="Times New Roman"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-3，桥面铺装施工工艺见图3.</w:t>
      </w:r>
      <w:r>
        <w:rPr>
          <w:rFonts w:hint="eastAsia" w:ascii="Times New Roman" w:hAnsi="Times New Roman"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-4。</w:t>
      </w:r>
    </w:p>
    <w:p w14:paraId="67367760">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②下部结构</w:t>
      </w:r>
    </w:p>
    <w:p w14:paraId="6FE2F4D7">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桥梁下部结构采用重力式基础、柱式墩台，基础采用钻孔灌注桩基础。钻孔灌注桩的施工方法已经比较成熟，施工过程中产生的主要污染物为泥浆和钻渣，钻孔的泥浆主要由水、</w:t>
      </w:r>
      <w:r>
        <w:rPr>
          <w:rFonts w:hint="default" w:ascii="Times New Roman" w:hAnsi="Times New Roman" w:cs="Times New Roman"/>
          <w:color w:val="auto"/>
          <w:kern w:val="0"/>
          <w:sz w:val="24"/>
          <w:szCs w:val="24"/>
          <w:lang w:val="en-US" w:eastAsia="zh-CN" w:bidi="ar"/>
        </w:rPr>
        <w:t>黏土</w:t>
      </w:r>
      <w:r>
        <w:rPr>
          <w:rFonts w:hint="default" w:ascii="Times New Roman" w:hAnsi="Times New Roman" w:eastAsia="宋体" w:cs="Times New Roman"/>
          <w:color w:val="auto"/>
          <w:kern w:val="0"/>
          <w:sz w:val="24"/>
          <w:szCs w:val="24"/>
          <w:lang w:val="en-US" w:eastAsia="zh-CN" w:bidi="ar"/>
        </w:rPr>
        <w:t>和添加剂组成，采用泥浆悬浮钻渣和护壁。产生的泥浆和钻渣如不妥善处理，将对水环境和生态环境造成影响。</w:t>
      </w:r>
    </w:p>
    <w:p w14:paraId="32222B98">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桥梁下部结构施工工艺流程及产污环节见图3.</w:t>
      </w:r>
      <w:r>
        <w:rPr>
          <w:rFonts w:hint="eastAsia" w:ascii="Times New Roman" w:hAnsi="Times New Roman"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w:t>
      </w:r>
      <w:r>
        <w:rPr>
          <w:rFonts w:hint="eastAsia" w:ascii="Times New Roman" w:hAnsi="Times New Roman" w:cs="Times New Roman"/>
          <w:color w:val="auto"/>
          <w:kern w:val="0"/>
          <w:sz w:val="24"/>
          <w:szCs w:val="24"/>
          <w:lang w:val="en-US" w:eastAsia="zh-CN" w:bidi="ar"/>
        </w:rPr>
        <w:t>5</w:t>
      </w:r>
      <w:r>
        <w:rPr>
          <w:rFonts w:hint="default" w:ascii="Times New Roman" w:hAnsi="Times New Roman" w:eastAsia="宋体" w:cs="Times New Roman"/>
          <w:color w:val="auto"/>
          <w:kern w:val="0"/>
          <w:sz w:val="24"/>
          <w:szCs w:val="24"/>
          <w:lang w:val="en-US" w:eastAsia="zh-CN" w:bidi="ar"/>
        </w:rPr>
        <w:t>。</w:t>
      </w:r>
    </w:p>
    <w:p w14:paraId="3B3D84AD">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drawing>
          <wp:inline distT="0" distB="0" distL="114300" distR="114300">
            <wp:extent cx="4213860" cy="4739640"/>
            <wp:effectExtent l="0" t="0" r="7620" b="0"/>
            <wp:docPr id="5" name="图片 5" descr="截图2024060600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截图20240606002619"/>
                    <pic:cNvPicPr>
                      <a:picLocks noChangeAspect="1"/>
                    </pic:cNvPicPr>
                  </pic:nvPicPr>
                  <pic:blipFill>
                    <a:blip r:embed="rId30"/>
                    <a:stretch>
                      <a:fillRect/>
                    </a:stretch>
                  </pic:blipFill>
                  <pic:spPr>
                    <a:xfrm>
                      <a:off x="0" y="0"/>
                      <a:ext cx="4213860" cy="4739640"/>
                    </a:xfrm>
                    <a:prstGeom prst="rect">
                      <a:avLst/>
                    </a:prstGeom>
                  </pic:spPr>
                </pic:pic>
              </a:graphicData>
            </a:graphic>
          </wp:inline>
        </w:drawing>
      </w:r>
    </w:p>
    <w:p w14:paraId="6563C9C0">
      <w:pPr>
        <w:keepNext w:val="0"/>
        <w:keepLines w:val="0"/>
        <w:widowControl/>
        <w:suppressLineNumbers w:val="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图3.</w:t>
      </w:r>
      <w:r>
        <w:rPr>
          <w:rFonts w:hint="eastAsia" w:ascii="Times New Roman" w:hAnsi="Times New Roman" w:cs="Times New Roman"/>
          <w:b/>
          <w:bCs/>
          <w:color w:val="auto"/>
          <w:kern w:val="0"/>
          <w:sz w:val="21"/>
          <w:szCs w:val="21"/>
          <w:lang w:val="en-US" w:eastAsia="zh-CN" w:bidi="ar"/>
        </w:rPr>
        <w:t>3</w:t>
      </w:r>
      <w:r>
        <w:rPr>
          <w:rFonts w:hint="default" w:ascii="Times New Roman" w:hAnsi="Times New Roman" w:eastAsia="宋体" w:cs="Times New Roman"/>
          <w:b/>
          <w:bCs/>
          <w:color w:val="auto"/>
          <w:kern w:val="0"/>
          <w:sz w:val="21"/>
          <w:szCs w:val="21"/>
          <w:lang w:val="en-US" w:eastAsia="zh-CN" w:bidi="ar"/>
        </w:rPr>
        <w:t>-3 桥梁上部结构施工工艺流程及产污环节示意图</w:t>
      </w:r>
    </w:p>
    <w:p w14:paraId="2DE59330">
      <w:pPr>
        <w:bidi w:val="0"/>
        <w:rPr>
          <w:rFonts w:hint="default" w:ascii="Times New Roman" w:hAnsi="Times New Roman" w:cs="Times New Roman"/>
          <w:color w:val="auto"/>
        </w:rPr>
      </w:pPr>
    </w:p>
    <w:p w14:paraId="462D28AB">
      <w:pPr>
        <w:keepNext w:val="0"/>
        <w:keepLines w:val="0"/>
        <w:widowControl/>
        <w:suppressLineNumbers w:val="0"/>
        <w:jc w:val="both"/>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drawing>
          <wp:inline distT="0" distB="0" distL="114300" distR="114300">
            <wp:extent cx="4270375" cy="3159125"/>
            <wp:effectExtent l="0" t="0" r="15875" b="3175"/>
            <wp:docPr id="21" name="图片 21" descr="截图2024060600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截图20240606002728"/>
                    <pic:cNvPicPr>
                      <a:picLocks noChangeAspect="1"/>
                    </pic:cNvPicPr>
                  </pic:nvPicPr>
                  <pic:blipFill>
                    <a:blip r:embed="rId31"/>
                    <a:stretch>
                      <a:fillRect/>
                    </a:stretch>
                  </pic:blipFill>
                  <pic:spPr>
                    <a:xfrm>
                      <a:off x="0" y="0"/>
                      <a:ext cx="4270375" cy="3159125"/>
                    </a:xfrm>
                    <a:prstGeom prst="rect">
                      <a:avLst/>
                    </a:prstGeom>
                  </pic:spPr>
                </pic:pic>
              </a:graphicData>
            </a:graphic>
          </wp:inline>
        </w:drawing>
      </w:r>
    </w:p>
    <w:p w14:paraId="346E685F">
      <w:pPr>
        <w:keepNext w:val="0"/>
        <w:keepLines w:val="0"/>
        <w:widowControl/>
        <w:suppressLineNumbers w:val="0"/>
        <w:jc w:val="center"/>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
        </w:rPr>
        <w:t>图3.</w:t>
      </w:r>
      <w:r>
        <w:rPr>
          <w:rFonts w:hint="eastAsia" w:ascii="Times New Roman" w:hAnsi="Times New Roman" w:cs="Times New Roman"/>
          <w:b/>
          <w:bCs/>
          <w:color w:val="auto"/>
          <w:kern w:val="0"/>
          <w:sz w:val="21"/>
          <w:szCs w:val="21"/>
          <w:lang w:val="en-US" w:eastAsia="zh-CN" w:bidi="ar"/>
        </w:rPr>
        <w:t>3</w:t>
      </w:r>
      <w:r>
        <w:rPr>
          <w:rFonts w:hint="default" w:ascii="Times New Roman" w:hAnsi="Times New Roman" w:eastAsia="宋体" w:cs="Times New Roman"/>
          <w:b/>
          <w:bCs/>
          <w:color w:val="auto"/>
          <w:kern w:val="0"/>
          <w:sz w:val="21"/>
          <w:szCs w:val="21"/>
          <w:lang w:val="en-US" w:eastAsia="zh-CN" w:bidi="ar"/>
        </w:rPr>
        <w:t>-4 桥面铺装施工工艺流程及产污环节示意图</w:t>
      </w:r>
    </w:p>
    <w:p w14:paraId="05C7953B">
      <w:pPr>
        <w:keepNext w:val="0"/>
        <w:keepLines w:val="0"/>
        <w:widowControl/>
        <w:suppressLineNumbers w:val="0"/>
        <w:jc w:val="center"/>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drawing>
          <wp:anchor distT="0" distB="0" distL="114300" distR="114300" simplePos="0" relativeHeight="251663360" behindDoc="0" locked="0" layoutInCell="1" allowOverlap="1">
            <wp:simplePos x="0" y="0"/>
            <wp:positionH relativeFrom="column">
              <wp:posOffset>630555</wp:posOffset>
            </wp:positionH>
            <wp:positionV relativeFrom="page">
              <wp:posOffset>914400</wp:posOffset>
            </wp:positionV>
            <wp:extent cx="4152900" cy="5737860"/>
            <wp:effectExtent l="0" t="0" r="7620" b="7620"/>
            <wp:wrapTopAndBottom/>
            <wp:docPr id="22" name="图片 22" descr="截图2024060600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截图20240606002951"/>
                    <pic:cNvPicPr>
                      <a:picLocks noChangeAspect="1"/>
                    </pic:cNvPicPr>
                  </pic:nvPicPr>
                  <pic:blipFill>
                    <a:blip r:embed="rId32"/>
                    <a:stretch>
                      <a:fillRect/>
                    </a:stretch>
                  </pic:blipFill>
                  <pic:spPr>
                    <a:xfrm>
                      <a:off x="0" y="0"/>
                      <a:ext cx="4152900" cy="5737860"/>
                    </a:xfrm>
                    <a:prstGeom prst="rect">
                      <a:avLst/>
                    </a:prstGeom>
                  </pic:spPr>
                </pic:pic>
              </a:graphicData>
            </a:graphic>
          </wp:anchor>
        </w:drawing>
      </w:r>
      <w:r>
        <w:rPr>
          <w:rFonts w:hint="default" w:ascii="Times New Roman" w:hAnsi="Times New Roman" w:eastAsia="宋体" w:cs="Times New Roman"/>
          <w:b/>
          <w:bCs/>
          <w:color w:val="auto"/>
          <w:kern w:val="0"/>
          <w:sz w:val="21"/>
          <w:szCs w:val="21"/>
          <w:lang w:val="en-US" w:eastAsia="zh-CN" w:bidi="ar"/>
        </w:rPr>
        <w:t>图3.</w:t>
      </w:r>
      <w:r>
        <w:rPr>
          <w:rFonts w:hint="eastAsia" w:ascii="Times New Roman" w:hAnsi="Times New Roman" w:cs="Times New Roman"/>
          <w:b/>
          <w:bCs/>
          <w:color w:val="auto"/>
          <w:kern w:val="0"/>
          <w:sz w:val="21"/>
          <w:szCs w:val="21"/>
          <w:lang w:val="en-US" w:eastAsia="zh-CN" w:bidi="ar"/>
        </w:rPr>
        <w:t>3</w:t>
      </w:r>
      <w:r>
        <w:rPr>
          <w:rFonts w:hint="default" w:ascii="Times New Roman" w:hAnsi="Times New Roman" w:eastAsia="宋体" w:cs="Times New Roman"/>
          <w:b/>
          <w:bCs/>
          <w:color w:val="auto"/>
          <w:kern w:val="0"/>
          <w:sz w:val="21"/>
          <w:szCs w:val="21"/>
          <w:lang w:val="en-US" w:eastAsia="zh-CN" w:bidi="ar"/>
        </w:rPr>
        <w:t>-5 桥梁下部施工工艺流程及产污环节示意图</w:t>
      </w:r>
    </w:p>
    <w:p w14:paraId="0ED0D2D3">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b w:val="0"/>
          <w:bCs w:val="0"/>
          <w:color w:val="auto"/>
          <w:kern w:val="2"/>
          <w:sz w:val="24"/>
          <w:szCs w:val="24"/>
          <w:lang w:val="en-US" w:eastAsia="zh-CN" w:bidi="ar-SA"/>
        </w:rPr>
      </w:pPr>
      <w:r>
        <w:rPr>
          <w:rFonts w:hint="eastAsia" w:cs="Times New Roman"/>
          <w:b w:val="0"/>
          <w:bCs w:val="0"/>
          <w:color w:val="auto"/>
          <w:kern w:val="2"/>
          <w:sz w:val="24"/>
          <w:szCs w:val="24"/>
          <w:lang w:val="en-US" w:eastAsia="zh-CN" w:bidi="ar-SA"/>
        </w:rPr>
        <w:t>③桥梁施工方案</w:t>
      </w:r>
    </w:p>
    <w:p w14:paraId="00DA38C7">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全段桥涵工程根据不同结构型式及部位，分别采用机械、机械与人工相结合或人工施工的方案。简支板、梁上部构造及涵洞的盖板，建议集中进行工厂化预制或向专业化预制厂</w:t>
      </w:r>
      <w:r>
        <w:rPr>
          <w:rFonts w:hint="eastAsia" w:cs="Times New Roman"/>
          <w:b w:val="0"/>
          <w:bCs w:val="0"/>
          <w:color w:val="auto"/>
          <w:kern w:val="2"/>
          <w:sz w:val="24"/>
          <w:szCs w:val="24"/>
          <w:lang w:val="en-US" w:eastAsia="zh-CN" w:bidi="ar-SA"/>
        </w:rPr>
        <w:t>订购</w:t>
      </w:r>
      <w:r>
        <w:rPr>
          <w:rFonts w:hint="default" w:ascii="Times New Roman" w:hAnsi="Times New Roman" w:eastAsia="宋体" w:cs="Times New Roman"/>
          <w:b w:val="0"/>
          <w:bCs w:val="0"/>
          <w:color w:val="auto"/>
          <w:kern w:val="2"/>
          <w:sz w:val="24"/>
          <w:szCs w:val="24"/>
          <w:lang w:val="en-US" w:eastAsia="zh-CN" w:bidi="ar-SA"/>
        </w:rPr>
        <w:t>，运至工点安装，连续梁上部构造，一般采取搭架现浇施工或砌筑。桥梁施工对</w:t>
      </w:r>
      <w:r>
        <w:rPr>
          <w:rFonts w:hint="eastAsia" w:cs="Times New Roman"/>
          <w:b w:val="0"/>
          <w:bCs w:val="0"/>
          <w:color w:val="auto"/>
          <w:kern w:val="2"/>
          <w:sz w:val="24"/>
          <w:szCs w:val="24"/>
          <w:lang w:val="en-US" w:eastAsia="zh-CN" w:bidi="ar-SA"/>
        </w:rPr>
        <w:t>G3012线</w:t>
      </w:r>
      <w:r>
        <w:rPr>
          <w:rFonts w:hint="default" w:ascii="Times New Roman" w:hAnsi="Times New Roman" w:eastAsia="宋体" w:cs="Times New Roman"/>
          <w:b w:val="0"/>
          <w:bCs w:val="0"/>
          <w:color w:val="auto"/>
          <w:kern w:val="2"/>
          <w:sz w:val="24"/>
          <w:szCs w:val="24"/>
          <w:lang w:val="en-US" w:eastAsia="zh-CN" w:bidi="ar-SA"/>
        </w:rPr>
        <w:t>的安全、环境以及应急等的要求：</w:t>
      </w:r>
    </w:p>
    <w:p w14:paraId="49FE2F30">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b w:val="0"/>
          <w:bCs w:val="0"/>
          <w:color w:val="auto"/>
          <w:kern w:val="2"/>
          <w:sz w:val="24"/>
          <w:szCs w:val="24"/>
          <w:lang w:val="en-US" w:eastAsia="zh-CN" w:bidi="ar-SA"/>
        </w:rPr>
      </w:pPr>
      <w:r>
        <w:rPr>
          <w:rFonts w:hint="eastAsia" w:cs="Times New Roman"/>
          <w:b w:val="0"/>
          <w:bCs w:val="0"/>
          <w:color w:val="auto"/>
          <w:kern w:val="2"/>
          <w:sz w:val="24"/>
          <w:szCs w:val="24"/>
          <w:lang w:val="en-US" w:eastAsia="zh-CN" w:bidi="ar-SA"/>
        </w:rPr>
        <w:t>a.</w:t>
      </w:r>
      <w:r>
        <w:rPr>
          <w:rFonts w:hint="default" w:ascii="Times New Roman" w:hAnsi="Times New Roman" w:eastAsia="宋体" w:cs="Times New Roman"/>
          <w:b w:val="0"/>
          <w:bCs w:val="0"/>
          <w:color w:val="auto"/>
          <w:kern w:val="2"/>
          <w:sz w:val="24"/>
          <w:szCs w:val="24"/>
          <w:lang w:val="en-US" w:eastAsia="zh-CN" w:bidi="ar-SA"/>
        </w:rPr>
        <w:t>桥梁施工前，应对施工现场、机具设备及安全防护设施等，进行全面检查、确认符合安全要求后方可施工</w:t>
      </w:r>
      <w:r>
        <w:rPr>
          <w:rFonts w:hint="eastAsia" w:cs="Times New Roman"/>
          <w:b w:val="0"/>
          <w:bCs w:val="0"/>
          <w:color w:val="auto"/>
          <w:kern w:val="2"/>
          <w:sz w:val="24"/>
          <w:szCs w:val="24"/>
          <w:lang w:val="en-US" w:eastAsia="zh-CN" w:bidi="ar-SA"/>
        </w:rPr>
        <w:t>；</w:t>
      </w:r>
    </w:p>
    <w:p w14:paraId="32C627D5">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b w:val="0"/>
          <w:bCs w:val="0"/>
          <w:color w:val="auto"/>
          <w:kern w:val="2"/>
          <w:sz w:val="24"/>
          <w:szCs w:val="24"/>
          <w:lang w:val="en-US" w:eastAsia="zh-CN" w:bidi="ar-SA"/>
        </w:rPr>
      </w:pPr>
      <w:r>
        <w:rPr>
          <w:rFonts w:hint="eastAsia" w:cs="Times New Roman"/>
          <w:b w:val="0"/>
          <w:bCs w:val="0"/>
          <w:color w:val="auto"/>
          <w:kern w:val="2"/>
          <w:sz w:val="24"/>
          <w:szCs w:val="24"/>
          <w:lang w:val="en-US" w:eastAsia="zh-CN" w:bidi="ar-SA"/>
        </w:rPr>
        <w:t>b.</w:t>
      </w:r>
      <w:r>
        <w:rPr>
          <w:rFonts w:hint="default" w:ascii="Times New Roman" w:hAnsi="Times New Roman" w:eastAsia="宋体" w:cs="Times New Roman"/>
          <w:b w:val="0"/>
          <w:bCs w:val="0"/>
          <w:color w:val="auto"/>
          <w:kern w:val="2"/>
          <w:sz w:val="24"/>
          <w:szCs w:val="24"/>
          <w:lang w:val="en-US" w:eastAsia="zh-CN" w:bidi="ar-SA"/>
        </w:rPr>
        <w:t>桥梁施工采用高空作业或桥下通车、行人等立体施工时，应布设安全网</w:t>
      </w:r>
      <w:r>
        <w:rPr>
          <w:rFonts w:hint="eastAsia" w:cs="Times New Roman"/>
          <w:b w:val="0"/>
          <w:bCs w:val="0"/>
          <w:color w:val="auto"/>
          <w:kern w:val="2"/>
          <w:sz w:val="24"/>
          <w:szCs w:val="24"/>
          <w:lang w:val="en-US" w:eastAsia="zh-CN" w:bidi="ar-SA"/>
        </w:rPr>
        <w:t>；</w:t>
      </w:r>
    </w:p>
    <w:p w14:paraId="5780AAD4">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b w:val="0"/>
          <w:bCs w:val="0"/>
          <w:color w:val="auto"/>
          <w:kern w:val="2"/>
          <w:sz w:val="24"/>
          <w:szCs w:val="24"/>
          <w:lang w:val="en-US" w:eastAsia="zh-CN" w:bidi="ar-SA"/>
        </w:rPr>
      </w:pPr>
      <w:r>
        <w:rPr>
          <w:rFonts w:hint="eastAsia" w:cs="Times New Roman"/>
          <w:b w:val="0"/>
          <w:bCs w:val="0"/>
          <w:color w:val="auto"/>
          <w:kern w:val="2"/>
          <w:sz w:val="24"/>
          <w:szCs w:val="24"/>
          <w:lang w:val="en-US" w:eastAsia="zh-CN" w:bidi="ar-SA"/>
        </w:rPr>
        <w:t>c.</w:t>
      </w:r>
      <w:r>
        <w:rPr>
          <w:rFonts w:hint="default" w:ascii="Times New Roman" w:hAnsi="Times New Roman" w:eastAsia="宋体" w:cs="Times New Roman"/>
          <w:b w:val="0"/>
          <w:bCs w:val="0"/>
          <w:color w:val="auto"/>
          <w:kern w:val="2"/>
          <w:sz w:val="24"/>
          <w:szCs w:val="24"/>
          <w:lang w:val="en-US" w:eastAsia="zh-CN" w:bidi="ar-SA"/>
        </w:rPr>
        <w:t>高处露天作业，缆索吊装及大型构件起重点吊装时，应根据风力大小、对作业的影响程度，制定适于施工的风力标准。遇有六级（含六级）以上大风时，上述施工应停止作业</w:t>
      </w:r>
      <w:r>
        <w:rPr>
          <w:rFonts w:hint="eastAsia" w:cs="Times New Roman"/>
          <w:b w:val="0"/>
          <w:bCs w:val="0"/>
          <w:color w:val="auto"/>
          <w:kern w:val="2"/>
          <w:sz w:val="24"/>
          <w:szCs w:val="24"/>
          <w:lang w:val="en-US" w:eastAsia="zh-CN" w:bidi="ar-SA"/>
        </w:rPr>
        <w:t>；</w:t>
      </w:r>
    </w:p>
    <w:p w14:paraId="43C684D8">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b w:val="0"/>
          <w:bCs w:val="0"/>
          <w:color w:val="auto"/>
          <w:kern w:val="2"/>
          <w:sz w:val="24"/>
          <w:szCs w:val="24"/>
          <w:lang w:val="en-US" w:eastAsia="zh-CN" w:bidi="ar-SA"/>
        </w:rPr>
      </w:pPr>
      <w:r>
        <w:rPr>
          <w:rFonts w:hint="eastAsia" w:cs="Times New Roman"/>
          <w:b w:val="0"/>
          <w:bCs w:val="0"/>
          <w:color w:val="auto"/>
          <w:kern w:val="2"/>
          <w:sz w:val="24"/>
          <w:szCs w:val="24"/>
          <w:lang w:val="en-US" w:eastAsia="zh-CN" w:bidi="ar-SA"/>
        </w:rPr>
        <w:t>d.</w:t>
      </w:r>
      <w:r>
        <w:rPr>
          <w:rFonts w:hint="default" w:ascii="Times New Roman" w:hAnsi="Times New Roman" w:eastAsia="宋体" w:cs="Times New Roman"/>
          <w:b w:val="0"/>
          <w:bCs w:val="0"/>
          <w:color w:val="auto"/>
          <w:kern w:val="2"/>
          <w:sz w:val="24"/>
          <w:szCs w:val="24"/>
          <w:lang w:val="en-US" w:eastAsia="zh-CN" w:bidi="ar-SA"/>
        </w:rPr>
        <w:t>基坑开挖废方必须集中堆弃于弃土场统一堆放防止水土流失；</w:t>
      </w:r>
    </w:p>
    <w:p w14:paraId="4434A654">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b w:val="0"/>
          <w:bCs w:val="0"/>
          <w:color w:val="auto"/>
          <w:kern w:val="2"/>
          <w:sz w:val="24"/>
          <w:szCs w:val="24"/>
          <w:lang w:val="en-US" w:eastAsia="zh-CN" w:bidi="ar-SA"/>
        </w:rPr>
      </w:pPr>
      <w:r>
        <w:rPr>
          <w:rFonts w:hint="eastAsia" w:cs="Times New Roman"/>
          <w:b w:val="0"/>
          <w:bCs w:val="0"/>
          <w:color w:val="auto"/>
          <w:kern w:val="2"/>
          <w:sz w:val="24"/>
          <w:szCs w:val="24"/>
          <w:lang w:val="en-US" w:eastAsia="zh-CN" w:bidi="ar-SA"/>
        </w:rPr>
        <w:t>e.尽量避免在现有线路运营高峰期进行大型施工作业，如需进行影响较大的施工，提前与运营单位协商，申请停运时段或采取限速、限行等措施，减少对运营的干扰。</w:t>
      </w:r>
    </w:p>
    <w:p w14:paraId="54FD16B9">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（4）隧道施工工艺及产污环节分析</w:t>
      </w:r>
    </w:p>
    <w:p w14:paraId="1FCDDF20">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隧道在施工过程中主要从：①施工准备及隧道进出口工程→②隧道开挖、施工支护、施工防水排水→③衬砌→④路基/路面及附属设施施工→⑤竣工验收。</w:t>
      </w:r>
    </w:p>
    <w:p w14:paraId="017B98F6">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①施工准备及进出口工程</w:t>
      </w:r>
    </w:p>
    <w:p w14:paraId="2906BE94">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隧道洞口边坡、仰坡的开挖与整形，此过程会产生开挖扬尘、施工噪声及表层弃渣；随后对坡面进行锚网喷混凝土防护，会产生喷射作业粉尘、设备噪声及少量混凝土废料。</w:t>
      </w:r>
    </w:p>
    <w:p w14:paraId="0F9A8739">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② 隧道开挖、出渣运输、施工支护、施工防水排水</w:t>
      </w:r>
    </w:p>
    <w:p w14:paraId="4D6B5D8A">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本项目隧道围岩等级（V级），采用钻爆法（风枪钻孔、光面爆破） 进行爆破后采用挖掘机开挖。钻孔、爆破及挖掘机开挖环节产生粉尘与噪声；产生的废渣直接采用无轨运输方式运至弃土场；此过程会产生扬尘及噪声；进洞前尽早完成洞口排水系统，并与路堑排水系统连通进出口支挡工程结合土石方开挖一并完成，进出口衬砌拱墙与洞内相连的拱墙同时施工，连成整体。</w:t>
      </w:r>
    </w:p>
    <w:p w14:paraId="67544284">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③衬砌施工</w:t>
      </w:r>
    </w:p>
    <w:p w14:paraId="7D022679">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本项目采用模板台车浇筑。主要产生混凝土养护与冲洗废水、噪声和废料。</w:t>
      </w:r>
    </w:p>
    <w:p w14:paraId="070111D2">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④路基/路面及附属设施施工</w:t>
      </w:r>
    </w:p>
    <w:p w14:paraId="0A9DC9C9">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完成洞内主体后，进行路面铺设和机电等附属设施安装。主要产生粉尘及噪声。</w:t>
      </w:r>
    </w:p>
    <w:p w14:paraId="0FDD6AAE">
      <w:pPr>
        <w:keepNext w:val="0"/>
        <w:keepLines w:val="0"/>
        <w:pageBreakBefore w:val="0"/>
        <w:widowControl w:val="0"/>
        <w:kinsoku/>
        <w:wordWrap/>
        <w:overflowPunct/>
        <w:topLinePunct w:val="0"/>
        <w:autoSpaceDE/>
        <w:autoSpaceDN/>
        <w:bidi w:val="0"/>
        <w:adjustRightInd w:val="0"/>
        <w:snapToGrid w:val="0"/>
        <w:spacing w:line="360" w:lineRule="auto"/>
        <w:ind w:right="0" w:firstLine="420" w:firstLineChars="200"/>
        <w:textAlignment w:val="auto"/>
        <w:rPr>
          <w:rFonts w:hint="default" w:ascii="Times New Roman" w:hAnsi="Times New Roman" w:cs="Times New Roman"/>
          <w:b/>
          <w:bCs w:val="0"/>
          <w:color w:val="auto"/>
          <w:kern w:val="0"/>
          <w:sz w:val="24"/>
          <w:highlight w:val="yellow"/>
          <w:lang w:val="en-US" w:eastAsia="zh-CN"/>
        </w:rPr>
      </w:pPr>
      <w:r>
        <w:rPr>
          <w:rFonts w:hint="default" w:ascii="Times New Roman" w:hAnsi="Times New Roman" w:cs="Times New Roman"/>
          <w:color w:val="auto"/>
          <w:sz w:val="21"/>
        </w:rPr>
        <w:drawing>
          <wp:inline distT="0" distB="0" distL="114300" distR="114300">
            <wp:extent cx="5390515" cy="898525"/>
            <wp:effectExtent l="0" t="0" r="635" b="1587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33"/>
                    <a:stretch>
                      <a:fillRect/>
                    </a:stretch>
                  </pic:blipFill>
                  <pic:spPr>
                    <a:xfrm>
                      <a:off x="0" y="0"/>
                      <a:ext cx="5390515" cy="898525"/>
                    </a:xfrm>
                    <a:prstGeom prst="rect">
                      <a:avLst/>
                    </a:prstGeom>
                    <a:noFill/>
                    <a:ln>
                      <a:noFill/>
                    </a:ln>
                  </pic:spPr>
                </pic:pic>
              </a:graphicData>
            </a:graphic>
          </wp:inline>
        </w:drawing>
      </w:r>
    </w:p>
    <w:p w14:paraId="05CB434D">
      <w:pPr>
        <w:keepNext w:val="0"/>
        <w:keepLines w:val="0"/>
        <w:pageBreakBefore w:val="0"/>
        <w:widowControl w:val="0"/>
        <w:kinsoku/>
        <w:wordWrap/>
        <w:overflowPunct/>
        <w:topLinePunct w:val="0"/>
        <w:autoSpaceDE/>
        <w:autoSpaceDN/>
        <w:bidi w:val="0"/>
        <w:adjustRightInd w:val="0"/>
        <w:snapToGrid w:val="0"/>
        <w:spacing w:line="360" w:lineRule="auto"/>
        <w:ind w:right="0" w:firstLine="422" w:firstLineChars="200"/>
        <w:jc w:val="center"/>
        <w:textAlignment w:val="auto"/>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2"/>
          <w:sz w:val="21"/>
          <w:szCs w:val="21"/>
          <w:lang w:val="en-US" w:eastAsia="zh-CN" w:bidi="ar-SA"/>
        </w:rPr>
        <w:t>图</w:t>
      </w:r>
      <w:r>
        <w:rPr>
          <w:rFonts w:hint="eastAsia" w:ascii="Times New Roman" w:hAnsi="Times New Roman" w:cs="Times New Roman"/>
          <w:b/>
          <w:bCs/>
          <w:color w:val="auto"/>
          <w:kern w:val="2"/>
          <w:sz w:val="21"/>
          <w:szCs w:val="21"/>
          <w:lang w:val="en-US" w:eastAsia="zh-CN" w:bidi="ar-SA"/>
        </w:rPr>
        <w:t>3.3</w:t>
      </w:r>
      <w:r>
        <w:rPr>
          <w:rFonts w:hint="default" w:ascii="Times New Roman" w:hAnsi="Times New Roman" w:eastAsia="宋体" w:cs="Times New Roman"/>
          <w:b/>
          <w:bCs/>
          <w:color w:val="auto"/>
          <w:kern w:val="2"/>
          <w:sz w:val="21"/>
          <w:szCs w:val="21"/>
          <w:lang w:val="en-US" w:eastAsia="zh-CN" w:bidi="ar-SA"/>
        </w:rPr>
        <w:t>-</w:t>
      </w:r>
      <w:r>
        <w:rPr>
          <w:rFonts w:hint="eastAsia" w:ascii="Times New Roman" w:hAnsi="Times New Roman" w:cs="Times New Roman"/>
          <w:b/>
          <w:bCs/>
          <w:color w:val="auto"/>
          <w:kern w:val="2"/>
          <w:sz w:val="21"/>
          <w:szCs w:val="21"/>
          <w:lang w:val="en-US" w:eastAsia="zh-CN" w:bidi="ar-SA"/>
        </w:rPr>
        <w:t>6</w:t>
      </w:r>
      <w:r>
        <w:rPr>
          <w:rFonts w:hint="default" w:ascii="Times New Roman" w:hAnsi="Times New Roman" w:eastAsia="宋体" w:cs="Times New Roman"/>
          <w:b/>
          <w:bCs/>
          <w:color w:val="auto"/>
          <w:kern w:val="2"/>
          <w:sz w:val="21"/>
          <w:szCs w:val="21"/>
          <w:lang w:val="en-US" w:eastAsia="zh-CN" w:bidi="ar-SA"/>
        </w:rPr>
        <w:t xml:space="preserve">  隧道</w:t>
      </w:r>
      <w:r>
        <w:rPr>
          <w:rFonts w:hint="default" w:ascii="Times New Roman" w:hAnsi="Times New Roman" w:eastAsia="宋体" w:cs="Times New Roman"/>
          <w:b/>
          <w:bCs/>
          <w:color w:val="auto"/>
          <w:kern w:val="0"/>
          <w:sz w:val="21"/>
          <w:szCs w:val="21"/>
          <w:lang w:val="en-US" w:eastAsia="zh-CN" w:bidi="ar"/>
        </w:rPr>
        <w:t>施工工艺流程及产污环节示意图</w:t>
      </w:r>
    </w:p>
    <w:p w14:paraId="30E3AE9F">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cs="Times New Roman"/>
          <w:color w:val="auto"/>
          <w:kern w:val="0"/>
          <w:sz w:val="24"/>
          <w:szCs w:val="24"/>
          <w:lang w:val="en-US" w:eastAsia="zh-CN" w:bidi="ar"/>
        </w:rPr>
        <w:t>（5）</w:t>
      </w:r>
      <w:r>
        <w:rPr>
          <w:rFonts w:hint="default" w:ascii="Times New Roman" w:hAnsi="Times New Roman" w:eastAsia="宋体" w:cs="Times New Roman"/>
          <w:color w:val="auto"/>
          <w:kern w:val="0"/>
          <w:sz w:val="24"/>
          <w:szCs w:val="24"/>
          <w:lang w:val="en-US" w:eastAsia="zh-CN" w:bidi="ar"/>
        </w:rPr>
        <w:t>涵洞施工</w:t>
      </w:r>
    </w:p>
    <w:p w14:paraId="38FBA58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全线沿线共设置涵洞46道。大部分涵洞为跨越排洪冲沟设置。其施工根据不同部位分别采用机械、机械与人工相结合、全部人工方案进行施工。施工中应注意及时将产生的泥浆进行清理，防止污染区域地表水环境。</w:t>
      </w:r>
    </w:p>
    <w:p w14:paraId="23B5DA2A">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（6）</w:t>
      </w:r>
      <w:r>
        <w:rPr>
          <w:rFonts w:hint="default" w:ascii="Times New Roman" w:hAnsi="Times New Roman" w:eastAsia="宋体" w:cs="Times New Roman"/>
          <w:color w:val="auto"/>
          <w:kern w:val="0"/>
          <w:sz w:val="24"/>
          <w:szCs w:val="24"/>
          <w:lang w:val="en-US" w:eastAsia="zh-CN" w:bidi="ar"/>
        </w:rPr>
        <w:t>附属设施</w:t>
      </w:r>
    </w:p>
    <w:p w14:paraId="0229CF25">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本项目由于里程较短，暂不设置服务区、停车区等沿线服务设施。仅建设收费站</w:t>
      </w:r>
      <w:r>
        <w:rPr>
          <w:rFonts w:hint="default" w:ascii="Times New Roman" w:hAnsi="Times New Roman" w:cs="Times New Roman"/>
          <w:color w:val="auto"/>
          <w:kern w:val="0"/>
          <w:sz w:val="24"/>
          <w:szCs w:val="24"/>
          <w:lang w:val="en-US" w:eastAsia="zh-CN" w:bidi="ar"/>
        </w:rPr>
        <w:t>（隧道管理站）</w:t>
      </w:r>
      <w:r>
        <w:rPr>
          <w:rFonts w:hint="default" w:ascii="Times New Roman" w:hAnsi="Times New Roman" w:eastAsia="宋体" w:cs="Times New Roman"/>
          <w:color w:val="auto"/>
          <w:kern w:val="0"/>
          <w:sz w:val="24"/>
          <w:szCs w:val="24"/>
          <w:lang w:val="en-US" w:eastAsia="zh-CN" w:bidi="ar"/>
        </w:rPr>
        <w:t>1处，会造成占地等临时影响，同时破坏植被、导致水土流失，产生施工废料、施工噪声、沥青烟和扬尘等；临时施工场地将产生废水、固体废物和废气。另外，生活污水及固体废弃物若未经处理直接排放或丢弃，将对附近水体和土壤环境造成污染。</w:t>
      </w:r>
    </w:p>
    <w:p w14:paraId="0BBFE52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kern w:val="0"/>
          <w:sz w:val="24"/>
          <w:szCs w:val="24"/>
          <w:lang w:val="en-US" w:eastAsia="zh-CN" w:bidi="ar"/>
        </w:rPr>
        <w:t>（</w:t>
      </w:r>
      <w:r>
        <w:rPr>
          <w:rFonts w:hint="eastAsia" w:ascii="Times New Roman" w:hAnsi="Times New Roman" w:cs="Times New Roman"/>
          <w:color w:val="auto"/>
          <w:kern w:val="0"/>
          <w:sz w:val="24"/>
          <w:szCs w:val="24"/>
          <w:lang w:val="en-US" w:eastAsia="zh-CN" w:bidi="ar"/>
        </w:rPr>
        <w:t>7</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临时</w:t>
      </w:r>
      <w:r>
        <w:rPr>
          <w:rFonts w:hint="default" w:ascii="Times New Roman" w:hAnsi="Times New Roman" w:cs="Times New Roman"/>
          <w:color w:val="auto"/>
          <w:kern w:val="0"/>
          <w:sz w:val="24"/>
          <w:szCs w:val="24"/>
          <w:lang w:val="en-US" w:eastAsia="zh-CN" w:bidi="ar"/>
        </w:rPr>
        <w:t>工程</w:t>
      </w:r>
    </w:p>
    <w:p w14:paraId="4ABE4A4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本项目施工期临时工程主要包括沥青</w:t>
      </w:r>
      <w:r>
        <w:rPr>
          <w:rFonts w:hint="default" w:ascii="Times New Roman" w:hAnsi="Times New Roman" w:cs="Times New Roman"/>
          <w:color w:val="auto"/>
          <w:kern w:val="0"/>
          <w:sz w:val="24"/>
          <w:szCs w:val="24"/>
          <w:lang w:val="en-US" w:eastAsia="zh-CN" w:bidi="ar"/>
        </w:rPr>
        <w:t>拌合站</w:t>
      </w:r>
      <w:r>
        <w:rPr>
          <w:rFonts w:hint="default" w:ascii="Times New Roman" w:hAnsi="Times New Roman" w:eastAsia="宋体" w:cs="Times New Roman"/>
          <w:color w:val="auto"/>
          <w:kern w:val="0"/>
          <w:sz w:val="24"/>
          <w:szCs w:val="24"/>
          <w:lang w:val="en-US" w:eastAsia="zh-CN" w:bidi="ar"/>
        </w:rPr>
        <w:t>、水稳拌合站、预制场、施工驻地及施工便道等场地。</w:t>
      </w:r>
    </w:p>
    <w:p w14:paraId="381D034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①沥青</w:t>
      </w:r>
      <w:r>
        <w:rPr>
          <w:rFonts w:hint="default" w:ascii="Times New Roman" w:hAnsi="Times New Roman" w:cs="Times New Roman"/>
          <w:color w:val="auto"/>
          <w:kern w:val="0"/>
          <w:sz w:val="24"/>
          <w:szCs w:val="24"/>
          <w:lang w:val="en-US" w:eastAsia="zh-CN" w:bidi="ar"/>
        </w:rPr>
        <w:t>混凝土拌合站</w:t>
      </w:r>
    </w:p>
    <w:p w14:paraId="3F3C640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沥青混合料主要由沥青、骨料（石子、砂）、矿粉混合拌制而成。其一般流程可分为骨料预处理（骨料由皮带输送机在密闭输送通道内送入干燥筒，骨料在干燥筒内加热至200℃左右）、沥青预处理（沥青罐进行保温，生产过程进行沥青间接加热到150~160℃），而后进入</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缸</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后即为成品。</w:t>
      </w:r>
    </w:p>
    <w:p w14:paraId="4083665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产生的主要污染：砂石卸料粉尘（颗粒物）、筒仓废气（颗粒物）、砂石上料粉尘（颗粒物）、砂石卸料粉尘（颗粒物）、导热油炉燃天然气废气（二氧化硫、氮氧化物、烟尘）、骨料烘干废气（二氧化硫、氮氧化物、颗粒物）、沥青罐呼吸废气、沥青生产搅拌合出料废气（苯并[a]芘、沥青烟）；设备运行噪声；生活污水；沥青烟环保处理设备产生的废活性炭、除尘设施收集的粉尘、废导热油、水喷淋设备沉渣。</w:t>
      </w:r>
    </w:p>
    <w:p w14:paraId="0FC1B41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②水稳料拌合站</w:t>
      </w:r>
    </w:p>
    <w:p w14:paraId="6EBE21A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水稳料拌合站所有工序均为物理过程，生产时首先将各种原料（石子、砂、水泥、水）进行计量配送，然后依次进行重量配料、强制配料，产品运往现场。</w:t>
      </w:r>
    </w:p>
    <w:p w14:paraId="58837B2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产生的主要影响为筒仓废气、砂石上料粉尘、卸料粉尘、搅拌粉尘；设备运行噪声；生活污水、进出车辆清洗废水；沉淀池沉渣。</w:t>
      </w:r>
    </w:p>
    <w:p w14:paraId="4A4E454B">
      <w:pPr>
        <w:keepNext w:val="0"/>
        <w:keepLines w:val="0"/>
        <w:widowControl/>
        <w:suppressLineNumbers w:val="0"/>
        <w:ind w:left="0" w:leftChars="0" w:right="0" w:rightChars="0" w:firstLine="0" w:firstLineChars="0"/>
        <w:jc w:val="center"/>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drawing>
          <wp:inline distT="0" distB="0" distL="114300" distR="114300">
            <wp:extent cx="4846320" cy="4556760"/>
            <wp:effectExtent l="0" t="0" r="0" b="0"/>
            <wp:docPr id="23" name="图片 23" descr="截图2024060600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截图20240606003502"/>
                    <pic:cNvPicPr>
                      <a:picLocks noChangeAspect="1"/>
                    </pic:cNvPicPr>
                  </pic:nvPicPr>
                  <pic:blipFill>
                    <a:blip r:embed="rId34"/>
                    <a:stretch>
                      <a:fillRect/>
                    </a:stretch>
                  </pic:blipFill>
                  <pic:spPr>
                    <a:xfrm>
                      <a:off x="0" y="0"/>
                      <a:ext cx="4846320" cy="4556760"/>
                    </a:xfrm>
                    <a:prstGeom prst="rect">
                      <a:avLst/>
                    </a:prstGeom>
                  </pic:spPr>
                </pic:pic>
              </a:graphicData>
            </a:graphic>
          </wp:inline>
        </w:drawing>
      </w:r>
    </w:p>
    <w:p w14:paraId="546AB713">
      <w:pPr>
        <w:keepNext w:val="0"/>
        <w:keepLines w:val="0"/>
        <w:widowControl/>
        <w:suppressLineNumbers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kern w:val="0"/>
          <w:sz w:val="21"/>
          <w:szCs w:val="21"/>
          <w:lang w:val="en-US" w:eastAsia="zh-CN" w:bidi="ar"/>
        </w:rPr>
        <w:t>图3.</w:t>
      </w:r>
      <w:r>
        <w:rPr>
          <w:rFonts w:hint="eastAsia" w:ascii="Times New Roman" w:hAnsi="Times New Roman" w:cs="Times New Roman"/>
          <w:b/>
          <w:bCs/>
          <w:color w:val="auto"/>
          <w:kern w:val="0"/>
          <w:sz w:val="21"/>
          <w:szCs w:val="21"/>
          <w:lang w:val="en-US" w:eastAsia="zh-CN" w:bidi="ar"/>
        </w:rPr>
        <w:t>3</w:t>
      </w:r>
      <w:r>
        <w:rPr>
          <w:rFonts w:hint="default" w:ascii="Times New Roman" w:hAnsi="Times New Roman" w:eastAsia="宋体" w:cs="Times New Roman"/>
          <w:b/>
          <w:bCs/>
          <w:color w:val="auto"/>
          <w:kern w:val="0"/>
          <w:sz w:val="21"/>
          <w:szCs w:val="21"/>
          <w:lang w:val="en-US" w:eastAsia="zh-CN" w:bidi="ar"/>
        </w:rPr>
        <w:t>-</w:t>
      </w:r>
      <w:r>
        <w:rPr>
          <w:rFonts w:hint="default" w:ascii="Times New Roman" w:hAnsi="Times New Roman" w:cs="Times New Roman"/>
          <w:b/>
          <w:bCs/>
          <w:color w:val="auto"/>
          <w:kern w:val="0"/>
          <w:sz w:val="21"/>
          <w:szCs w:val="21"/>
          <w:lang w:val="en-US" w:eastAsia="zh-CN" w:bidi="ar"/>
        </w:rPr>
        <w:t>7</w:t>
      </w:r>
      <w:r>
        <w:rPr>
          <w:rFonts w:hint="default" w:ascii="Times New Roman" w:hAnsi="Times New Roman" w:eastAsia="宋体" w:cs="Times New Roman"/>
          <w:b/>
          <w:bCs/>
          <w:color w:val="auto"/>
          <w:kern w:val="0"/>
          <w:sz w:val="21"/>
          <w:szCs w:val="21"/>
          <w:lang w:val="en-US" w:eastAsia="zh-CN" w:bidi="ar"/>
        </w:rPr>
        <w:t xml:space="preserve"> 沥青混凝土搅拌站生产工艺流程及产污环节示意图</w:t>
      </w:r>
    </w:p>
    <w:p w14:paraId="73A95CCA">
      <w:pPr>
        <w:keepNext w:val="0"/>
        <w:keepLines w:val="0"/>
        <w:widowControl/>
        <w:suppressLineNumbers w:val="0"/>
        <w:ind w:left="0" w:leftChars="0" w:right="0" w:rightChars="0" w:firstLine="0" w:firstLineChars="0"/>
        <w:jc w:val="center"/>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drawing>
          <wp:inline distT="0" distB="0" distL="114300" distR="114300">
            <wp:extent cx="5044440" cy="2750820"/>
            <wp:effectExtent l="0" t="0" r="0" b="7620"/>
            <wp:docPr id="24" name="图片 24" descr="截图2024060600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截图20240606003630"/>
                    <pic:cNvPicPr>
                      <a:picLocks noChangeAspect="1"/>
                    </pic:cNvPicPr>
                  </pic:nvPicPr>
                  <pic:blipFill>
                    <a:blip r:embed="rId35"/>
                    <a:stretch>
                      <a:fillRect/>
                    </a:stretch>
                  </pic:blipFill>
                  <pic:spPr>
                    <a:xfrm>
                      <a:off x="0" y="0"/>
                      <a:ext cx="5044440" cy="2750820"/>
                    </a:xfrm>
                    <a:prstGeom prst="rect">
                      <a:avLst/>
                    </a:prstGeom>
                  </pic:spPr>
                </pic:pic>
              </a:graphicData>
            </a:graphic>
          </wp:inline>
        </w:drawing>
      </w:r>
    </w:p>
    <w:p w14:paraId="149C7A76">
      <w:pPr>
        <w:keepNext w:val="0"/>
        <w:keepLines w:val="0"/>
        <w:widowControl/>
        <w:suppressLineNumbers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kern w:val="0"/>
          <w:sz w:val="21"/>
          <w:szCs w:val="21"/>
          <w:lang w:val="en-US" w:eastAsia="zh-CN" w:bidi="ar"/>
        </w:rPr>
        <w:t>图3.</w:t>
      </w:r>
      <w:r>
        <w:rPr>
          <w:rFonts w:hint="eastAsia" w:ascii="Times New Roman" w:hAnsi="Times New Roman" w:cs="Times New Roman"/>
          <w:b/>
          <w:bCs/>
          <w:color w:val="auto"/>
          <w:kern w:val="0"/>
          <w:sz w:val="21"/>
          <w:szCs w:val="21"/>
          <w:lang w:val="en-US" w:eastAsia="zh-CN" w:bidi="ar"/>
        </w:rPr>
        <w:t>3</w:t>
      </w:r>
      <w:r>
        <w:rPr>
          <w:rFonts w:hint="default" w:ascii="Times New Roman" w:hAnsi="Times New Roman" w:eastAsia="宋体" w:cs="Times New Roman"/>
          <w:b/>
          <w:bCs/>
          <w:color w:val="auto"/>
          <w:kern w:val="0"/>
          <w:sz w:val="21"/>
          <w:szCs w:val="21"/>
          <w:lang w:val="en-US" w:eastAsia="zh-CN" w:bidi="ar"/>
        </w:rPr>
        <w:t>-</w:t>
      </w:r>
      <w:r>
        <w:rPr>
          <w:rFonts w:hint="default" w:ascii="Times New Roman" w:hAnsi="Times New Roman" w:cs="Times New Roman"/>
          <w:b/>
          <w:bCs/>
          <w:color w:val="auto"/>
          <w:kern w:val="0"/>
          <w:sz w:val="21"/>
          <w:szCs w:val="21"/>
          <w:lang w:val="en-US" w:eastAsia="zh-CN" w:bidi="ar"/>
        </w:rPr>
        <w:t>8</w:t>
      </w:r>
      <w:r>
        <w:rPr>
          <w:rFonts w:hint="default" w:ascii="Times New Roman" w:hAnsi="Times New Roman" w:eastAsia="宋体" w:cs="Times New Roman"/>
          <w:b/>
          <w:bCs/>
          <w:color w:val="auto"/>
          <w:kern w:val="0"/>
          <w:sz w:val="21"/>
          <w:szCs w:val="21"/>
          <w:lang w:val="en-US" w:eastAsia="zh-CN" w:bidi="ar"/>
        </w:rPr>
        <w:t xml:space="preserve"> 水稳搅拌站生产工艺流程及产污环节示意图</w:t>
      </w:r>
    </w:p>
    <w:p w14:paraId="2F993386">
      <w:pPr>
        <w:keepNext w:val="0"/>
        <w:keepLines w:val="0"/>
        <w:pageBreakBefore w:val="0"/>
        <w:widowControl/>
        <w:suppressLineNumbers w:val="0"/>
        <w:tabs>
          <w:tab w:val="left" w:pos="464"/>
        </w:tabs>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③钢筋加工及预制品生产</w:t>
      </w:r>
    </w:p>
    <w:p w14:paraId="722456D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钢筋加工及预制梁场生产工艺流程：外购钢筋钢板等进厂后，依据产品需要进行定长机械切断、折弯，然后利用排焊机焊接成笼。清理干净模具后涂刷脱模剂，以使模板与混凝土表面形成一层膜将两者隔离开来，保证脱模时混凝土表面光滑平整、棱角整齐无损，并可保证混凝土的粘附量小于5g/m。采用水性混凝土脱模剂，无挥发废气产生。使用的脱模剂由供应商负责运输，其包装桶归供应商所有，可循环使用，在安装好的模具内浇入符合要求的预制件混凝土，振动成型。预制件养护区进行蒸汽养护，养护室采用电加热蒸汽供热，养护温度30~70℃。预制件送往工地用于桥梁修建。</w:t>
      </w:r>
    </w:p>
    <w:p w14:paraId="20801F8D">
      <w:pPr>
        <w:keepNext w:val="0"/>
        <w:keepLines w:val="0"/>
        <w:widowControl/>
        <w:suppressLineNumbers w:val="0"/>
        <w:ind w:left="0" w:leftChars="0" w:right="0" w:rightChars="0" w:firstLine="0" w:firstLineChars="0"/>
        <w:jc w:val="center"/>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drawing>
          <wp:inline distT="0" distB="0" distL="114300" distR="114300">
            <wp:extent cx="5173980" cy="2628900"/>
            <wp:effectExtent l="0" t="0" r="7620" b="0"/>
            <wp:docPr id="25" name="图片 25" descr="截图2024060600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截图20240606003824"/>
                    <pic:cNvPicPr>
                      <a:picLocks noChangeAspect="1"/>
                    </pic:cNvPicPr>
                  </pic:nvPicPr>
                  <pic:blipFill>
                    <a:blip r:embed="rId36"/>
                    <a:srcRect t="3147"/>
                    <a:stretch>
                      <a:fillRect/>
                    </a:stretch>
                  </pic:blipFill>
                  <pic:spPr>
                    <a:xfrm>
                      <a:off x="0" y="0"/>
                      <a:ext cx="5173980" cy="2628900"/>
                    </a:xfrm>
                    <a:prstGeom prst="rect">
                      <a:avLst/>
                    </a:prstGeom>
                  </pic:spPr>
                </pic:pic>
              </a:graphicData>
            </a:graphic>
          </wp:inline>
        </w:drawing>
      </w:r>
    </w:p>
    <w:p w14:paraId="01D9B241">
      <w:pPr>
        <w:keepNext w:val="0"/>
        <w:keepLines w:val="0"/>
        <w:widowControl/>
        <w:suppressLineNumbers w:val="0"/>
        <w:jc w:val="center"/>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
        </w:rPr>
        <w:t>图3.</w:t>
      </w:r>
      <w:r>
        <w:rPr>
          <w:rFonts w:hint="eastAsia" w:ascii="Times New Roman" w:hAnsi="Times New Roman" w:cs="Times New Roman"/>
          <w:b/>
          <w:bCs/>
          <w:color w:val="auto"/>
          <w:kern w:val="0"/>
          <w:sz w:val="21"/>
          <w:szCs w:val="21"/>
          <w:lang w:val="en-US" w:eastAsia="zh-CN" w:bidi="ar"/>
        </w:rPr>
        <w:t>3</w:t>
      </w:r>
      <w:r>
        <w:rPr>
          <w:rFonts w:hint="default" w:ascii="Times New Roman" w:hAnsi="Times New Roman" w:eastAsia="宋体" w:cs="Times New Roman"/>
          <w:b/>
          <w:bCs/>
          <w:color w:val="auto"/>
          <w:kern w:val="0"/>
          <w:sz w:val="21"/>
          <w:szCs w:val="21"/>
          <w:lang w:val="en-US" w:eastAsia="zh-CN" w:bidi="ar"/>
        </w:rPr>
        <w:t>-</w:t>
      </w:r>
      <w:r>
        <w:rPr>
          <w:rFonts w:hint="default" w:ascii="Times New Roman" w:hAnsi="Times New Roman" w:cs="Times New Roman"/>
          <w:b/>
          <w:bCs/>
          <w:color w:val="auto"/>
          <w:kern w:val="0"/>
          <w:sz w:val="21"/>
          <w:szCs w:val="21"/>
          <w:lang w:val="en-US" w:eastAsia="zh-CN" w:bidi="ar"/>
        </w:rPr>
        <w:t xml:space="preserve">9   </w:t>
      </w:r>
      <w:r>
        <w:rPr>
          <w:rFonts w:hint="default" w:ascii="Times New Roman" w:hAnsi="Times New Roman" w:eastAsia="宋体" w:cs="Times New Roman"/>
          <w:b/>
          <w:bCs/>
          <w:color w:val="auto"/>
          <w:kern w:val="0"/>
          <w:sz w:val="21"/>
          <w:szCs w:val="21"/>
          <w:lang w:val="en-US" w:eastAsia="zh-CN" w:bidi="ar"/>
        </w:rPr>
        <w:t xml:space="preserve"> 钢筋加工及预制品生产工艺流程及产污环节示意图</w:t>
      </w:r>
    </w:p>
    <w:p w14:paraId="30815703">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根据上述对临时场站工艺流程的梳理，</w:t>
      </w:r>
      <w:r>
        <w:rPr>
          <w:rFonts w:hint="default" w:ascii="Times New Roman" w:hAnsi="Times New Roman" w:cs="Times New Roman"/>
          <w:color w:val="auto"/>
          <w:kern w:val="0"/>
          <w:sz w:val="24"/>
          <w:szCs w:val="24"/>
          <w:lang w:val="en-US" w:eastAsia="zh-CN" w:bidi="ar"/>
        </w:rPr>
        <w:t>混凝土拌合站</w:t>
      </w:r>
      <w:r>
        <w:rPr>
          <w:rFonts w:hint="default" w:ascii="Times New Roman" w:hAnsi="Times New Roman" w:eastAsia="宋体" w:cs="Times New Roman"/>
          <w:color w:val="auto"/>
          <w:kern w:val="0"/>
          <w:sz w:val="24"/>
          <w:szCs w:val="24"/>
          <w:lang w:val="en-US" w:eastAsia="zh-CN" w:bidi="ar"/>
        </w:rPr>
        <w:t>、沥青</w:t>
      </w:r>
      <w:r>
        <w:rPr>
          <w:rFonts w:hint="default" w:ascii="Times New Roman" w:hAnsi="Times New Roman" w:cs="Times New Roman"/>
          <w:color w:val="auto"/>
          <w:kern w:val="0"/>
          <w:sz w:val="24"/>
          <w:szCs w:val="24"/>
          <w:lang w:val="en-US" w:eastAsia="zh-CN" w:bidi="ar"/>
        </w:rPr>
        <w:t>拌合站</w:t>
      </w:r>
      <w:r>
        <w:rPr>
          <w:rFonts w:hint="default" w:ascii="Times New Roman" w:hAnsi="Times New Roman" w:eastAsia="宋体" w:cs="Times New Roman"/>
          <w:color w:val="auto"/>
          <w:kern w:val="0"/>
          <w:sz w:val="24"/>
          <w:szCs w:val="24"/>
          <w:lang w:val="en-US" w:eastAsia="zh-CN" w:bidi="ar"/>
        </w:rPr>
        <w:t>、水稳站及预制场生产过程中产生的主要环境影响因素有废气、废水、噪声、固废。</w:t>
      </w:r>
    </w:p>
    <w:p w14:paraId="1D977061">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3.</w:t>
      </w:r>
      <w:r>
        <w:rPr>
          <w:rFonts w:hint="eastAsia" w:ascii="Times New Roman" w:hAnsi="Times New Roman" w:cs="Times New Roman"/>
          <w:color w:val="auto"/>
          <w:lang w:val="en-US" w:eastAsia="zh-CN"/>
        </w:rPr>
        <w:t>3</w:t>
      </w:r>
      <w:r>
        <w:rPr>
          <w:rFonts w:hint="default" w:ascii="Times New Roman" w:hAnsi="Times New Roman" w:cs="Times New Roman"/>
          <w:color w:val="auto"/>
          <w:lang w:val="en-US" w:eastAsia="zh-CN"/>
        </w:rPr>
        <w:t>.2 工程环境影响因素识别</w:t>
      </w:r>
    </w:p>
    <w:p w14:paraId="0E393A4E">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3.</w:t>
      </w:r>
      <w:r>
        <w:rPr>
          <w:rFonts w:hint="eastAsia" w:ascii="Times New Roman" w:hAnsi="Times New Roman" w:cs="Times New Roman"/>
          <w:color w:val="auto"/>
          <w:lang w:val="en-US" w:eastAsia="zh-CN"/>
        </w:rPr>
        <w:t>3</w:t>
      </w:r>
      <w:r>
        <w:rPr>
          <w:rFonts w:hint="default" w:ascii="Times New Roman" w:hAnsi="Times New Roman" w:cs="Times New Roman"/>
          <w:color w:val="auto"/>
          <w:lang w:val="en-US" w:eastAsia="zh-CN"/>
        </w:rPr>
        <w:t>.2.1 设计期</w:t>
      </w:r>
    </w:p>
    <w:p w14:paraId="43E5FF8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公路建设项目设计期主要为方案选线过程和公路技术标准等的设计过程，路线的选择所产生的环境影响较大，选线过程决定了项目是否会涉及自然保护区、饮用水源地、风景名胜区等各类生态敏感区，决定了工程拆迁量、占用耕地的数量、阻隔影响、社会影响等。分析设计阶段主要考虑的工程环境影响如下：</w:t>
      </w:r>
    </w:p>
    <w:p w14:paraId="12BF668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（1）线位布设可能对阿图什市城市规划产生影响，并可能影响到国家公路网规划、新疆公路网规划、工程区域国土资源的开发规划、农林牧业生产，工程附近的人群生活质量。</w:t>
      </w:r>
    </w:p>
    <w:p w14:paraId="776AE88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（2）公路建设将产生永久占地和临时占地，对土地利用格局产生一定影响。</w:t>
      </w:r>
    </w:p>
    <w:p w14:paraId="084E82D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（3）公路选线</w:t>
      </w:r>
      <w:r>
        <w:rPr>
          <w:rFonts w:hint="eastAsia" w:cs="Times New Roman"/>
          <w:color w:val="auto"/>
          <w:kern w:val="0"/>
          <w:sz w:val="24"/>
          <w:szCs w:val="24"/>
          <w:lang w:val="en-US" w:eastAsia="zh-CN" w:bidi="ar"/>
        </w:rPr>
        <w:t>涉及</w:t>
      </w:r>
      <w:r>
        <w:rPr>
          <w:rFonts w:hint="default" w:ascii="Times New Roman" w:hAnsi="Times New Roman" w:eastAsia="宋体" w:cs="Times New Roman"/>
          <w:color w:val="auto"/>
          <w:kern w:val="0"/>
          <w:sz w:val="24"/>
          <w:szCs w:val="24"/>
          <w:lang w:val="en-US" w:eastAsia="zh-CN" w:bidi="ar"/>
        </w:rPr>
        <w:t>部分拆迁。</w:t>
      </w:r>
    </w:p>
    <w:p w14:paraId="0E90F09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（4）路线布设及设计方案会影响农田灌溉水利设施，防洪、水土流失及土地占用。</w:t>
      </w:r>
    </w:p>
    <w:p w14:paraId="5281716B">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3.</w:t>
      </w:r>
      <w:r>
        <w:rPr>
          <w:rFonts w:hint="eastAsia" w:ascii="Times New Roman" w:hAnsi="Times New Roman" w:cs="Times New Roman"/>
          <w:color w:val="auto"/>
          <w:lang w:val="en-US" w:eastAsia="zh-CN"/>
        </w:rPr>
        <w:t>3</w:t>
      </w:r>
      <w:r>
        <w:rPr>
          <w:rFonts w:hint="default" w:ascii="Times New Roman" w:hAnsi="Times New Roman" w:cs="Times New Roman"/>
          <w:color w:val="auto"/>
          <w:lang w:val="en-US" w:eastAsia="zh-CN"/>
        </w:rPr>
        <w:t>.2.2 施工期</w:t>
      </w:r>
    </w:p>
    <w:p w14:paraId="593ED8F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施工期间主要环境影响分析见表3.</w:t>
      </w:r>
      <w:r>
        <w:rPr>
          <w:rFonts w:hint="eastAsia" w:ascii="Times New Roman" w:hAnsi="Times New Roman"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-1。</w:t>
      </w:r>
    </w:p>
    <w:p w14:paraId="512464C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bCs/>
          <w:color w:val="auto"/>
          <w:kern w:val="0"/>
          <w:sz w:val="21"/>
          <w:szCs w:val="21"/>
          <w:lang w:val="en-US" w:eastAsia="zh-CN" w:bidi="ar"/>
        </w:rPr>
        <w:t>表3.</w:t>
      </w:r>
      <w:r>
        <w:rPr>
          <w:rFonts w:hint="eastAsia" w:ascii="Times New Roman" w:hAnsi="Times New Roman" w:cs="Times New Roman"/>
          <w:b/>
          <w:bCs/>
          <w:color w:val="auto"/>
          <w:kern w:val="0"/>
          <w:sz w:val="21"/>
          <w:szCs w:val="21"/>
          <w:lang w:val="en-US" w:eastAsia="zh-CN" w:bidi="ar"/>
        </w:rPr>
        <w:t>3</w:t>
      </w:r>
      <w:r>
        <w:rPr>
          <w:rFonts w:hint="default" w:ascii="Times New Roman" w:hAnsi="Times New Roman" w:eastAsia="宋体" w:cs="Times New Roman"/>
          <w:b/>
          <w:bCs/>
          <w:color w:val="auto"/>
          <w:kern w:val="0"/>
          <w:sz w:val="21"/>
          <w:szCs w:val="21"/>
          <w:lang w:val="en-US" w:eastAsia="zh-CN" w:bidi="ar"/>
        </w:rPr>
        <w:t>-1   施工期主要环境影响分析</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0"/>
        <w:gridCol w:w="1416"/>
        <w:gridCol w:w="4680"/>
        <w:gridCol w:w="1207"/>
      </w:tblGrid>
      <w:tr w14:paraId="617E2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20" w:type="dxa"/>
            <w:vAlign w:val="center"/>
          </w:tcPr>
          <w:p w14:paraId="255946E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b/>
                <w:bCs/>
                <w:color w:val="auto"/>
                <w:kern w:val="0"/>
                <w:sz w:val="21"/>
                <w:szCs w:val="21"/>
                <w:lang w:val="en-US" w:eastAsia="zh-CN" w:bidi="ar"/>
              </w:rPr>
              <w:t>环境要素</w:t>
            </w:r>
          </w:p>
        </w:tc>
        <w:tc>
          <w:tcPr>
            <w:tcW w:w="1416" w:type="dxa"/>
            <w:vAlign w:val="center"/>
          </w:tcPr>
          <w:p w14:paraId="3BFA8D4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b/>
                <w:bCs/>
                <w:color w:val="auto"/>
                <w:kern w:val="0"/>
                <w:sz w:val="21"/>
                <w:szCs w:val="21"/>
                <w:lang w:val="en-US" w:eastAsia="zh-CN" w:bidi="ar"/>
              </w:rPr>
              <w:t>影响因素</w:t>
            </w:r>
          </w:p>
        </w:tc>
        <w:tc>
          <w:tcPr>
            <w:tcW w:w="4680" w:type="dxa"/>
            <w:vAlign w:val="center"/>
          </w:tcPr>
          <w:p w14:paraId="1B209AC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b/>
                <w:bCs/>
                <w:color w:val="auto"/>
                <w:kern w:val="0"/>
                <w:sz w:val="21"/>
                <w:szCs w:val="21"/>
                <w:lang w:val="en-US" w:eastAsia="zh-CN" w:bidi="ar"/>
              </w:rPr>
              <w:t>环境影响</w:t>
            </w:r>
          </w:p>
        </w:tc>
        <w:tc>
          <w:tcPr>
            <w:tcW w:w="1207" w:type="dxa"/>
            <w:vAlign w:val="center"/>
          </w:tcPr>
          <w:p w14:paraId="240FE47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b/>
                <w:bCs/>
                <w:color w:val="auto"/>
                <w:kern w:val="0"/>
                <w:sz w:val="21"/>
                <w:szCs w:val="21"/>
                <w:lang w:val="en-US" w:eastAsia="zh-CN" w:bidi="ar"/>
              </w:rPr>
              <w:t>影响性质</w:t>
            </w:r>
          </w:p>
        </w:tc>
      </w:tr>
      <w:tr w14:paraId="4E695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20" w:type="dxa"/>
            <w:vMerge w:val="restart"/>
            <w:vAlign w:val="center"/>
          </w:tcPr>
          <w:p w14:paraId="73BBFCA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声环境</w:t>
            </w:r>
          </w:p>
        </w:tc>
        <w:tc>
          <w:tcPr>
            <w:tcW w:w="1416" w:type="dxa"/>
            <w:vAlign w:val="center"/>
          </w:tcPr>
          <w:p w14:paraId="509810C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施工机械</w:t>
            </w:r>
          </w:p>
        </w:tc>
        <w:tc>
          <w:tcPr>
            <w:tcW w:w="4680" w:type="dxa"/>
            <w:vAlign w:val="center"/>
          </w:tcPr>
          <w:p w14:paraId="752DE86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施工机械噪声对作业场地附近声环境保护目标的影响。</w:t>
            </w:r>
          </w:p>
        </w:tc>
        <w:tc>
          <w:tcPr>
            <w:tcW w:w="1207" w:type="dxa"/>
            <w:vMerge w:val="restart"/>
            <w:vAlign w:val="center"/>
          </w:tcPr>
          <w:p w14:paraId="19D25F3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短期可逆</w:t>
            </w:r>
          </w:p>
          <w:p w14:paraId="79D7137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不利</w:t>
            </w:r>
          </w:p>
        </w:tc>
      </w:tr>
      <w:tr w14:paraId="3513B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20" w:type="dxa"/>
            <w:vMerge w:val="continue"/>
            <w:vAlign w:val="center"/>
          </w:tcPr>
          <w:p w14:paraId="382D283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p>
        </w:tc>
        <w:tc>
          <w:tcPr>
            <w:tcW w:w="1416" w:type="dxa"/>
            <w:vAlign w:val="center"/>
          </w:tcPr>
          <w:p w14:paraId="44B601A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运输车辆</w:t>
            </w:r>
          </w:p>
        </w:tc>
        <w:tc>
          <w:tcPr>
            <w:tcW w:w="4680" w:type="dxa"/>
            <w:vAlign w:val="center"/>
          </w:tcPr>
          <w:p w14:paraId="717FA1C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运输车辆在行驶过程中对沿线声环境保护目标的噪声影响。</w:t>
            </w:r>
          </w:p>
        </w:tc>
        <w:tc>
          <w:tcPr>
            <w:tcW w:w="1207" w:type="dxa"/>
            <w:vMerge w:val="continue"/>
            <w:vAlign w:val="center"/>
          </w:tcPr>
          <w:p w14:paraId="4E35D5D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p>
        </w:tc>
      </w:tr>
      <w:tr w14:paraId="3D777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20" w:type="dxa"/>
            <w:vMerge w:val="restart"/>
            <w:vAlign w:val="center"/>
          </w:tcPr>
          <w:p w14:paraId="0E48468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大气环境</w:t>
            </w:r>
          </w:p>
        </w:tc>
        <w:tc>
          <w:tcPr>
            <w:tcW w:w="1416" w:type="dxa"/>
            <w:vAlign w:val="center"/>
          </w:tcPr>
          <w:p w14:paraId="413DB25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施工扬尘</w:t>
            </w:r>
          </w:p>
        </w:tc>
        <w:tc>
          <w:tcPr>
            <w:tcW w:w="4680" w:type="dxa"/>
            <w:vAlign w:val="center"/>
          </w:tcPr>
          <w:p w14:paraId="315D8CC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拌合站以及</w:t>
            </w:r>
            <w:r>
              <w:rPr>
                <w:rFonts w:hint="default" w:ascii="Times New Roman" w:hAnsi="Times New Roman" w:cs="Times New Roman"/>
                <w:color w:val="auto"/>
                <w:kern w:val="0"/>
                <w:sz w:val="21"/>
                <w:szCs w:val="21"/>
                <w:lang w:val="en-US" w:eastAsia="zh-CN" w:bidi="ar"/>
              </w:rPr>
              <w:t>零散</w:t>
            </w:r>
            <w:r>
              <w:rPr>
                <w:rFonts w:hint="default" w:ascii="Times New Roman" w:hAnsi="Times New Roman" w:eastAsia="宋体" w:cs="Times New Roman"/>
                <w:color w:val="auto"/>
                <w:kern w:val="0"/>
                <w:sz w:val="21"/>
                <w:szCs w:val="21"/>
                <w:lang w:val="en-US" w:eastAsia="zh-CN" w:bidi="ar"/>
              </w:rPr>
              <w:t>物料的装卸、运输、堆放过程中产生的扬尘；施工运输车辆在施工道路上行驶产生的扬尘；拆迁过程产生的扬尘。</w:t>
            </w:r>
          </w:p>
        </w:tc>
        <w:tc>
          <w:tcPr>
            <w:tcW w:w="1207" w:type="dxa"/>
            <w:vMerge w:val="restart"/>
            <w:vAlign w:val="center"/>
          </w:tcPr>
          <w:p w14:paraId="0620F8D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短期可逆</w:t>
            </w:r>
          </w:p>
          <w:p w14:paraId="1D42356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不利</w:t>
            </w:r>
          </w:p>
        </w:tc>
      </w:tr>
      <w:tr w14:paraId="643C1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20" w:type="dxa"/>
            <w:vMerge w:val="continue"/>
            <w:vAlign w:val="center"/>
          </w:tcPr>
          <w:p w14:paraId="03E7F58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p>
        </w:tc>
        <w:tc>
          <w:tcPr>
            <w:tcW w:w="1416" w:type="dxa"/>
            <w:vAlign w:val="center"/>
          </w:tcPr>
          <w:p w14:paraId="7E30678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沥青烟气</w:t>
            </w:r>
          </w:p>
        </w:tc>
        <w:tc>
          <w:tcPr>
            <w:tcW w:w="4680" w:type="dxa"/>
            <w:vAlign w:val="center"/>
          </w:tcPr>
          <w:p w14:paraId="2D523A9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沥青</w:t>
            </w:r>
            <w:r>
              <w:rPr>
                <w:rFonts w:hint="default" w:ascii="Times New Roman" w:hAnsi="Times New Roman" w:cs="Times New Roman"/>
                <w:color w:val="auto"/>
                <w:kern w:val="0"/>
                <w:sz w:val="21"/>
                <w:szCs w:val="21"/>
                <w:lang w:val="en-US" w:eastAsia="zh-CN" w:bidi="ar"/>
              </w:rPr>
              <w:t>拌合</w:t>
            </w:r>
            <w:r>
              <w:rPr>
                <w:rFonts w:hint="default" w:ascii="Times New Roman" w:hAnsi="Times New Roman" w:eastAsia="宋体" w:cs="Times New Roman"/>
                <w:color w:val="auto"/>
                <w:kern w:val="0"/>
                <w:sz w:val="21"/>
                <w:szCs w:val="21"/>
                <w:lang w:val="en-US" w:eastAsia="zh-CN" w:bidi="ar"/>
              </w:rPr>
              <w:t>、铺设过程中产生的沥青烟气中含沥青烟气有THC、TSP 及苯并[a]芘等有毒有害物质。</w:t>
            </w:r>
          </w:p>
        </w:tc>
        <w:tc>
          <w:tcPr>
            <w:tcW w:w="1207" w:type="dxa"/>
            <w:vMerge w:val="continue"/>
            <w:vAlign w:val="center"/>
          </w:tcPr>
          <w:p w14:paraId="677CE6F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p>
        </w:tc>
      </w:tr>
      <w:tr w14:paraId="6B548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20" w:type="dxa"/>
            <w:vMerge w:val="restart"/>
            <w:vAlign w:val="center"/>
          </w:tcPr>
          <w:p w14:paraId="53C2CEF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水环境</w:t>
            </w:r>
          </w:p>
        </w:tc>
        <w:tc>
          <w:tcPr>
            <w:tcW w:w="1416" w:type="dxa"/>
            <w:vAlign w:val="center"/>
          </w:tcPr>
          <w:p w14:paraId="22A8638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桥梁施工</w:t>
            </w:r>
          </w:p>
        </w:tc>
        <w:tc>
          <w:tcPr>
            <w:tcW w:w="4680" w:type="dxa"/>
            <w:vAlign w:val="center"/>
          </w:tcPr>
          <w:p w14:paraId="74BB1FC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cs="Times New Roman"/>
                <w:color w:val="auto"/>
                <w:kern w:val="0"/>
                <w:sz w:val="21"/>
                <w:szCs w:val="21"/>
                <w:lang w:val="en-US" w:eastAsia="zh-CN" w:bidi="ar"/>
              </w:rPr>
              <w:t>本项目不涉及地表水体</w:t>
            </w:r>
            <w:r>
              <w:rPr>
                <w:rFonts w:hint="default" w:ascii="Times New Roman" w:hAnsi="Times New Roman" w:eastAsia="宋体" w:cs="Times New Roman"/>
                <w:color w:val="auto"/>
                <w:kern w:val="0"/>
                <w:sz w:val="21"/>
                <w:szCs w:val="21"/>
                <w:lang w:val="en-US" w:eastAsia="zh-CN" w:bidi="ar"/>
              </w:rPr>
              <w:t>。</w:t>
            </w:r>
          </w:p>
        </w:tc>
        <w:tc>
          <w:tcPr>
            <w:tcW w:w="1207" w:type="dxa"/>
            <w:vMerge w:val="restart"/>
            <w:vAlign w:val="center"/>
          </w:tcPr>
          <w:p w14:paraId="7A487F3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短期可逆</w:t>
            </w:r>
          </w:p>
          <w:p w14:paraId="5E39072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不利</w:t>
            </w:r>
          </w:p>
        </w:tc>
      </w:tr>
      <w:tr w14:paraId="24DE5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20" w:type="dxa"/>
            <w:vMerge w:val="continue"/>
            <w:vAlign w:val="center"/>
          </w:tcPr>
          <w:p w14:paraId="60A56BF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p>
        </w:tc>
        <w:tc>
          <w:tcPr>
            <w:tcW w:w="1416" w:type="dxa"/>
            <w:vAlign w:val="center"/>
          </w:tcPr>
          <w:p w14:paraId="1177AA6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施工场地</w:t>
            </w:r>
          </w:p>
        </w:tc>
        <w:tc>
          <w:tcPr>
            <w:tcW w:w="4680" w:type="dxa"/>
            <w:vAlign w:val="center"/>
          </w:tcPr>
          <w:p w14:paraId="60FCEEE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车辆、设备冲洗废水处理不当产生</w:t>
            </w:r>
            <w:r>
              <w:rPr>
                <w:rFonts w:hint="default" w:ascii="Times New Roman" w:hAnsi="Times New Roman" w:cs="Times New Roman"/>
                <w:color w:val="auto"/>
                <w:kern w:val="0"/>
                <w:sz w:val="21"/>
                <w:szCs w:val="21"/>
                <w:lang w:val="en-US" w:eastAsia="zh-CN" w:bidi="ar"/>
              </w:rPr>
              <w:t>的</w:t>
            </w:r>
            <w:r>
              <w:rPr>
                <w:rFonts w:hint="default" w:ascii="Times New Roman" w:hAnsi="Times New Roman" w:eastAsia="宋体" w:cs="Times New Roman"/>
                <w:color w:val="auto"/>
                <w:kern w:val="0"/>
                <w:sz w:val="21"/>
                <w:szCs w:val="21"/>
                <w:lang w:val="en-US" w:eastAsia="zh-CN" w:bidi="ar"/>
              </w:rPr>
              <w:t>影响；施工机械跑、冒、滴、漏及露天机械受雨水冲刷后产生的油污水污染。</w:t>
            </w:r>
          </w:p>
        </w:tc>
        <w:tc>
          <w:tcPr>
            <w:tcW w:w="1207" w:type="dxa"/>
            <w:vMerge w:val="continue"/>
            <w:vAlign w:val="center"/>
          </w:tcPr>
          <w:p w14:paraId="2303BB7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p>
        </w:tc>
      </w:tr>
      <w:tr w14:paraId="1591E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20" w:type="dxa"/>
            <w:vMerge w:val="restart"/>
            <w:vAlign w:val="center"/>
          </w:tcPr>
          <w:p w14:paraId="71CCA94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固体废物</w:t>
            </w:r>
          </w:p>
        </w:tc>
        <w:tc>
          <w:tcPr>
            <w:tcW w:w="1416" w:type="dxa"/>
            <w:vAlign w:val="center"/>
          </w:tcPr>
          <w:p w14:paraId="560A950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施工废渣/建筑垃圾</w:t>
            </w:r>
          </w:p>
        </w:tc>
        <w:tc>
          <w:tcPr>
            <w:tcW w:w="4680" w:type="dxa"/>
            <w:vAlign w:val="center"/>
          </w:tcPr>
          <w:p w14:paraId="2EEB59E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桩基钻渣和废弃土方堆存占用土地、产生扬尘。</w:t>
            </w:r>
          </w:p>
        </w:tc>
        <w:tc>
          <w:tcPr>
            <w:tcW w:w="1207" w:type="dxa"/>
            <w:vMerge w:val="restart"/>
            <w:vAlign w:val="center"/>
          </w:tcPr>
          <w:p w14:paraId="7880D10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短期可逆</w:t>
            </w:r>
          </w:p>
          <w:p w14:paraId="7A8B595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不利</w:t>
            </w:r>
          </w:p>
        </w:tc>
      </w:tr>
      <w:tr w14:paraId="1DEEC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20" w:type="dxa"/>
            <w:vMerge w:val="continue"/>
            <w:vAlign w:val="center"/>
          </w:tcPr>
          <w:p w14:paraId="0BFDF44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p>
        </w:tc>
        <w:tc>
          <w:tcPr>
            <w:tcW w:w="1416" w:type="dxa"/>
            <w:vAlign w:val="center"/>
          </w:tcPr>
          <w:p w14:paraId="40A6CBD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生活垃圾</w:t>
            </w:r>
          </w:p>
        </w:tc>
        <w:tc>
          <w:tcPr>
            <w:tcW w:w="4680" w:type="dxa"/>
            <w:vAlign w:val="center"/>
          </w:tcPr>
          <w:p w14:paraId="2A64449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施工</w:t>
            </w:r>
            <w:r>
              <w:rPr>
                <w:rFonts w:hint="default" w:ascii="Times New Roman" w:hAnsi="Times New Roman" w:cs="Times New Roman"/>
                <w:color w:val="auto"/>
                <w:kern w:val="0"/>
                <w:sz w:val="21"/>
                <w:szCs w:val="21"/>
                <w:lang w:val="en-US" w:eastAsia="zh-CN" w:bidi="ar"/>
              </w:rPr>
              <w:t>过程</w:t>
            </w:r>
            <w:r>
              <w:rPr>
                <w:rFonts w:hint="default" w:ascii="Times New Roman" w:hAnsi="Times New Roman" w:eastAsia="宋体" w:cs="Times New Roman"/>
                <w:color w:val="auto"/>
                <w:kern w:val="0"/>
                <w:sz w:val="21"/>
                <w:szCs w:val="21"/>
                <w:lang w:val="en-US" w:eastAsia="zh-CN" w:bidi="ar"/>
              </w:rPr>
              <w:t>生活垃圾</w:t>
            </w:r>
            <w:r>
              <w:rPr>
                <w:rFonts w:hint="default" w:ascii="Times New Roman" w:hAnsi="Times New Roman" w:cs="Times New Roman"/>
                <w:color w:val="auto"/>
                <w:kern w:val="0"/>
                <w:sz w:val="21"/>
                <w:szCs w:val="21"/>
                <w:lang w:val="en-US" w:eastAsia="zh-CN" w:bidi="ar"/>
              </w:rPr>
              <w:t>管理不当</w:t>
            </w:r>
            <w:r>
              <w:rPr>
                <w:rFonts w:hint="default" w:ascii="Times New Roman" w:hAnsi="Times New Roman" w:eastAsia="宋体" w:cs="Times New Roman"/>
                <w:color w:val="auto"/>
                <w:kern w:val="0"/>
                <w:sz w:val="21"/>
                <w:szCs w:val="21"/>
                <w:lang w:val="en-US" w:eastAsia="zh-CN" w:bidi="ar"/>
              </w:rPr>
              <w:t>污染环境卫生。</w:t>
            </w:r>
          </w:p>
        </w:tc>
        <w:tc>
          <w:tcPr>
            <w:tcW w:w="1207" w:type="dxa"/>
            <w:vMerge w:val="continue"/>
            <w:vAlign w:val="center"/>
          </w:tcPr>
          <w:p w14:paraId="282A409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p>
        </w:tc>
      </w:tr>
      <w:tr w14:paraId="290C8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20" w:type="dxa"/>
            <w:vMerge w:val="continue"/>
            <w:vAlign w:val="center"/>
          </w:tcPr>
          <w:p w14:paraId="70A7E90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p>
        </w:tc>
        <w:tc>
          <w:tcPr>
            <w:tcW w:w="1416" w:type="dxa"/>
            <w:vAlign w:val="center"/>
          </w:tcPr>
          <w:p w14:paraId="4A68B46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危废</w:t>
            </w:r>
          </w:p>
        </w:tc>
        <w:tc>
          <w:tcPr>
            <w:tcW w:w="4680" w:type="dxa"/>
            <w:vAlign w:val="center"/>
          </w:tcPr>
          <w:p w14:paraId="4E9D31C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废气处理设备产生的废焦油、导热油炉产生的废导热油以及设备维护产生的废润滑油、废活性炭对土地及水环境产生危害</w:t>
            </w:r>
          </w:p>
        </w:tc>
        <w:tc>
          <w:tcPr>
            <w:tcW w:w="1207" w:type="dxa"/>
            <w:vAlign w:val="center"/>
          </w:tcPr>
          <w:p w14:paraId="16E8DDA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长期不可</w:t>
            </w:r>
          </w:p>
          <w:p w14:paraId="2AA5670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逆不利</w:t>
            </w:r>
          </w:p>
        </w:tc>
      </w:tr>
      <w:tr w14:paraId="4BF12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20" w:type="dxa"/>
            <w:vMerge w:val="restart"/>
            <w:vAlign w:val="center"/>
          </w:tcPr>
          <w:p w14:paraId="366D39B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生态环境</w:t>
            </w:r>
          </w:p>
        </w:tc>
        <w:tc>
          <w:tcPr>
            <w:tcW w:w="1416" w:type="dxa"/>
            <w:vAlign w:val="center"/>
          </w:tcPr>
          <w:p w14:paraId="26E0C4C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永久占地</w:t>
            </w:r>
          </w:p>
        </w:tc>
        <w:tc>
          <w:tcPr>
            <w:tcW w:w="4680" w:type="dxa"/>
            <w:vAlign w:val="center"/>
          </w:tcPr>
          <w:p w14:paraId="1CAD31A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工程永久占地破坏植被，造成原有生物量的损失。</w:t>
            </w:r>
          </w:p>
        </w:tc>
        <w:tc>
          <w:tcPr>
            <w:tcW w:w="1207" w:type="dxa"/>
            <w:vAlign w:val="center"/>
          </w:tcPr>
          <w:p w14:paraId="616DBFC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长期不可</w:t>
            </w:r>
          </w:p>
          <w:p w14:paraId="1C7009A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逆不利</w:t>
            </w:r>
          </w:p>
        </w:tc>
      </w:tr>
      <w:tr w14:paraId="1DA4D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20" w:type="dxa"/>
            <w:vMerge w:val="continue"/>
            <w:vAlign w:val="center"/>
          </w:tcPr>
          <w:p w14:paraId="1DE7465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p>
        </w:tc>
        <w:tc>
          <w:tcPr>
            <w:tcW w:w="1416" w:type="dxa"/>
            <w:vAlign w:val="center"/>
          </w:tcPr>
          <w:p w14:paraId="6559FE7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临时占地</w:t>
            </w:r>
          </w:p>
        </w:tc>
        <w:tc>
          <w:tcPr>
            <w:tcW w:w="4680" w:type="dxa"/>
            <w:vAlign w:val="center"/>
          </w:tcPr>
          <w:p w14:paraId="0BDDCDD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临时占地破坏植被，增加水土流失量。</w:t>
            </w:r>
          </w:p>
        </w:tc>
        <w:tc>
          <w:tcPr>
            <w:tcW w:w="1207" w:type="dxa"/>
            <w:vMerge w:val="restart"/>
            <w:vAlign w:val="center"/>
          </w:tcPr>
          <w:p w14:paraId="64FC055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短期可逆</w:t>
            </w:r>
            <w:r>
              <w:rPr>
                <w:rFonts w:hint="default" w:ascii="Times New Roman" w:hAnsi="Times New Roman" w:cs="Times New Roman"/>
                <w:color w:val="auto"/>
                <w:kern w:val="0"/>
                <w:sz w:val="21"/>
                <w:szCs w:val="21"/>
                <w:lang w:val="en-US" w:eastAsia="zh-CN" w:bidi="ar"/>
              </w:rPr>
              <w:t>不利</w:t>
            </w:r>
          </w:p>
        </w:tc>
      </w:tr>
      <w:tr w14:paraId="4ECE9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20" w:type="dxa"/>
            <w:vMerge w:val="continue"/>
            <w:vAlign w:val="center"/>
          </w:tcPr>
          <w:p w14:paraId="594A7BC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p>
        </w:tc>
        <w:tc>
          <w:tcPr>
            <w:tcW w:w="1416" w:type="dxa"/>
            <w:vAlign w:val="center"/>
          </w:tcPr>
          <w:p w14:paraId="252BB26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施工活动</w:t>
            </w:r>
          </w:p>
        </w:tc>
        <w:tc>
          <w:tcPr>
            <w:tcW w:w="4680" w:type="dxa"/>
            <w:vAlign w:val="center"/>
          </w:tcPr>
          <w:p w14:paraId="2A3649E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施工活动地表开挖、建材堆放和施工人员活动对植被和景观产生破坏。施工管理不当对生态空间管控区域和敏感水体水质等产生影响。</w:t>
            </w:r>
          </w:p>
        </w:tc>
        <w:tc>
          <w:tcPr>
            <w:tcW w:w="1207" w:type="dxa"/>
            <w:vMerge w:val="continue"/>
            <w:vAlign w:val="center"/>
          </w:tcPr>
          <w:p w14:paraId="1F34010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p>
        </w:tc>
      </w:tr>
    </w:tbl>
    <w:p w14:paraId="1792142C">
      <w:pPr>
        <w:pStyle w:val="5"/>
        <w:keepNext/>
        <w:keepLines/>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3.</w:t>
      </w:r>
      <w:r>
        <w:rPr>
          <w:rFonts w:hint="eastAsia" w:ascii="Times New Roman" w:hAnsi="Times New Roman" w:cs="Times New Roman"/>
          <w:color w:val="auto"/>
          <w:lang w:val="en-US" w:eastAsia="zh-CN"/>
        </w:rPr>
        <w:t>3</w:t>
      </w:r>
      <w:r>
        <w:rPr>
          <w:rFonts w:hint="default" w:ascii="Times New Roman" w:hAnsi="Times New Roman" w:cs="Times New Roman"/>
          <w:color w:val="auto"/>
          <w:lang w:val="en-US" w:eastAsia="zh-CN"/>
        </w:rPr>
        <w:t>.2.3 运营期</w:t>
      </w:r>
    </w:p>
    <w:p w14:paraId="4326A9A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本项目运营期对环境的影响分析见表3.</w:t>
      </w:r>
      <w:r>
        <w:rPr>
          <w:rFonts w:hint="eastAsia" w:ascii="Times New Roman" w:hAnsi="Times New Roman"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-2。</w:t>
      </w:r>
    </w:p>
    <w:p w14:paraId="44DCF3D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
        </w:rPr>
        <w:t>表3.</w:t>
      </w:r>
      <w:r>
        <w:rPr>
          <w:rFonts w:hint="eastAsia" w:ascii="Times New Roman" w:hAnsi="Times New Roman" w:cs="Times New Roman"/>
          <w:b/>
          <w:bCs/>
          <w:color w:val="auto"/>
          <w:kern w:val="0"/>
          <w:sz w:val="21"/>
          <w:szCs w:val="21"/>
          <w:lang w:val="en-US" w:eastAsia="zh-CN" w:bidi="ar"/>
        </w:rPr>
        <w:t>3</w:t>
      </w:r>
      <w:r>
        <w:rPr>
          <w:rFonts w:hint="default" w:ascii="Times New Roman" w:hAnsi="Times New Roman" w:eastAsia="宋体" w:cs="Times New Roman"/>
          <w:b/>
          <w:bCs/>
          <w:color w:val="auto"/>
          <w:kern w:val="0"/>
          <w:sz w:val="21"/>
          <w:szCs w:val="21"/>
          <w:lang w:val="en-US" w:eastAsia="zh-CN" w:bidi="ar"/>
        </w:rPr>
        <w:t>-2 运营期环境影响分析</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2"/>
        <w:gridCol w:w="2352"/>
        <w:gridCol w:w="3444"/>
        <w:gridCol w:w="1495"/>
      </w:tblGrid>
      <w:tr w14:paraId="7FC2E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2" w:type="dxa"/>
            <w:vAlign w:val="center"/>
          </w:tcPr>
          <w:p w14:paraId="2FCEE5C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b/>
                <w:bCs/>
                <w:color w:val="auto"/>
                <w:kern w:val="0"/>
                <w:sz w:val="21"/>
                <w:szCs w:val="21"/>
                <w:lang w:val="en-US" w:eastAsia="zh-CN" w:bidi="ar"/>
              </w:rPr>
              <w:t>环境要素</w:t>
            </w:r>
          </w:p>
        </w:tc>
        <w:tc>
          <w:tcPr>
            <w:tcW w:w="2352" w:type="dxa"/>
            <w:vAlign w:val="center"/>
          </w:tcPr>
          <w:p w14:paraId="3A5AB91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b/>
                <w:bCs/>
                <w:color w:val="auto"/>
                <w:kern w:val="0"/>
                <w:sz w:val="21"/>
                <w:szCs w:val="21"/>
                <w:lang w:val="en-US" w:eastAsia="zh-CN" w:bidi="ar"/>
              </w:rPr>
              <w:t>影响因素</w:t>
            </w:r>
          </w:p>
        </w:tc>
        <w:tc>
          <w:tcPr>
            <w:tcW w:w="3444" w:type="dxa"/>
            <w:vAlign w:val="center"/>
          </w:tcPr>
          <w:p w14:paraId="69AA576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b/>
                <w:bCs/>
                <w:color w:val="auto"/>
                <w:kern w:val="0"/>
                <w:sz w:val="21"/>
                <w:szCs w:val="21"/>
                <w:lang w:val="en-US" w:eastAsia="zh-CN" w:bidi="ar"/>
              </w:rPr>
              <w:t>环境影响</w:t>
            </w:r>
          </w:p>
        </w:tc>
        <w:tc>
          <w:tcPr>
            <w:tcW w:w="1495" w:type="dxa"/>
            <w:vAlign w:val="center"/>
          </w:tcPr>
          <w:p w14:paraId="4644880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b/>
                <w:bCs/>
                <w:color w:val="auto"/>
                <w:kern w:val="0"/>
                <w:sz w:val="21"/>
                <w:szCs w:val="21"/>
                <w:lang w:val="en-US" w:eastAsia="zh-CN" w:bidi="ar"/>
              </w:rPr>
              <w:t>影响性质</w:t>
            </w:r>
          </w:p>
        </w:tc>
      </w:tr>
      <w:tr w14:paraId="46FF1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2" w:type="dxa"/>
            <w:vAlign w:val="center"/>
          </w:tcPr>
          <w:p w14:paraId="0033727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声环境</w:t>
            </w:r>
          </w:p>
        </w:tc>
        <w:tc>
          <w:tcPr>
            <w:tcW w:w="2352" w:type="dxa"/>
            <w:vAlign w:val="center"/>
          </w:tcPr>
          <w:p w14:paraId="4B3CE67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交通噪声</w:t>
            </w:r>
          </w:p>
        </w:tc>
        <w:tc>
          <w:tcPr>
            <w:tcW w:w="3444" w:type="dxa"/>
            <w:vAlign w:val="center"/>
          </w:tcPr>
          <w:p w14:paraId="27C68C7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交通噪声影响沿线声环境保护目标，干扰居民正常的生产、生活。</w:t>
            </w:r>
          </w:p>
        </w:tc>
        <w:tc>
          <w:tcPr>
            <w:tcW w:w="1495" w:type="dxa"/>
            <w:vAlign w:val="center"/>
          </w:tcPr>
          <w:p w14:paraId="7227E4A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长期不利</w:t>
            </w:r>
          </w:p>
          <w:p w14:paraId="74A10A7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不可逆</w:t>
            </w:r>
          </w:p>
        </w:tc>
      </w:tr>
      <w:tr w14:paraId="257B4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2" w:type="dxa"/>
            <w:vAlign w:val="center"/>
          </w:tcPr>
          <w:p w14:paraId="7966D28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大气环境</w:t>
            </w:r>
          </w:p>
        </w:tc>
        <w:tc>
          <w:tcPr>
            <w:tcW w:w="2352" w:type="dxa"/>
            <w:vAlign w:val="center"/>
          </w:tcPr>
          <w:p w14:paraId="69C81A5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汽车尾气</w:t>
            </w:r>
          </w:p>
        </w:tc>
        <w:tc>
          <w:tcPr>
            <w:tcW w:w="3444" w:type="dxa"/>
            <w:vAlign w:val="center"/>
          </w:tcPr>
          <w:p w14:paraId="4EE840A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汽车尾气无组织排放对沿线环境空气质量造成影响。</w:t>
            </w:r>
          </w:p>
        </w:tc>
        <w:tc>
          <w:tcPr>
            <w:tcW w:w="1495" w:type="dxa"/>
            <w:vAlign w:val="center"/>
          </w:tcPr>
          <w:p w14:paraId="3BDE57A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长期不利</w:t>
            </w:r>
          </w:p>
          <w:p w14:paraId="70F8A0E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不可逆</w:t>
            </w:r>
          </w:p>
        </w:tc>
      </w:tr>
      <w:tr w14:paraId="773D3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2" w:type="dxa"/>
            <w:vMerge w:val="restart"/>
            <w:vAlign w:val="center"/>
          </w:tcPr>
          <w:p w14:paraId="64F551C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地表水环境</w:t>
            </w:r>
          </w:p>
        </w:tc>
        <w:tc>
          <w:tcPr>
            <w:tcW w:w="2352" w:type="dxa"/>
            <w:vAlign w:val="center"/>
          </w:tcPr>
          <w:p w14:paraId="0047AA1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桥面/路面径流</w:t>
            </w:r>
          </w:p>
        </w:tc>
        <w:tc>
          <w:tcPr>
            <w:tcW w:w="3444" w:type="dxa"/>
            <w:vAlign w:val="center"/>
          </w:tcPr>
          <w:p w14:paraId="7331478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降雨冲刷路面产生的路面/桥面径流排入河流影响水质</w:t>
            </w:r>
            <w:r>
              <w:rPr>
                <w:rFonts w:hint="default" w:ascii="Times New Roman" w:hAnsi="Times New Roman" w:cs="Times New Roman"/>
                <w:color w:val="auto"/>
                <w:kern w:val="0"/>
                <w:sz w:val="21"/>
                <w:szCs w:val="21"/>
                <w:lang w:val="en-US" w:eastAsia="zh-CN" w:bidi="ar"/>
              </w:rPr>
              <w:t>。</w:t>
            </w:r>
          </w:p>
        </w:tc>
        <w:tc>
          <w:tcPr>
            <w:tcW w:w="1495" w:type="dxa"/>
            <w:vMerge w:val="restart"/>
            <w:vAlign w:val="center"/>
          </w:tcPr>
          <w:p w14:paraId="136F322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长期不利</w:t>
            </w:r>
          </w:p>
          <w:p w14:paraId="7B7A48B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不可逆</w:t>
            </w:r>
          </w:p>
        </w:tc>
      </w:tr>
      <w:tr w14:paraId="169D8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2" w:type="dxa"/>
            <w:vMerge w:val="continue"/>
            <w:vAlign w:val="center"/>
          </w:tcPr>
          <w:p w14:paraId="4C69516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p>
        </w:tc>
        <w:tc>
          <w:tcPr>
            <w:tcW w:w="2352" w:type="dxa"/>
            <w:vAlign w:val="center"/>
          </w:tcPr>
          <w:p w14:paraId="5C75FFE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附属设施等污水</w:t>
            </w:r>
          </w:p>
        </w:tc>
        <w:tc>
          <w:tcPr>
            <w:tcW w:w="3444" w:type="dxa"/>
            <w:vAlign w:val="center"/>
          </w:tcPr>
          <w:p w14:paraId="14F928B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cs="Times New Roman"/>
                <w:color w:val="auto"/>
                <w:kern w:val="0"/>
                <w:sz w:val="21"/>
                <w:szCs w:val="21"/>
                <w:lang w:val="en-US" w:eastAsia="zh-CN" w:bidi="ar"/>
              </w:rPr>
              <w:t>附属设施</w:t>
            </w:r>
            <w:r>
              <w:rPr>
                <w:rFonts w:hint="default" w:ascii="Times New Roman" w:hAnsi="Times New Roman" w:eastAsia="宋体" w:cs="Times New Roman"/>
                <w:color w:val="auto"/>
                <w:kern w:val="0"/>
                <w:sz w:val="21"/>
                <w:szCs w:val="21"/>
                <w:lang w:val="en-US" w:eastAsia="zh-CN" w:bidi="ar"/>
              </w:rPr>
              <w:t>生活污水生产废水处理不当影响周边水体水质。</w:t>
            </w:r>
          </w:p>
        </w:tc>
        <w:tc>
          <w:tcPr>
            <w:tcW w:w="1495" w:type="dxa"/>
            <w:vMerge w:val="continue"/>
            <w:vAlign w:val="center"/>
          </w:tcPr>
          <w:p w14:paraId="4D2B42B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p>
        </w:tc>
      </w:tr>
      <w:tr w14:paraId="0A20E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2" w:type="dxa"/>
            <w:vAlign w:val="center"/>
          </w:tcPr>
          <w:p w14:paraId="20421DC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固废</w:t>
            </w:r>
          </w:p>
        </w:tc>
        <w:tc>
          <w:tcPr>
            <w:tcW w:w="2352" w:type="dxa"/>
            <w:vAlign w:val="center"/>
          </w:tcPr>
          <w:p w14:paraId="6B3359D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附属设施生活垃圾</w:t>
            </w:r>
          </w:p>
        </w:tc>
        <w:tc>
          <w:tcPr>
            <w:tcW w:w="3444" w:type="dxa"/>
            <w:vAlign w:val="center"/>
          </w:tcPr>
          <w:p w14:paraId="7EA0062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固体废物的处理处置及贮运环节的环境影响。</w:t>
            </w:r>
          </w:p>
        </w:tc>
        <w:tc>
          <w:tcPr>
            <w:tcW w:w="1495" w:type="dxa"/>
            <w:vAlign w:val="center"/>
          </w:tcPr>
          <w:p w14:paraId="65F666E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长期不利</w:t>
            </w:r>
          </w:p>
          <w:p w14:paraId="46376AB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可逆</w:t>
            </w:r>
          </w:p>
        </w:tc>
      </w:tr>
      <w:tr w14:paraId="1D789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2" w:type="dxa"/>
            <w:vAlign w:val="center"/>
          </w:tcPr>
          <w:p w14:paraId="723C2D5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生态环境</w:t>
            </w:r>
          </w:p>
        </w:tc>
        <w:tc>
          <w:tcPr>
            <w:tcW w:w="2352" w:type="dxa"/>
            <w:vAlign w:val="center"/>
          </w:tcPr>
          <w:p w14:paraId="036BCD5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占地、阻隔影响</w:t>
            </w:r>
          </w:p>
        </w:tc>
        <w:tc>
          <w:tcPr>
            <w:tcW w:w="3444" w:type="dxa"/>
            <w:vAlign w:val="center"/>
          </w:tcPr>
          <w:p w14:paraId="2AEB499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①受区域盐渍土等不良地质的影响，路基高度平均在1.</w:t>
            </w:r>
            <w:r>
              <w:rPr>
                <w:rFonts w:hint="default" w:ascii="Times New Roman" w:hAnsi="Times New Roman" w:cs="Times New Roman"/>
                <w:color w:val="auto"/>
                <w:kern w:val="0"/>
                <w:sz w:val="21"/>
                <w:szCs w:val="21"/>
                <w:lang w:val="en-US" w:eastAsia="zh-CN" w:bidi="ar"/>
              </w:rPr>
              <w:t>5</w:t>
            </w:r>
            <w:r>
              <w:rPr>
                <w:rFonts w:hint="default" w:ascii="Times New Roman" w:hAnsi="Times New Roman" w:eastAsia="宋体" w:cs="Times New Roman"/>
                <w:color w:val="auto"/>
                <w:kern w:val="0"/>
                <w:sz w:val="21"/>
                <w:szCs w:val="21"/>
                <w:lang w:val="en-US" w:eastAsia="zh-CN" w:bidi="ar"/>
              </w:rPr>
              <w:t>m；②本项目可能会对陆生野生动物的活动区间产生阻隔影响；③工程建设对土地荒漠化、沙漠化的影响。</w:t>
            </w:r>
          </w:p>
        </w:tc>
        <w:tc>
          <w:tcPr>
            <w:tcW w:w="1495" w:type="dxa"/>
            <w:vAlign w:val="center"/>
          </w:tcPr>
          <w:p w14:paraId="291B917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长期不利、</w:t>
            </w:r>
          </w:p>
          <w:p w14:paraId="5DF5B65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不可逆</w:t>
            </w:r>
          </w:p>
        </w:tc>
      </w:tr>
      <w:tr w14:paraId="77CAE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2" w:type="dxa"/>
            <w:vAlign w:val="center"/>
          </w:tcPr>
          <w:p w14:paraId="12A7518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环境风险</w:t>
            </w:r>
          </w:p>
        </w:tc>
        <w:tc>
          <w:tcPr>
            <w:tcW w:w="2352" w:type="dxa"/>
            <w:vAlign w:val="center"/>
          </w:tcPr>
          <w:p w14:paraId="42236FB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危险品运输事故</w:t>
            </w:r>
          </w:p>
        </w:tc>
        <w:tc>
          <w:tcPr>
            <w:tcW w:w="3444" w:type="dxa"/>
            <w:vAlign w:val="center"/>
          </w:tcPr>
          <w:p w14:paraId="39745F3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装载化学危险品的车辆因交通事故发生泄漏，产生环境风险。</w:t>
            </w:r>
          </w:p>
        </w:tc>
        <w:tc>
          <w:tcPr>
            <w:tcW w:w="1495" w:type="dxa"/>
            <w:vAlign w:val="center"/>
          </w:tcPr>
          <w:p w14:paraId="24CEF44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长期不利</w:t>
            </w:r>
          </w:p>
          <w:p w14:paraId="6DBBC46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不可逆</w:t>
            </w:r>
          </w:p>
        </w:tc>
      </w:tr>
    </w:tbl>
    <w:p w14:paraId="00DA8967">
      <w:pPr>
        <w:pStyle w:val="5"/>
        <w:keepNext/>
        <w:keepLines/>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3.</w:t>
      </w:r>
      <w:r>
        <w:rPr>
          <w:rFonts w:hint="eastAsia" w:ascii="Times New Roman" w:hAnsi="Times New Roman" w:cs="Times New Roman"/>
          <w:color w:val="auto"/>
          <w:lang w:val="en-US" w:eastAsia="zh-CN"/>
        </w:rPr>
        <w:t>3</w:t>
      </w:r>
      <w:r>
        <w:rPr>
          <w:rFonts w:hint="default" w:ascii="Times New Roman" w:hAnsi="Times New Roman" w:cs="Times New Roman"/>
          <w:color w:val="auto"/>
          <w:lang w:val="en-US" w:eastAsia="zh-CN"/>
        </w:rPr>
        <w:t>.2.4 环境影响因子筛选</w:t>
      </w:r>
    </w:p>
    <w:p w14:paraId="52FF75D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根据以上分析，在现场踏勘的基础上，结合工程特征、区域环境和敏感点情况，确定拟建项目环境影响评价因子见表3.</w:t>
      </w:r>
      <w:r>
        <w:rPr>
          <w:rFonts w:hint="eastAsia" w:ascii="Times New Roman" w:hAnsi="Times New Roman"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-3。</w:t>
      </w:r>
    </w:p>
    <w:p w14:paraId="491684E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
        </w:rPr>
        <w:t>表3.</w:t>
      </w:r>
      <w:r>
        <w:rPr>
          <w:rFonts w:hint="eastAsia" w:ascii="Times New Roman" w:hAnsi="Times New Roman" w:cs="Times New Roman"/>
          <w:b/>
          <w:bCs/>
          <w:color w:val="auto"/>
          <w:kern w:val="0"/>
          <w:sz w:val="21"/>
          <w:szCs w:val="21"/>
          <w:lang w:val="en-US" w:eastAsia="zh-CN" w:bidi="ar"/>
        </w:rPr>
        <w:t>3</w:t>
      </w:r>
      <w:r>
        <w:rPr>
          <w:rFonts w:hint="default" w:ascii="Times New Roman" w:hAnsi="Times New Roman" w:eastAsia="宋体" w:cs="Times New Roman"/>
          <w:b/>
          <w:bCs/>
          <w:color w:val="auto"/>
          <w:kern w:val="0"/>
          <w:sz w:val="21"/>
          <w:szCs w:val="21"/>
          <w:lang w:val="en-US" w:eastAsia="zh-CN" w:bidi="ar"/>
        </w:rPr>
        <w:t>-3 拟建项目环境影响评价因子识别结果</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0"/>
        <w:gridCol w:w="4222"/>
        <w:gridCol w:w="2841"/>
      </w:tblGrid>
      <w:tr w14:paraId="33D7E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60" w:type="dxa"/>
            <w:vMerge w:val="restart"/>
            <w:vAlign w:val="center"/>
          </w:tcPr>
          <w:p w14:paraId="5618E4B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环境要素</w:t>
            </w:r>
          </w:p>
        </w:tc>
        <w:tc>
          <w:tcPr>
            <w:tcW w:w="7063" w:type="dxa"/>
            <w:gridSpan w:val="2"/>
            <w:vAlign w:val="center"/>
          </w:tcPr>
          <w:p w14:paraId="73B5141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评价因子</w:t>
            </w:r>
          </w:p>
        </w:tc>
      </w:tr>
      <w:tr w14:paraId="59781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60" w:type="dxa"/>
            <w:vMerge w:val="continue"/>
            <w:vAlign w:val="center"/>
          </w:tcPr>
          <w:p w14:paraId="1D441FE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p>
        </w:tc>
        <w:tc>
          <w:tcPr>
            <w:tcW w:w="4222" w:type="dxa"/>
            <w:vAlign w:val="center"/>
          </w:tcPr>
          <w:p w14:paraId="6E8BEA9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施工期</w:t>
            </w:r>
          </w:p>
        </w:tc>
        <w:tc>
          <w:tcPr>
            <w:tcW w:w="2841" w:type="dxa"/>
            <w:vAlign w:val="center"/>
          </w:tcPr>
          <w:p w14:paraId="0F377B1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营运期</w:t>
            </w:r>
          </w:p>
        </w:tc>
      </w:tr>
      <w:tr w14:paraId="7F847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60" w:type="dxa"/>
            <w:vAlign w:val="center"/>
          </w:tcPr>
          <w:p w14:paraId="29C12D7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生态环境</w:t>
            </w:r>
          </w:p>
        </w:tc>
        <w:tc>
          <w:tcPr>
            <w:tcW w:w="7063" w:type="dxa"/>
            <w:gridSpan w:val="2"/>
            <w:vAlign w:val="center"/>
          </w:tcPr>
          <w:p w14:paraId="0FE4EDA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永久性占地数量、临时性占地数量、占地类型及与当地相应土地数量的比例；植被占用种类及数量；水土流失，土地沙化及荒漠化等</w:t>
            </w:r>
          </w:p>
        </w:tc>
      </w:tr>
      <w:tr w14:paraId="1BB8A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60" w:type="dxa"/>
            <w:vAlign w:val="center"/>
          </w:tcPr>
          <w:p w14:paraId="308B301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环境空气</w:t>
            </w:r>
          </w:p>
        </w:tc>
        <w:tc>
          <w:tcPr>
            <w:tcW w:w="4222" w:type="dxa"/>
            <w:vAlign w:val="center"/>
          </w:tcPr>
          <w:p w14:paraId="53957A3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TSP</w:t>
            </w:r>
          </w:p>
        </w:tc>
        <w:tc>
          <w:tcPr>
            <w:tcW w:w="2841" w:type="dxa"/>
            <w:vAlign w:val="center"/>
          </w:tcPr>
          <w:p w14:paraId="44F7139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cs="Times New Roman"/>
                <w:color w:val="auto"/>
                <w:kern w:val="0"/>
                <w:sz w:val="21"/>
                <w:szCs w:val="21"/>
                <w:lang w:val="en-US" w:eastAsia="zh-CN" w:bidi="ar"/>
              </w:rPr>
              <w:t>THC</w:t>
            </w:r>
            <w:r>
              <w:rPr>
                <w:rFonts w:hint="default" w:ascii="Times New Roman" w:hAnsi="Times New Roman" w:eastAsia="宋体" w:cs="Times New Roman"/>
                <w:color w:val="auto"/>
                <w:kern w:val="0"/>
                <w:sz w:val="21"/>
                <w:szCs w:val="21"/>
                <w:lang w:val="en-US" w:eastAsia="zh-CN" w:bidi="ar"/>
              </w:rPr>
              <w:t>、NO</w:t>
            </w:r>
            <w:r>
              <w:rPr>
                <w:rFonts w:hint="default" w:ascii="Times New Roman" w:hAnsi="Times New Roman" w:cs="Times New Roman"/>
                <w:color w:val="auto"/>
                <w:kern w:val="0"/>
                <w:sz w:val="21"/>
                <w:szCs w:val="21"/>
                <w:vertAlign w:val="subscript"/>
                <w:lang w:val="en-US" w:eastAsia="zh-CN" w:bidi="ar"/>
              </w:rPr>
              <w:t>x</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CO</w:t>
            </w:r>
          </w:p>
        </w:tc>
      </w:tr>
      <w:tr w14:paraId="62CE8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60" w:type="dxa"/>
            <w:vAlign w:val="center"/>
          </w:tcPr>
          <w:p w14:paraId="2897590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水环境</w:t>
            </w:r>
          </w:p>
        </w:tc>
        <w:tc>
          <w:tcPr>
            <w:tcW w:w="4222" w:type="dxa"/>
            <w:vAlign w:val="center"/>
          </w:tcPr>
          <w:p w14:paraId="3991785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SS、动植物油、COD、石油类</w:t>
            </w:r>
          </w:p>
        </w:tc>
        <w:tc>
          <w:tcPr>
            <w:tcW w:w="2841" w:type="dxa"/>
            <w:vAlign w:val="center"/>
          </w:tcPr>
          <w:p w14:paraId="54F6D11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COD、SS、动植物油</w:t>
            </w:r>
          </w:p>
        </w:tc>
      </w:tr>
      <w:tr w14:paraId="40209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60" w:type="dxa"/>
            <w:vAlign w:val="center"/>
          </w:tcPr>
          <w:p w14:paraId="34CCB2C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声环境</w:t>
            </w:r>
          </w:p>
        </w:tc>
        <w:tc>
          <w:tcPr>
            <w:tcW w:w="4222" w:type="dxa"/>
            <w:vAlign w:val="center"/>
          </w:tcPr>
          <w:p w14:paraId="5AD0B65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等效连续A声级LAeq</w:t>
            </w:r>
          </w:p>
        </w:tc>
        <w:tc>
          <w:tcPr>
            <w:tcW w:w="2841" w:type="dxa"/>
            <w:vAlign w:val="center"/>
          </w:tcPr>
          <w:p w14:paraId="769A3FA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等效连续A声级LAeq</w:t>
            </w:r>
          </w:p>
        </w:tc>
      </w:tr>
    </w:tbl>
    <w:p w14:paraId="56752DCF">
      <w:pPr>
        <w:pStyle w:val="4"/>
        <w:keepNext/>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3.</w:t>
      </w:r>
      <w:r>
        <w:rPr>
          <w:rFonts w:hint="eastAsia" w:ascii="Times New Roman" w:hAnsi="Times New Roman" w:cs="Times New Roman"/>
          <w:color w:val="auto"/>
          <w:lang w:val="en-US" w:eastAsia="zh-CN"/>
        </w:rPr>
        <w:t>3</w:t>
      </w:r>
      <w:r>
        <w:rPr>
          <w:rFonts w:hint="default" w:ascii="Times New Roman" w:hAnsi="Times New Roman" w:cs="Times New Roman"/>
          <w:color w:val="auto"/>
          <w:lang w:val="en-US" w:eastAsia="zh-CN"/>
        </w:rPr>
        <w:t>.3 源强估算</w:t>
      </w:r>
    </w:p>
    <w:p w14:paraId="547B93F9">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3.</w:t>
      </w:r>
      <w:r>
        <w:rPr>
          <w:rFonts w:hint="eastAsia" w:ascii="Times New Roman" w:hAnsi="Times New Roman" w:cs="Times New Roman"/>
          <w:color w:val="auto"/>
          <w:lang w:val="en-US" w:eastAsia="zh-CN"/>
        </w:rPr>
        <w:t>3</w:t>
      </w:r>
      <w:r>
        <w:rPr>
          <w:rFonts w:hint="default" w:ascii="Times New Roman" w:hAnsi="Times New Roman" w:cs="Times New Roman"/>
          <w:color w:val="auto"/>
          <w:lang w:val="en-US" w:eastAsia="zh-CN"/>
        </w:rPr>
        <w:t>.3.1 施工期</w:t>
      </w:r>
    </w:p>
    <w:p w14:paraId="2A13F05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（1）施工期声环境污染源强</w:t>
      </w:r>
    </w:p>
    <w:p w14:paraId="667FB9E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公路施工期噪声主要来自施工开挖、钻孔、砂石料粉碎、混凝土浇筑等施工活动中的施工机械运行、车辆运输和机械加工修配等。</w:t>
      </w:r>
    </w:p>
    <w:p w14:paraId="451CB73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施工作业机械品种较多，路基填筑有推土机、压路机、装载机、平地机等；桥梁施工有卷扬机、推土机等；公路面层施工时有铲运机、平地机、</w:t>
      </w:r>
      <w:r>
        <w:rPr>
          <w:rFonts w:hint="default" w:ascii="Times New Roman" w:hAnsi="Times New Roman" w:cs="Times New Roman"/>
          <w:color w:val="auto"/>
          <w:kern w:val="0"/>
          <w:sz w:val="24"/>
          <w:szCs w:val="24"/>
          <w:lang w:val="en-US" w:eastAsia="zh-CN" w:bidi="ar"/>
        </w:rPr>
        <w:t>摊铺机</w:t>
      </w:r>
      <w:r>
        <w:rPr>
          <w:rFonts w:hint="default" w:ascii="Times New Roman" w:hAnsi="Times New Roman" w:eastAsia="宋体" w:cs="Times New Roman"/>
          <w:color w:val="auto"/>
          <w:kern w:val="0"/>
          <w:sz w:val="24"/>
          <w:szCs w:val="24"/>
          <w:lang w:val="en-US" w:eastAsia="zh-CN" w:bidi="ar"/>
        </w:rPr>
        <w:t>等。</w:t>
      </w:r>
    </w:p>
    <w:p w14:paraId="21C761F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这些机械运行时在距离声源5m处的噪声可高达84-90dB（A），联合作业时叠加影响更加突出。这些突发性非稳态噪声源将对施工人员和周围居民生活产生不利影响。</w:t>
      </w:r>
    </w:p>
    <w:p w14:paraId="0E6518E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本项目主要施工机械不同距离处的噪声源强见表3.</w:t>
      </w:r>
      <w:r>
        <w:rPr>
          <w:rFonts w:hint="eastAsia" w:ascii="Times New Roman" w:hAnsi="Times New Roman"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-4。</w:t>
      </w:r>
    </w:p>
    <w:p w14:paraId="0098370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
        </w:rPr>
        <w:t>表3.</w:t>
      </w:r>
      <w:r>
        <w:rPr>
          <w:rFonts w:hint="eastAsia" w:ascii="Times New Roman" w:hAnsi="Times New Roman" w:cs="Times New Roman"/>
          <w:b/>
          <w:bCs/>
          <w:color w:val="auto"/>
          <w:kern w:val="0"/>
          <w:sz w:val="21"/>
          <w:szCs w:val="21"/>
          <w:lang w:val="en-US" w:eastAsia="zh-CN" w:bidi="ar"/>
        </w:rPr>
        <w:t>3</w:t>
      </w:r>
      <w:r>
        <w:rPr>
          <w:rFonts w:hint="default" w:ascii="Times New Roman" w:hAnsi="Times New Roman" w:eastAsia="宋体" w:cs="Times New Roman"/>
          <w:b/>
          <w:bCs/>
          <w:color w:val="auto"/>
          <w:kern w:val="0"/>
          <w:sz w:val="21"/>
          <w:szCs w:val="21"/>
          <w:lang w:val="en-US" w:eastAsia="zh-CN" w:bidi="ar"/>
        </w:rPr>
        <w:t>-4 主要施工机械不同距离处的噪声级 单位：dB（A）</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1"/>
        <w:gridCol w:w="1101"/>
        <w:gridCol w:w="652"/>
        <w:gridCol w:w="748"/>
        <w:gridCol w:w="748"/>
        <w:gridCol w:w="752"/>
        <w:gridCol w:w="758"/>
        <w:gridCol w:w="758"/>
        <w:gridCol w:w="758"/>
        <w:gridCol w:w="758"/>
        <w:gridCol w:w="759"/>
      </w:tblGrid>
      <w:tr w14:paraId="74F34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dxa"/>
            <w:vAlign w:val="center"/>
          </w:tcPr>
          <w:p w14:paraId="4F22D6C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施工阶段</w:t>
            </w:r>
          </w:p>
        </w:tc>
        <w:tc>
          <w:tcPr>
            <w:tcW w:w="1101" w:type="dxa"/>
            <w:vAlign w:val="center"/>
          </w:tcPr>
          <w:p w14:paraId="2A0729C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机械名称</w:t>
            </w:r>
          </w:p>
        </w:tc>
        <w:tc>
          <w:tcPr>
            <w:tcW w:w="652" w:type="dxa"/>
            <w:vAlign w:val="center"/>
          </w:tcPr>
          <w:p w14:paraId="65E8810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5m</w:t>
            </w:r>
          </w:p>
        </w:tc>
        <w:tc>
          <w:tcPr>
            <w:tcW w:w="748" w:type="dxa"/>
            <w:vAlign w:val="center"/>
          </w:tcPr>
          <w:p w14:paraId="157EBA5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10m</w:t>
            </w:r>
          </w:p>
        </w:tc>
        <w:tc>
          <w:tcPr>
            <w:tcW w:w="748" w:type="dxa"/>
            <w:vAlign w:val="center"/>
          </w:tcPr>
          <w:p w14:paraId="4A3F0B6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50m</w:t>
            </w:r>
          </w:p>
        </w:tc>
        <w:tc>
          <w:tcPr>
            <w:tcW w:w="752" w:type="dxa"/>
            <w:vAlign w:val="center"/>
          </w:tcPr>
          <w:p w14:paraId="46F5A4E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80m</w:t>
            </w:r>
          </w:p>
        </w:tc>
        <w:tc>
          <w:tcPr>
            <w:tcW w:w="758" w:type="dxa"/>
            <w:vAlign w:val="center"/>
          </w:tcPr>
          <w:p w14:paraId="78A060C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100m</w:t>
            </w:r>
          </w:p>
        </w:tc>
        <w:tc>
          <w:tcPr>
            <w:tcW w:w="758" w:type="dxa"/>
            <w:vAlign w:val="center"/>
          </w:tcPr>
          <w:p w14:paraId="52C9670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150m</w:t>
            </w:r>
          </w:p>
        </w:tc>
        <w:tc>
          <w:tcPr>
            <w:tcW w:w="758" w:type="dxa"/>
            <w:vAlign w:val="center"/>
          </w:tcPr>
          <w:p w14:paraId="6132C0D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200m</w:t>
            </w:r>
          </w:p>
        </w:tc>
        <w:tc>
          <w:tcPr>
            <w:tcW w:w="758" w:type="dxa"/>
            <w:vAlign w:val="center"/>
          </w:tcPr>
          <w:p w14:paraId="350C2DF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250m</w:t>
            </w:r>
          </w:p>
        </w:tc>
        <w:tc>
          <w:tcPr>
            <w:tcW w:w="759" w:type="dxa"/>
            <w:vAlign w:val="center"/>
          </w:tcPr>
          <w:p w14:paraId="7A42324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300m</w:t>
            </w:r>
          </w:p>
        </w:tc>
      </w:tr>
      <w:tr w14:paraId="60B7C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dxa"/>
            <w:vMerge w:val="restart"/>
            <w:vAlign w:val="center"/>
          </w:tcPr>
          <w:p w14:paraId="4C5F9D0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基础施工阶段</w:t>
            </w:r>
          </w:p>
        </w:tc>
        <w:tc>
          <w:tcPr>
            <w:tcW w:w="1101" w:type="dxa"/>
            <w:vAlign w:val="center"/>
          </w:tcPr>
          <w:p w14:paraId="7106881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装载机</w:t>
            </w:r>
          </w:p>
        </w:tc>
        <w:tc>
          <w:tcPr>
            <w:tcW w:w="652" w:type="dxa"/>
            <w:vAlign w:val="center"/>
          </w:tcPr>
          <w:p w14:paraId="4BB69FC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90</w:t>
            </w:r>
          </w:p>
        </w:tc>
        <w:tc>
          <w:tcPr>
            <w:tcW w:w="748" w:type="dxa"/>
            <w:vAlign w:val="center"/>
          </w:tcPr>
          <w:p w14:paraId="070EBB6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84</w:t>
            </w:r>
          </w:p>
        </w:tc>
        <w:tc>
          <w:tcPr>
            <w:tcW w:w="748" w:type="dxa"/>
            <w:vAlign w:val="center"/>
          </w:tcPr>
          <w:p w14:paraId="3BCD385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70</w:t>
            </w:r>
          </w:p>
        </w:tc>
        <w:tc>
          <w:tcPr>
            <w:tcW w:w="752" w:type="dxa"/>
            <w:vAlign w:val="center"/>
          </w:tcPr>
          <w:p w14:paraId="3C785FF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65.9</w:t>
            </w:r>
          </w:p>
        </w:tc>
        <w:tc>
          <w:tcPr>
            <w:tcW w:w="758" w:type="dxa"/>
            <w:vAlign w:val="center"/>
          </w:tcPr>
          <w:p w14:paraId="4657500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64</w:t>
            </w:r>
          </w:p>
        </w:tc>
        <w:tc>
          <w:tcPr>
            <w:tcW w:w="758" w:type="dxa"/>
            <w:vAlign w:val="center"/>
          </w:tcPr>
          <w:p w14:paraId="5E18ABC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60.5</w:t>
            </w:r>
          </w:p>
        </w:tc>
        <w:tc>
          <w:tcPr>
            <w:tcW w:w="758" w:type="dxa"/>
            <w:vAlign w:val="center"/>
          </w:tcPr>
          <w:p w14:paraId="795684C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58</w:t>
            </w:r>
          </w:p>
        </w:tc>
        <w:tc>
          <w:tcPr>
            <w:tcW w:w="758" w:type="dxa"/>
            <w:vAlign w:val="center"/>
          </w:tcPr>
          <w:p w14:paraId="6D81F78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56</w:t>
            </w:r>
          </w:p>
        </w:tc>
        <w:tc>
          <w:tcPr>
            <w:tcW w:w="759" w:type="dxa"/>
            <w:vAlign w:val="center"/>
          </w:tcPr>
          <w:p w14:paraId="794737D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54.4</w:t>
            </w:r>
          </w:p>
        </w:tc>
      </w:tr>
      <w:tr w14:paraId="586C6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dxa"/>
            <w:vMerge w:val="continue"/>
            <w:vAlign w:val="center"/>
          </w:tcPr>
          <w:p w14:paraId="11E817A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p>
        </w:tc>
        <w:tc>
          <w:tcPr>
            <w:tcW w:w="1101" w:type="dxa"/>
            <w:vAlign w:val="center"/>
          </w:tcPr>
          <w:p w14:paraId="641327C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推土机</w:t>
            </w:r>
          </w:p>
        </w:tc>
        <w:tc>
          <w:tcPr>
            <w:tcW w:w="652" w:type="dxa"/>
            <w:vAlign w:val="center"/>
          </w:tcPr>
          <w:p w14:paraId="2852CE8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86</w:t>
            </w:r>
          </w:p>
        </w:tc>
        <w:tc>
          <w:tcPr>
            <w:tcW w:w="748" w:type="dxa"/>
            <w:vAlign w:val="center"/>
          </w:tcPr>
          <w:p w14:paraId="40459EF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80</w:t>
            </w:r>
          </w:p>
        </w:tc>
        <w:tc>
          <w:tcPr>
            <w:tcW w:w="748" w:type="dxa"/>
            <w:vAlign w:val="center"/>
          </w:tcPr>
          <w:p w14:paraId="660A2C2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66</w:t>
            </w:r>
          </w:p>
        </w:tc>
        <w:tc>
          <w:tcPr>
            <w:tcW w:w="752" w:type="dxa"/>
            <w:vAlign w:val="center"/>
          </w:tcPr>
          <w:p w14:paraId="4B0E775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61.9</w:t>
            </w:r>
          </w:p>
        </w:tc>
        <w:tc>
          <w:tcPr>
            <w:tcW w:w="758" w:type="dxa"/>
            <w:vAlign w:val="center"/>
          </w:tcPr>
          <w:p w14:paraId="1DE241D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60</w:t>
            </w:r>
          </w:p>
        </w:tc>
        <w:tc>
          <w:tcPr>
            <w:tcW w:w="758" w:type="dxa"/>
            <w:vAlign w:val="center"/>
          </w:tcPr>
          <w:p w14:paraId="643D05C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56.5</w:t>
            </w:r>
          </w:p>
        </w:tc>
        <w:tc>
          <w:tcPr>
            <w:tcW w:w="758" w:type="dxa"/>
            <w:vAlign w:val="center"/>
          </w:tcPr>
          <w:p w14:paraId="3A91391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54</w:t>
            </w:r>
          </w:p>
        </w:tc>
        <w:tc>
          <w:tcPr>
            <w:tcW w:w="758" w:type="dxa"/>
            <w:vAlign w:val="center"/>
          </w:tcPr>
          <w:p w14:paraId="3B1D49E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52</w:t>
            </w:r>
          </w:p>
        </w:tc>
        <w:tc>
          <w:tcPr>
            <w:tcW w:w="759" w:type="dxa"/>
            <w:vAlign w:val="center"/>
          </w:tcPr>
          <w:p w14:paraId="64D7264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50.4</w:t>
            </w:r>
          </w:p>
        </w:tc>
      </w:tr>
      <w:tr w14:paraId="13841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dxa"/>
            <w:vMerge w:val="continue"/>
            <w:vAlign w:val="center"/>
          </w:tcPr>
          <w:p w14:paraId="7B2EE28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p>
        </w:tc>
        <w:tc>
          <w:tcPr>
            <w:tcW w:w="1101" w:type="dxa"/>
            <w:vAlign w:val="center"/>
          </w:tcPr>
          <w:p w14:paraId="0CB731D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挖掘机</w:t>
            </w:r>
          </w:p>
        </w:tc>
        <w:tc>
          <w:tcPr>
            <w:tcW w:w="652" w:type="dxa"/>
            <w:vAlign w:val="center"/>
          </w:tcPr>
          <w:p w14:paraId="3E61A06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84</w:t>
            </w:r>
          </w:p>
        </w:tc>
        <w:tc>
          <w:tcPr>
            <w:tcW w:w="748" w:type="dxa"/>
            <w:vAlign w:val="center"/>
          </w:tcPr>
          <w:p w14:paraId="50B48F5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78</w:t>
            </w:r>
          </w:p>
        </w:tc>
        <w:tc>
          <w:tcPr>
            <w:tcW w:w="748" w:type="dxa"/>
            <w:vAlign w:val="center"/>
          </w:tcPr>
          <w:p w14:paraId="2F16370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64</w:t>
            </w:r>
          </w:p>
        </w:tc>
        <w:tc>
          <w:tcPr>
            <w:tcW w:w="752" w:type="dxa"/>
            <w:vAlign w:val="center"/>
          </w:tcPr>
          <w:p w14:paraId="5CCC225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59.9</w:t>
            </w:r>
          </w:p>
        </w:tc>
        <w:tc>
          <w:tcPr>
            <w:tcW w:w="758" w:type="dxa"/>
            <w:vAlign w:val="center"/>
          </w:tcPr>
          <w:p w14:paraId="32C6DEE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58</w:t>
            </w:r>
          </w:p>
        </w:tc>
        <w:tc>
          <w:tcPr>
            <w:tcW w:w="758" w:type="dxa"/>
            <w:vAlign w:val="center"/>
          </w:tcPr>
          <w:p w14:paraId="4C0AFB4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54.5</w:t>
            </w:r>
          </w:p>
        </w:tc>
        <w:tc>
          <w:tcPr>
            <w:tcW w:w="758" w:type="dxa"/>
            <w:vAlign w:val="center"/>
          </w:tcPr>
          <w:p w14:paraId="5FB1A06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52</w:t>
            </w:r>
          </w:p>
        </w:tc>
        <w:tc>
          <w:tcPr>
            <w:tcW w:w="758" w:type="dxa"/>
            <w:vAlign w:val="center"/>
          </w:tcPr>
          <w:p w14:paraId="1B5330D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50</w:t>
            </w:r>
          </w:p>
        </w:tc>
        <w:tc>
          <w:tcPr>
            <w:tcW w:w="759" w:type="dxa"/>
            <w:vAlign w:val="center"/>
          </w:tcPr>
          <w:p w14:paraId="3DEC417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48.4</w:t>
            </w:r>
          </w:p>
        </w:tc>
      </w:tr>
      <w:tr w14:paraId="79967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dxa"/>
            <w:vMerge w:val="continue"/>
            <w:vAlign w:val="center"/>
          </w:tcPr>
          <w:p w14:paraId="31FC72C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p>
        </w:tc>
        <w:tc>
          <w:tcPr>
            <w:tcW w:w="1101" w:type="dxa"/>
            <w:vAlign w:val="center"/>
          </w:tcPr>
          <w:p w14:paraId="3FCBDAF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打桩机</w:t>
            </w:r>
          </w:p>
        </w:tc>
        <w:tc>
          <w:tcPr>
            <w:tcW w:w="652" w:type="dxa"/>
            <w:vAlign w:val="center"/>
          </w:tcPr>
          <w:p w14:paraId="26C98F1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100</w:t>
            </w:r>
          </w:p>
        </w:tc>
        <w:tc>
          <w:tcPr>
            <w:tcW w:w="748" w:type="dxa"/>
            <w:vAlign w:val="center"/>
          </w:tcPr>
          <w:p w14:paraId="7B27901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94</w:t>
            </w:r>
          </w:p>
        </w:tc>
        <w:tc>
          <w:tcPr>
            <w:tcW w:w="748" w:type="dxa"/>
            <w:vAlign w:val="center"/>
          </w:tcPr>
          <w:p w14:paraId="0C08981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80</w:t>
            </w:r>
          </w:p>
        </w:tc>
        <w:tc>
          <w:tcPr>
            <w:tcW w:w="752" w:type="dxa"/>
            <w:vAlign w:val="center"/>
          </w:tcPr>
          <w:p w14:paraId="403D53A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75.9</w:t>
            </w:r>
          </w:p>
        </w:tc>
        <w:tc>
          <w:tcPr>
            <w:tcW w:w="758" w:type="dxa"/>
            <w:vAlign w:val="center"/>
          </w:tcPr>
          <w:p w14:paraId="7817BA0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74</w:t>
            </w:r>
          </w:p>
        </w:tc>
        <w:tc>
          <w:tcPr>
            <w:tcW w:w="758" w:type="dxa"/>
            <w:vAlign w:val="center"/>
          </w:tcPr>
          <w:p w14:paraId="4682777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70.5</w:t>
            </w:r>
          </w:p>
        </w:tc>
        <w:tc>
          <w:tcPr>
            <w:tcW w:w="758" w:type="dxa"/>
            <w:vAlign w:val="center"/>
          </w:tcPr>
          <w:p w14:paraId="6A05244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68</w:t>
            </w:r>
          </w:p>
        </w:tc>
        <w:tc>
          <w:tcPr>
            <w:tcW w:w="758" w:type="dxa"/>
            <w:vAlign w:val="center"/>
          </w:tcPr>
          <w:p w14:paraId="20F50AD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66</w:t>
            </w:r>
          </w:p>
        </w:tc>
        <w:tc>
          <w:tcPr>
            <w:tcW w:w="759" w:type="dxa"/>
            <w:vAlign w:val="center"/>
          </w:tcPr>
          <w:p w14:paraId="1367E16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64.4</w:t>
            </w:r>
          </w:p>
        </w:tc>
      </w:tr>
      <w:tr w14:paraId="0D76C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dxa"/>
            <w:vMerge w:val="restart"/>
            <w:vAlign w:val="center"/>
          </w:tcPr>
          <w:p w14:paraId="390793C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路面施工阶段</w:t>
            </w:r>
          </w:p>
        </w:tc>
        <w:tc>
          <w:tcPr>
            <w:tcW w:w="1101" w:type="dxa"/>
            <w:vAlign w:val="center"/>
          </w:tcPr>
          <w:p w14:paraId="3D5DDC9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压路机</w:t>
            </w:r>
          </w:p>
        </w:tc>
        <w:tc>
          <w:tcPr>
            <w:tcW w:w="652" w:type="dxa"/>
            <w:vAlign w:val="center"/>
          </w:tcPr>
          <w:p w14:paraId="796E295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86</w:t>
            </w:r>
          </w:p>
        </w:tc>
        <w:tc>
          <w:tcPr>
            <w:tcW w:w="748" w:type="dxa"/>
            <w:vAlign w:val="center"/>
          </w:tcPr>
          <w:p w14:paraId="63B4655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80</w:t>
            </w:r>
          </w:p>
        </w:tc>
        <w:tc>
          <w:tcPr>
            <w:tcW w:w="748" w:type="dxa"/>
            <w:vAlign w:val="center"/>
          </w:tcPr>
          <w:p w14:paraId="65E7D38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66</w:t>
            </w:r>
          </w:p>
        </w:tc>
        <w:tc>
          <w:tcPr>
            <w:tcW w:w="752" w:type="dxa"/>
            <w:vAlign w:val="center"/>
          </w:tcPr>
          <w:p w14:paraId="314B12A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61.9</w:t>
            </w:r>
          </w:p>
        </w:tc>
        <w:tc>
          <w:tcPr>
            <w:tcW w:w="758" w:type="dxa"/>
            <w:vAlign w:val="center"/>
          </w:tcPr>
          <w:p w14:paraId="55A2E44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60</w:t>
            </w:r>
          </w:p>
        </w:tc>
        <w:tc>
          <w:tcPr>
            <w:tcW w:w="758" w:type="dxa"/>
            <w:vAlign w:val="center"/>
          </w:tcPr>
          <w:p w14:paraId="04A4008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56.5</w:t>
            </w:r>
          </w:p>
        </w:tc>
        <w:tc>
          <w:tcPr>
            <w:tcW w:w="758" w:type="dxa"/>
            <w:vAlign w:val="center"/>
          </w:tcPr>
          <w:p w14:paraId="31A329D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54</w:t>
            </w:r>
          </w:p>
        </w:tc>
        <w:tc>
          <w:tcPr>
            <w:tcW w:w="758" w:type="dxa"/>
            <w:vAlign w:val="center"/>
          </w:tcPr>
          <w:p w14:paraId="249BF6E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52</w:t>
            </w:r>
          </w:p>
        </w:tc>
        <w:tc>
          <w:tcPr>
            <w:tcW w:w="759" w:type="dxa"/>
            <w:vAlign w:val="center"/>
          </w:tcPr>
          <w:p w14:paraId="0DD2909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50.4</w:t>
            </w:r>
          </w:p>
        </w:tc>
      </w:tr>
      <w:tr w14:paraId="34344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dxa"/>
            <w:vMerge w:val="continue"/>
            <w:vAlign w:val="center"/>
          </w:tcPr>
          <w:p w14:paraId="0CE1F28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p>
        </w:tc>
        <w:tc>
          <w:tcPr>
            <w:tcW w:w="1101" w:type="dxa"/>
            <w:vAlign w:val="center"/>
          </w:tcPr>
          <w:p w14:paraId="6D637F2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平地机</w:t>
            </w:r>
          </w:p>
        </w:tc>
        <w:tc>
          <w:tcPr>
            <w:tcW w:w="652" w:type="dxa"/>
            <w:vAlign w:val="center"/>
          </w:tcPr>
          <w:p w14:paraId="139C21B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90</w:t>
            </w:r>
          </w:p>
        </w:tc>
        <w:tc>
          <w:tcPr>
            <w:tcW w:w="748" w:type="dxa"/>
            <w:vAlign w:val="center"/>
          </w:tcPr>
          <w:p w14:paraId="755A25A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84</w:t>
            </w:r>
          </w:p>
        </w:tc>
        <w:tc>
          <w:tcPr>
            <w:tcW w:w="748" w:type="dxa"/>
            <w:vAlign w:val="center"/>
          </w:tcPr>
          <w:p w14:paraId="54C28B1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70</w:t>
            </w:r>
          </w:p>
        </w:tc>
        <w:tc>
          <w:tcPr>
            <w:tcW w:w="752" w:type="dxa"/>
            <w:vAlign w:val="center"/>
          </w:tcPr>
          <w:p w14:paraId="4FABD85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65.9</w:t>
            </w:r>
          </w:p>
        </w:tc>
        <w:tc>
          <w:tcPr>
            <w:tcW w:w="758" w:type="dxa"/>
            <w:vAlign w:val="center"/>
          </w:tcPr>
          <w:p w14:paraId="5B25538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64</w:t>
            </w:r>
          </w:p>
        </w:tc>
        <w:tc>
          <w:tcPr>
            <w:tcW w:w="758" w:type="dxa"/>
            <w:vAlign w:val="center"/>
          </w:tcPr>
          <w:p w14:paraId="4692D0B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60.5</w:t>
            </w:r>
          </w:p>
        </w:tc>
        <w:tc>
          <w:tcPr>
            <w:tcW w:w="758" w:type="dxa"/>
            <w:vAlign w:val="center"/>
          </w:tcPr>
          <w:p w14:paraId="0D5DA13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58</w:t>
            </w:r>
          </w:p>
        </w:tc>
        <w:tc>
          <w:tcPr>
            <w:tcW w:w="758" w:type="dxa"/>
            <w:vAlign w:val="center"/>
          </w:tcPr>
          <w:p w14:paraId="6394F02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56</w:t>
            </w:r>
          </w:p>
        </w:tc>
        <w:tc>
          <w:tcPr>
            <w:tcW w:w="759" w:type="dxa"/>
            <w:vAlign w:val="center"/>
          </w:tcPr>
          <w:p w14:paraId="2E25272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54.4</w:t>
            </w:r>
          </w:p>
        </w:tc>
      </w:tr>
      <w:tr w14:paraId="05C3F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dxa"/>
            <w:vMerge w:val="continue"/>
            <w:vAlign w:val="center"/>
          </w:tcPr>
          <w:p w14:paraId="7BFF1A4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p>
        </w:tc>
        <w:tc>
          <w:tcPr>
            <w:tcW w:w="1101" w:type="dxa"/>
            <w:vAlign w:val="center"/>
          </w:tcPr>
          <w:p w14:paraId="4418CF9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摊铺机</w:t>
            </w:r>
          </w:p>
        </w:tc>
        <w:tc>
          <w:tcPr>
            <w:tcW w:w="652" w:type="dxa"/>
            <w:vAlign w:val="center"/>
          </w:tcPr>
          <w:p w14:paraId="36A3CBF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87</w:t>
            </w:r>
          </w:p>
        </w:tc>
        <w:tc>
          <w:tcPr>
            <w:tcW w:w="748" w:type="dxa"/>
            <w:vAlign w:val="center"/>
          </w:tcPr>
          <w:p w14:paraId="4EE123B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81</w:t>
            </w:r>
          </w:p>
        </w:tc>
        <w:tc>
          <w:tcPr>
            <w:tcW w:w="748" w:type="dxa"/>
            <w:vAlign w:val="center"/>
          </w:tcPr>
          <w:p w14:paraId="79DE56F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67</w:t>
            </w:r>
          </w:p>
        </w:tc>
        <w:tc>
          <w:tcPr>
            <w:tcW w:w="752" w:type="dxa"/>
            <w:vAlign w:val="center"/>
          </w:tcPr>
          <w:p w14:paraId="2A8D361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62.9</w:t>
            </w:r>
          </w:p>
        </w:tc>
        <w:tc>
          <w:tcPr>
            <w:tcW w:w="758" w:type="dxa"/>
            <w:vAlign w:val="center"/>
          </w:tcPr>
          <w:p w14:paraId="682A61E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61</w:t>
            </w:r>
          </w:p>
        </w:tc>
        <w:tc>
          <w:tcPr>
            <w:tcW w:w="758" w:type="dxa"/>
            <w:vAlign w:val="center"/>
          </w:tcPr>
          <w:p w14:paraId="5799DF3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57.5</w:t>
            </w:r>
          </w:p>
        </w:tc>
        <w:tc>
          <w:tcPr>
            <w:tcW w:w="758" w:type="dxa"/>
            <w:vAlign w:val="center"/>
          </w:tcPr>
          <w:p w14:paraId="0471C3A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55</w:t>
            </w:r>
          </w:p>
        </w:tc>
        <w:tc>
          <w:tcPr>
            <w:tcW w:w="758" w:type="dxa"/>
            <w:vAlign w:val="center"/>
          </w:tcPr>
          <w:p w14:paraId="02AB116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53</w:t>
            </w:r>
          </w:p>
        </w:tc>
        <w:tc>
          <w:tcPr>
            <w:tcW w:w="759" w:type="dxa"/>
            <w:vAlign w:val="center"/>
          </w:tcPr>
          <w:p w14:paraId="37208FA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51.4</w:t>
            </w:r>
          </w:p>
        </w:tc>
      </w:tr>
      <w:tr w14:paraId="2D7AD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dxa"/>
            <w:vMerge w:val="continue"/>
            <w:vAlign w:val="center"/>
          </w:tcPr>
          <w:p w14:paraId="4758AFF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p>
        </w:tc>
        <w:tc>
          <w:tcPr>
            <w:tcW w:w="1101" w:type="dxa"/>
            <w:vAlign w:val="center"/>
          </w:tcPr>
          <w:p w14:paraId="6967EA2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cs="Times New Roman"/>
                <w:color w:val="auto"/>
                <w:kern w:val="0"/>
                <w:sz w:val="21"/>
                <w:szCs w:val="21"/>
                <w:lang w:val="en-US" w:eastAsia="zh-CN" w:bidi="ar"/>
              </w:rPr>
              <w:t>拌合</w:t>
            </w:r>
            <w:r>
              <w:rPr>
                <w:rFonts w:hint="default" w:ascii="Times New Roman" w:hAnsi="Times New Roman" w:eastAsia="宋体" w:cs="Times New Roman"/>
                <w:color w:val="auto"/>
                <w:kern w:val="0"/>
                <w:sz w:val="21"/>
                <w:szCs w:val="21"/>
                <w:lang w:val="en-US" w:eastAsia="zh-CN" w:bidi="ar"/>
              </w:rPr>
              <w:t>机</w:t>
            </w:r>
          </w:p>
        </w:tc>
        <w:tc>
          <w:tcPr>
            <w:tcW w:w="652" w:type="dxa"/>
            <w:vAlign w:val="center"/>
          </w:tcPr>
          <w:p w14:paraId="4FEB71A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87</w:t>
            </w:r>
          </w:p>
        </w:tc>
        <w:tc>
          <w:tcPr>
            <w:tcW w:w="748" w:type="dxa"/>
            <w:vAlign w:val="center"/>
          </w:tcPr>
          <w:p w14:paraId="1E0DC2E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81</w:t>
            </w:r>
          </w:p>
        </w:tc>
        <w:tc>
          <w:tcPr>
            <w:tcW w:w="748" w:type="dxa"/>
            <w:vAlign w:val="center"/>
          </w:tcPr>
          <w:p w14:paraId="3326BF6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67</w:t>
            </w:r>
          </w:p>
        </w:tc>
        <w:tc>
          <w:tcPr>
            <w:tcW w:w="752" w:type="dxa"/>
            <w:vAlign w:val="center"/>
          </w:tcPr>
          <w:p w14:paraId="5ABEBE1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62.9</w:t>
            </w:r>
          </w:p>
        </w:tc>
        <w:tc>
          <w:tcPr>
            <w:tcW w:w="758" w:type="dxa"/>
            <w:vAlign w:val="center"/>
          </w:tcPr>
          <w:p w14:paraId="1E28994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61</w:t>
            </w:r>
          </w:p>
        </w:tc>
        <w:tc>
          <w:tcPr>
            <w:tcW w:w="758" w:type="dxa"/>
            <w:vAlign w:val="center"/>
          </w:tcPr>
          <w:p w14:paraId="3C975A8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57.5</w:t>
            </w:r>
          </w:p>
        </w:tc>
        <w:tc>
          <w:tcPr>
            <w:tcW w:w="758" w:type="dxa"/>
            <w:vAlign w:val="center"/>
          </w:tcPr>
          <w:p w14:paraId="3BF05D6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55</w:t>
            </w:r>
          </w:p>
        </w:tc>
        <w:tc>
          <w:tcPr>
            <w:tcW w:w="758" w:type="dxa"/>
            <w:vAlign w:val="center"/>
          </w:tcPr>
          <w:p w14:paraId="6E3212D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53</w:t>
            </w:r>
          </w:p>
        </w:tc>
        <w:tc>
          <w:tcPr>
            <w:tcW w:w="759" w:type="dxa"/>
            <w:vAlign w:val="center"/>
          </w:tcPr>
          <w:p w14:paraId="4854D7D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51.4</w:t>
            </w:r>
          </w:p>
        </w:tc>
      </w:tr>
    </w:tbl>
    <w:p w14:paraId="2980906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0"/>
          <w:szCs w:val="20"/>
          <w:lang w:val="en-US" w:eastAsia="zh-CN" w:bidi="ar"/>
        </w:rPr>
        <w:t>注：5m处为测量值。</w:t>
      </w:r>
    </w:p>
    <w:p w14:paraId="58D8C0F8">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（2）施工期环境空气污染源强</w:t>
      </w:r>
    </w:p>
    <w:p w14:paraId="71CB59F1">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公路施工过程中环境空气污染源主要为扬尘污染、沥青烟气</w:t>
      </w:r>
      <w:r>
        <w:rPr>
          <w:rFonts w:hint="eastAsia" w:cs="Times New Roman"/>
          <w:color w:val="auto"/>
          <w:kern w:val="0"/>
          <w:sz w:val="24"/>
          <w:szCs w:val="24"/>
          <w:lang w:val="en-US" w:eastAsia="zh-CN" w:bidi="ar"/>
        </w:rPr>
        <w:t>污染</w:t>
      </w:r>
      <w:r>
        <w:rPr>
          <w:rFonts w:hint="default" w:ascii="Times New Roman" w:hAnsi="Times New Roman" w:eastAsia="宋体" w:cs="Times New Roman"/>
          <w:color w:val="auto"/>
          <w:kern w:val="0"/>
          <w:sz w:val="24"/>
          <w:szCs w:val="24"/>
          <w:lang w:val="en-US" w:eastAsia="zh-CN" w:bidi="ar"/>
        </w:rPr>
        <w:t>。其中扬尘污染主要来源于筑路材料在运输、装卸、堆放过程、物料</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隧道爆破过程；沥青烟气主要来源于路面施工阶段沥青的熔融、搅拌、摊铺过程，主要以THC、TSP和BaP为主的污染物。按类别分析，主要环境空气污染物源强如下：</w:t>
      </w:r>
    </w:p>
    <w:p w14:paraId="798C511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kern w:val="0"/>
          <w:sz w:val="24"/>
          <w:szCs w:val="24"/>
          <w:lang w:val="en-US" w:eastAsia="zh-CN" w:bidi="ar"/>
        </w:rPr>
        <w:t>1）</w:t>
      </w:r>
      <w:r>
        <w:rPr>
          <w:rFonts w:hint="default" w:ascii="Times New Roman" w:hAnsi="Times New Roman" w:eastAsia="宋体" w:cs="Times New Roman"/>
          <w:color w:val="auto"/>
          <w:kern w:val="0"/>
          <w:sz w:val="24"/>
          <w:szCs w:val="24"/>
          <w:lang w:val="en-US" w:eastAsia="zh-CN" w:bidi="ar"/>
        </w:rPr>
        <w:t>扬尘污染源强</w:t>
      </w:r>
    </w:p>
    <w:p w14:paraId="6105771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拟建公路爆破活动主要集中在隧道中，爆破产生的粉尘颗粒的粒径较大，易于沉降，隧道施工配备了水幕降尘，且经现场踏勘调查，拟建公路隧道进出口基本均远离居民点，故拟建公路扬尘污染主要在施工期路基填筑过程，以施工道路车辆运输引起的扬尘和施工区扬尘为主。根据公路施工期监测结果分析见表3.</w:t>
      </w:r>
      <w:r>
        <w:rPr>
          <w:rFonts w:hint="eastAsia" w:ascii="Times New Roman" w:hAnsi="Times New Roman"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-5。</w:t>
      </w:r>
    </w:p>
    <w:p w14:paraId="08BBAA9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
        </w:rPr>
        <w:t>表3.</w:t>
      </w:r>
      <w:r>
        <w:rPr>
          <w:rFonts w:hint="eastAsia" w:ascii="Times New Roman" w:hAnsi="Times New Roman" w:cs="Times New Roman"/>
          <w:b/>
          <w:bCs/>
          <w:color w:val="auto"/>
          <w:kern w:val="0"/>
          <w:sz w:val="21"/>
          <w:szCs w:val="21"/>
          <w:lang w:val="en-US" w:eastAsia="zh-CN" w:bidi="ar"/>
        </w:rPr>
        <w:t>3</w:t>
      </w:r>
      <w:r>
        <w:rPr>
          <w:rFonts w:hint="default" w:ascii="Times New Roman" w:hAnsi="Times New Roman" w:eastAsia="宋体" w:cs="Times New Roman"/>
          <w:b/>
          <w:bCs/>
          <w:color w:val="auto"/>
          <w:kern w:val="0"/>
          <w:sz w:val="21"/>
          <w:szCs w:val="21"/>
          <w:lang w:val="en-US" w:eastAsia="zh-CN" w:bidi="ar"/>
        </w:rPr>
        <w:t>-5 施工期环境空气监测数据</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3"/>
        <w:gridCol w:w="2149"/>
        <w:gridCol w:w="2826"/>
        <w:gridCol w:w="1395"/>
        <w:gridCol w:w="1510"/>
      </w:tblGrid>
      <w:tr w14:paraId="62BB9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vAlign w:val="center"/>
          </w:tcPr>
          <w:p w14:paraId="45C6B11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序号</w:t>
            </w:r>
          </w:p>
        </w:tc>
        <w:tc>
          <w:tcPr>
            <w:tcW w:w="1260" w:type="pct"/>
            <w:vAlign w:val="center"/>
          </w:tcPr>
          <w:p w14:paraId="2883889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施工类型</w:t>
            </w:r>
          </w:p>
        </w:tc>
        <w:tc>
          <w:tcPr>
            <w:tcW w:w="1657" w:type="pct"/>
            <w:vAlign w:val="center"/>
          </w:tcPr>
          <w:p w14:paraId="07F230C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主要施工机械</w:t>
            </w:r>
          </w:p>
        </w:tc>
        <w:tc>
          <w:tcPr>
            <w:tcW w:w="818" w:type="pct"/>
            <w:vAlign w:val="center"/>
          </w:tcPr>
          <w:p w14:paraId="7188302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距路基（m）</w:t>
            </w:r>
          </w:p>
        </w:tc>
        <w:tc>
          <w:tcPr>
            <w:tcW w:w="885" w:type="pct"/>
            <w:vAlign w:val="center"/>
          </w:tcPr>
          <w:p w14:paraId="754B063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TSP（mg/m³）</w:t>
            </w:r>
          </w:p>
        </w:tc>
      </w:tr>
      <w:tr w14:paraId="03D51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vAlign w:val="center"/>
          </w:tcPr>
          <w:p w14:paraId="43DCBAF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1</w:t>
            </w:r>
          </w:p>
        </w:tc>
        <w:tc>
          <w:tcPr>
            <w:tcW w:w="1260" w:type="pct"/>
            <w:vAlign w:val="center"/>
          </w:tcPr>
          <w:p w14:paraId="3F203D2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混凝土搅拌、凿石、电焊</w:t>
            </w:r>
          </w:p>
        </w:tc>
        <w:tc>
          <w:tcPr>
            <w:tcW w:w="1657" w:type="pct"/>
            <w:vAlign w:val="center"/>
          </w:tcPr>
          <w:p w14:paraId="14B48B8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搅拌机1台、装载机1台</w:t>
            </w:r>
          </w:p>
        </w:tc>
        <w:tc>
          <w:tcPr>
            <w:tcW w:w="818" w:type="pct"/>
            <w:vAlign w:val="center"/>
          </w:tcPr>
          <w:p w14:paraId="00CDD24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20</w:t>
            </w:r>
          </w:p>
        </w:tc>
        <w:tc>
          <w:tcPr>
            <w:tcW w:w="885" w:type="pct"/>
            <w:vAlign w:val="center"/>
          </w:tcPr>
          <w:p w14:paraId="69DE299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0.23</w:t>
            </w:r>
          </w:p>
        </w:tc>
      </w:tr>
      <w:tr w14:paraId="52464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vAlign w:val="center"/>
          </w:tcPr>
          <w:p w14:paraId="64A8B7E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2</w:t>
            </w:r>
          </w:p>
        </w:tc>
        <w:tc>
          <w:tcPr>
            <w:tcW w:w="1260" w:type="pct"/>
            <w:vAlign w:val="center"/>
          </w:tcPr>
          <w:p w14:paraId="0EE7D83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桥台浇筑</w:t>
            </w:r>
          </w:p>
        </w:tc>
        <w:tc>
          <w:tcPr>
            <w:tcW w:w="1657" w:type="pct"/>
            <w:vAlign w:val="center"/>
          </w:tcPr>
          <w:p w14:paraId="66E88B5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发电机1台、搅拌机1台、升降机1台</w:t>
            </w:r>
          </w:p>
        </w:tc>
        <w:tc>
          <w:tcPr>
            <w:tcW w:w="818" w:type="pct"/>
            <w:vAlign w:val="center"/>
          </w:tcPr>
          <w:p w14:paraId="4BF5687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20</w:t>
            </w:r>
          </w:p>
        </w:tc>
        <w:tc>
          <w:tcPr>
            <w:tcW w:w="885" w:type="pct"/>
            <w:vAlign w:val="center"/>
          </w:tcPr>
          <w:p w14:paraId="6E58EA4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0.17</w:t>
            </w:r>
          </w:p>
        </w:tc>
      </w:tr>
      <w:tr w14:paraId="5CAF3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vAlign w:val="center"/>
          </w:tcPr>
          <w:p w14:paraId="7B6908F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3</w:t>
            </w:r>
          </w:p>
        </w:tc>
        <w:tc>
          <w:tcPr>
            <w:tcW w:w="1260" w:type="pct"/>
            <w:vAlign w:val="center"/>
          </w:tcPr>
          <w:p w14:paraId="7326105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边坡修整、护栏施工</w:t>
            </w:r>
          </w:p>
        </w:tc>
        <w:tc>
          <w:tcPr>
            <w:tcW w:w="1657" w:type="pct"/>
            <w:vAlign w:val="center"/>
          </w:tcPr>
          <w:p w14:paraId="43EA2AD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挖掘机1台、装载车3台</w:t>
            </w:r>
          </w:p>
        </w:tc>
        <w:tc>
          <w:tcPr>
            <w:tcW w:w="818" w:type="pct"/>
            <w:vAlign w:val="center"/>
          </w:tcPr>
          <w:p w14:paraId="3C77C65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20</w:t>
            </w:r>
          </w:p>
        </w:tc>
        <w:tc>
          <w:tcPr>
            <w:tcW w:w="885" w:type="pct"/>
            <w:vAlign w:val="center"/>
          </w:tcPr>
          <w:p w14:paraId="29AAAD3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0.13</w:t>
            </w:r>
          </w:p>
        </w:tc>
      </w:tr>
      <w:tr w14:paraId="0EFA1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vAlign w:val="center"/>
          </w:tcPr>
          <w:p w14:paraId="4F3FC78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4</w:t>
            </w:r>
          </w:p>
        </w:tc>
        <w:tc>
          <w:tcPr>
            <w:tcW w:w="1260" w:type="pct"/>
            <w:vAlign w:val="center"/>
          </w:tcPr>
          <w:p w14:paraId="7313CA9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路基平整</w:t>
            </w:r>
          </w:p>
        </w:tc>
        <w:tc>
          <w:tcPr>
            <w:tcW w:w="1657" w:type="pct"/>
            <w:vAlign w:val="center"/>
          </w:tcPr>
          <w:p w14:paraId="5E48294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发电机1台、4台运土车40-50台/天</w:t>
            </w:r>
          </w:p>
        </w:tc>
        <w:tc>
          <w:tcPr>
            <w:tcW w:w="818" w:type="pct"/>
            <w:vAlign w:val="center"/>
          </w:tcPr>
          <w:p w14:paraId="5323EC0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30</w:t>
            </w:r>
          </w:p>
        </w:tc>
        <w:tc>
          <w:tcPr>
            <w:tcW w:w="885" w:type="pct"/>
            <w:vAlign w:val="center"/>
          </w:tcPr>
          <w:p w14:paraId="2AF524A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0.22</w:t>
            </w:r>
          </w:p>
        </w:tc>
      </w:tr>
      <w:tr w14:paraId="0DCCB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vAlign w:val="center"/>
          </w:tcPr>
          <w:p w14:paraId="01E85CB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5</w:t>
            </w:r>
          </w:p>
        </w:tc>
        <w:tc>
          <w:tcPr>
            <w:tcW w:w="1260" w:type="pct"/>
            <w:vAlign w:val="center"/>
          </w:tcPr>
          <w:p w14:paraId="6CCEB3D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混凝土搅拌</w:t>
            </w:r>
          </w:p>
        </w:tc>
        <w:tc>
          <w:tcPr>
            <w:tcW w:w="1657" w:type="pct"/>
            <w:vAlign w:val="center"/>
          </w:tcPr>
          <w:p w14:paraId="7AF8D39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发电机1台、搅拌机1台、手扶夯土机2台、运土车20台/天</w:t>
            </w:r>
          </w:p>
        </w:tc>
        <w:tc>
          <w:tcPr>
            <w:tcW w:w="818" w:type="pct"/>
            <w:vAlign w:val="center"/>
          </w:tcPr>
          <w:p w14:paraId="7F24AEF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30</w:t>
            </w:r>
          </w:p>
        </w:tc>
        <w:tc>
          <w:tcPr>
            <w:tcW w:w="885" w:type="pct"/>
            <w:vAlign w:val="center"/>
          </w:tcPr>
          <w:p w14:paraId="5588A11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0.32</w:t>
            </w:r>
          </w:p>
        </w:tc>
      </w:tr>
      <w:tr w14:paraId="47ED5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vAlign w:val="center"/>
          </w:tcPr>
          <w:p w14:paraId="47C5A0D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6</w:t>
            </w:r>
          </w:p>
        </w:tc>
        <w:tc>
          <w:tcPr>
            <w:tcW w:w="1260" w:type="pct"/>
            <w:vAlign w:val="center"/>
          </w:tcPr>
          <w:p w14:paraId="17A9005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平整路面</w:t>
            </w:r>
          </w:p>
        </w:tc>
        <w:tc>
          <w:tcPr>
            <w:tcW w:w="1657" w:type="pct"/>
            <w:vAlign w:val="center"/>
          </w:tcPr>
          <w:p w14:paraId="5BA55F5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装载机1台、压路机2台、推土机1台、运土车40-60台/天</w:t>
            </w:r>
          </w:p>
        </w:tc>
        <w:tc>
          <w:tcPr>
            <w:tcW w:w="818" w:type="pct"/>
            <w:vAlign w:val="center"/>
          </w:tcPr>
          <w:p w14:paraId="69B0243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40</w:t>
            </w:r>
          </w:p>
        </w:tc>
        <w:tc>
          <w:tcPr>
            <w:tcW w:w="885" w:type="pct"/>
            <w:vAlign w:val="center"/>
          </w:tcPr>
          <w:p w14:paraId="1AAAD47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0.23</w:t>
            </w:r>
          </w:p>
        </w:tc>
      </w:tr>
      <w:tr w14:paraId="77A5A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vAlign w:val="center"/>
          </w:tcPr>
          <w:p w14:paraId="169E44E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7</w:t>
            </w:r>
          </w:p>
        </w:tc>
        <w:tc>
          <w:tcPr>
            <w:tcW w:w="1260" w:type="pct"/>
            <w:vAlign w:val="center"/>
          </w:tcPr>
          <w:p w14:paraId="23BC201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混凝土搅拌、路基平整</w:t>
            </w:r>
          </w:p>
        </w:tc>
        <w:tc>
          <w:tcPr>
            <w:tcW w:w="1657" w:type="pct"/>
            <w:vAlign w:val="center"/>
          </w:tcPr>
          <w:p w14:paraId="6D310CF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搅拌机1台、运土翻斗车2台、运土车20台/天</w:t>
            </w:r>
          </w:p>
        </w:tc>
        <w:tc>
          <w:tcPr>
            <w:tcW w:w="818" w:type="pct"/>
            <w:vAlign w:val="center"/>
          </w:tcPr>
          <w:p w14:paraId="4280678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100</w:t>
            </w:r>
          </w:p>
        </w:tc>
        <w:tc>
          <w:tcPr>
            <w:tcW w:w="885" w:type="pct"/>
            <w:vAlign w:val="center"/>
          </w:tcPr>
          <w:p w14:paraId="731087C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0.28</w:t>
            </w:r>
          </w:p>
        </w:tc>
      </w:tr>
      <w:tr w14:paraId="5696F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vAlign w:val="center"/>
          </w:tcPr>
          <w:p w14:paraId="5DB6BAF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8</w:t>
            </w:r>
          </w:p>
        </w:tc>
        <w:tc>
          <w:tcPr>
            <w:tcW w:w="1260" w:type="pct"/>
            <w:vAlign w:val="center"/>
          </w:tcPr>
          <w:p w14:paraId="10F80F6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桥梁浇筑、桥台修建、爆破</w:t>
            </w:r>
          </w:p>
        </w:tc>
        <w:tc>
          <w:tcPr>
            <w:tcW w:w="1657" w:type="pct"/>
            <w:vAlign w:val="center"/>
          </w:tcPr>
          <w:p w14:paraId="7BB1FBF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发电机2台、搅拌机2台、拖拉机2台、振动器2台、起重机1台、运土车30-40台/天</w:t>
            </w:r>
          </w:p>
        </w:tc>
        <w:tc>
          <w:tcPr>
            <w:tcW w:w="818" w:type="pct"/>
            <w:vAlign w:val="center"/>
          </w:tcPr>
          <w:p w14:paraId="7F37558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100</w:t>
            </w:r>
          </w:p>
        </w:tc>
        <w:tc>
          <w:tcPr>
            <w:tcW w:w="885" w:type="pct"/>
            <w:vAlign w:val="center"/>
          </w:tcPr>
          <w:p w14:paraId="297DF00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0.21</w:t>
            </w:r>
          </w:p>
        </w:tc>
      </w:tr>
      <w:tr w14:paraId="0BB96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vAlign w:val="center"/>
          </w:tcPr>
          <w:p w14:paraId="416AD69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9</w:t>
            </w:r>
          </w:p>
        </w:tc>
        <w:tc>
          <w:tcPr>
            <w:tcW w:w="1260" w:type="pct"/>
            <w:vAlign w:val="center"/>
          </w:tcPr>
          <w:p w14:paraId="3A3A3CE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混凝土搅拌、电焊</w:t>
            </w:r>
          </w:p>
        </w:tc>
        <w:tc>
          <w:tcPr>
            <w:tcW w:w="1657" w:type="pct"/>
            <w:vAlign w:val="center"/>
          </w:tcPr>
          <w:p w14:paraId="7B1677F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搅拌机1台、装载机1台</w:t>
            </w:r>
          </w:p>
        </w:tc>
        <w:tc>
          <w:tcPr>
            <w:tcW w:w="818" w:type="pct"/>
            <w:vAlign w:val="center"/>
          </w:tcPr>
          <w:p w14:paraId="66D10D1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100</w:t>
            </w:r>
          </w:p>
        </w:tc>
        <w:tc>
          <w:tcPr>
            <w:tcW w:w="885" w:type="pct"/>
            <w:vAlign w:val="center"/>
          </w:tcPr>
          <w:p w14:paraId="21E954F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0.21</w:t>
            </w:r>
          </w:p>
        </w:tc>
      </w:tr>
      <w:tr w14:paraId="02265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vAlign w:val="center"/>
          </w:tcPr>
          <w:p w14:paraId="30E507B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w:t>
            </w:r>
          </w:p>
        </w:tc>
        <w:tc>
          <w:tcPr>
            <w:tcW w:w="1260" w:type="pct"/>
            <w:vAlign w:val="center"/>
          </w:tcPr>
          <w:p w14:paraId="27C5460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隧道施工</w:t>
            </w:r>
          </w:p>
        </w:tc>
        <w:tc>
          <w:tcPr>
            <w:tcW w:w="1657" w:type="pct"/>
            <w:vAlign w:val="center"/>
          </w:tcPr>
          <w:p w14:paraId="7035B31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凿岩台车1辆，正装侧卸式装载机1台、挖掘机1台、柴油自卸汽车2辆</w:t>
            </w:r>
          </w:p>
        </w:tc>
        <w:tc>
          <w:tcPr>
            <w:tcW w:w="818" w:type="pct"/>
            <w:vAlign w:val="center"/>
          </w:tcPr>
          <w:p w14:paraId="4E60505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885" w:type="pct"/>
            <w:vAlign w:val="center"/>
          </w:tcPr>
          <w:p w14:paraId="6AD289E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0.46</w:t>
            </w:r>
          </w:p>
        </w:tc>
      </w:tr>
    </w:tbl>
    <w:p w14:paraId="4E870B84">
      <w:pPr>
        <w:keepNext w:val="0"/>
        <w:keepLines w:val="0"/>
        <w:pageBreakBefore w:val="0"/>
        <w:widowControl/>
        <w:suppressLineNumbers w:val="0"/>
        <w:kinsoku/>
        <w:wordWrap/>
        <w:overflowPunct/>
        <w:topLinePunct w:val="0"/>
        <w:autoSpaceDE/>
        <w:autoSpaceDN/>
        <w:bidi w:val="0"/>
        <w:adjustRightInd w:val="0"/>
        <w:snapToGrid w:val="0"/>
        <w:spacing w:before="157" w:beforeLines="5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施工期间，土料、砂石料及水泥均需外运，运输扬尘、汽车尾气对局部区域空气质量产生影响。根据相关类比监测数据，施工运输道路TSP浓度在距路边下风向50m、100m、150m处分别为11.625mg/m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、9.694mg/m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和5.093mg/m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；灰土</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站TSP浓度在下风向50m、100m、150m处分别为8.90mg/m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、1.65mg/m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和1.00mg/m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，即下风向150m处符合环境空气质量二级标准。</w:t>
      </w:r>
    </w:p>
    <w:p w14:paraId="7F729730">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2）沥青熔融烟气源强</w:t>
      </w:r>
    </w:p>
    <w:p w14:paraId="4B6951D7">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施工阶段的沥青烟气主要出现在沥青路面铺设和沥青搅拌过程中。沥青搅拌站设在各施工生产生活区内。在沥青搅</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路面铺设过程中会产生沥青烟气，主要的有毒有害物质是THC、酚和3，4-苯并芘。目前，公路建设采用设有除尘设备的封闭式场拌工艺，沥青</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过程中采用布袋除尘器和沥青烟气处理装置（“冷凝+电捕集+活性炭吸附”），可使沥青烟、苯并[a]芘、粉尘达标排放，用无热源或高温容器将沥青运至铺浇工地，沥青烟气的排放浓度较低，类比现在公路施工中常用沥青</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设备的排放源强：封闭式站拌工艺周围污染物浓度在下风向100m分别为：THC浓度为0.057mg/m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（低于《大气污染综合排放标准》标准值4mg/m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）；3，4-苯并芘的平均值0.15×10</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（低于《大气污染物综合排放标准》标准值0.8×10 -2mg/m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）；酚&lt;0.01mg/m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（低于《大气污染物综合排放标准》标准值0.08mg/m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）。随着沥青路面铺摊施工结束，施工沥青烟气影响将不再存在，施工沥青烟气对环境的不利影响是暂时的、短期的。</w:t>
      </w:r>
    </w:p>
    <w:p w14:paraId="4490B8F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3）拌合站粉尘</w:t>
      </w:r>
    </w:p>
    <w:p w14:paraId="589C04DD">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公路施工中，砂石料、水泥等物料在拌合过程中易起尘。本公路物料拌合采取站拌方式。站拌是工厂生产的物料集中拌合，扬尘对环境空气的影响较为集中，采取防尘措施后可有效地控制扬尘污染。</w:t>
      </w:r>
    </w:p>
    <w:p w14:paraId="38088090">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在1#施工生产区设置混凝土拌合站，采用500型水稳拌合站，混凝土在搅拌的过程中会有少量粉尘溢出，参考《排放源统计调查产排污核算方法和系数手册》（生态环境部公告2021年第24号）中“3021水泥制品制造（含3022砼结构构件制造、3029其他水泥类似制品制造）”行业系数表，搅拌粉尘产污系数按0.13kg/t产品，项目在施工过程中混凝土用量约27418.6 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（约65805t），则项目施工期混凝土搅拌粉尘产生总量约为8.55t。</w:t>
      </w:r>
    </w:p>
    <w:p w14:paraId="5286964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本项目对搅拌机采取全封闭措施，粉尘配有布袋除尘器，布袋除尘器除尘效率可达99.7%计算，则</w:t>
      </w:r>
      <w:r>
        <w:rPr>
          <w:rFonts w:hint="eastAsia" w:cs="Times New Roman"/>
          <w:color w:val="auto"/>
          <w:kern w:val="0"/>
          <w:sz w:val="24"/>
          <w:szCs w:val="24"/>
          <w:lang w:val="en-US" w:eastAsia="zh-CN" w:bidi="ar"/>
        </w:rPr>
        <w:t>施工期</w:t>
      </w:r>
      <w:r>
        <w:rPr>
          <w:rFonts w:hint="default" w:ascii="Times New Roman" w:hAnsi="Times New Roman" w:eastAsia="宋体" w:cs="Times New Roman"/>
          <w:color w:val="auto"/>
          <w:kern w:val="0"/>
          <w:sz w:val="24"/>
          <w:szCs w:val="24"/>
          <w:lang w:val="en-US" w:eastAsia="zh-CN" w:bidi="ar"/>
        </w:rPr>
        <w:t>粉尘总排放量约0.026t。只要保证除尘器正常使用，其余无法满足的全封闭的，应定期洒水降尘。拌合站工艺排放的粉尘可以满足相应的排放标准，对环境的影响较小。砂石料和粉状物料堆存过程中，在风力作用下也易发生扬尘，其扬尘基本上集中在下风向50m条带范围内，考虑到其对人体和植物的有害作用，对其存放应做好防护工作。通过洒水、篷布遮挡等措施，可有效地防止风吹扬尘。项目拌合站的设置位置</w:t>
      </w:r>
      <w:r>
        <w:rPr>
          <w:rFonts w:hint="eastAsia" w:cs="Times New Roman"/>
          <w:color w:val="auto"/>
          <w:kern w:val="0"/>
          <w:sz w:val="24"/>
          <w:szCs w:val="24"/>
          <w:lang w:val="en-US" w:eastAsia="zh-CN" w:bidi="ar"/>
        </w:rPr>
        <w:t>周边500</w:t>
      </w:r>
      <w:r>
        <w:rPr>
          <w:rFonts w:hint="default" w:ascii="Times New Roman" w:hAnsi="Times New Roman" w:eastAsia="宋体" w:cs="Times New Roman"/>
          <w:color w:val="auto"/>
          <w:kern w:val="0"/>
          <w:sz w:val="24"/>
          <w:szCs w:val="24"/>
          <w:lang w:val="en-US" w:eastAsia="zh-CN" w:bidi="ar"/>
        </w:rPr>
        <w:t>m</w:t>
      </w:r>
      <w:r>
        <w:rPr>
          <w:rFonts w:hint="eastAsia" w:cs="Times New Roman"/>
          <w:color w:val="auto"/>
          <w:kern w:val="0"/>
          <w:sz w:val="24"/>
          <w:szCs w:val="24"/>
          <w:lang w:val="en-US" w:eastAsia="zh-CN" w:bidi="ar"/>
        </w:rPr>
        <w:t>范围无居民区分布</w:t>
      </w:r>
      <w:r>
        <w:rPr>
          <w:rFonts w:hint="default" w:ascii="Times New Roman" w:hAnsi="Times New Roman" w:eastAsia="宋体" w:cs="Times New Roman"/>
          <w:color w:val="auto"/>
          <w:kern w:val="0"/>
          <w:sz w:val="24"/>
          <w:szCs w:val="24"/>
          <w:lang w:val="en-US" w:eastAsia="zh-CN" w:bidi="ar"/>
        </w:rPr>
        <w:t>。</w:t>
      </w:r>
    </w:p>
    <w:p w14:paraId="5EE3E86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（3）施工期水污染源强</w:t>
      </w:r>
    </w:p>
    <w:p w14:paraId="6B64275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本项目施工期排放的废水主要来自：施工机械、施工物料、施工泥渣、生活垃圾受雨水冲刷产生雨污水以及混凝土拌合砂石料冲洗废水等施工废水；新建桥梁施工造成施工钻孔泥浆废水。</w:t>
      </w:r>
    </w:p>
    <w:p w14:paraId="65F98B6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kern w:val="0"/>
          <w:sz w:val="24"/>
          <w:szCs w:val="24"/>
          <w:lang w:val="en-US" w:eastAsia="zh-CN" w:bidi="ar"/>
        </w:rPr>
        <w:t>1）</w:t>
      </w:r>
      <w:r>
        <w:rPr>
          <w:rFonts w:hint="default" w:ascii="Times New Roman" w:hAnsi="Times New Roman" w:eastAsia="宋体" w:cs="Times New Roman"/>
          <w:color w:val="auto"/>
          <w:kern w:val="0"/>
          <w:sz w:val="24"/>
          <w:szCs w:val="24"/>
          <w:lang w:val="en-US" w:eastAsia="zh-CN" w:bidi="ar"/>
        </w:rPr>
        <w:t>施工废水</w:t>
      </w:r>
    </w:p>
    <w:p w14:paraId="6BB70FF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施工废水包括施工机械、施工物料、施工泥渣受雨水冲刷产生雨污水、混凝土拌合砂石料冲洗废水。</w:t>
      </w:r>
    </w:p>
    <w:p w14:paraId="397AA8B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水泥混凝土制备过程中产生砂石料冲洗废水和混凝土</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废水，产生地点为各施工场地的水泥混凝土制备站。砂石料冲洗废水和水泥混凝土</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废水的主要污染物为SS，砂石料冲洗废水中平均浓度约12000mg/L，水泥混凝土</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废水中平均浓度约为5000mg/L。一般一处施工场地废水量为15m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/d。混凝土养护废水、砂石料冲洗废水和水泥混凝土拌合废水经沉淀、中和处理后，循环用于下一轮混凝土制备用水，少量剩余的用于施工场地洒水防尘，不向外排放。</w:t>
      </w:r>
    </w:p>
    <w:p w14:paraId="5F1E5D2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车辆、机械设备冲洗，施工机械跑、冒、滴、漏的污油及露天机械受雨水冲刷等将产生少量含油污水。本项目施工期同时作业的施工机械按100部计，每部冲洗水量按500L/部计，每天冲洗1次，则施工机械冲洗废水发生量为50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/d，整个施工期24个月发生总量为36000m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根据《公路建设项目环境影响评价规范》（JTGB03-2006）和当地公路项目经验，施工机械冲洗废水的主要污染物浓度为COD200mg/L、SS4000mg/L、石油类30mg/L。施工场地内设置隔油池、沉淀池，生产废水收集经隔油、沉淀处理后全部回用于地表喷洒抑尘，不外排。</w:t>
      </w:r>
    </w:p>
    <w:p w14:paraId="66BAEED6">
      <w:pPr>
        <w:keepNext w:val="0"/>
        <w:keepLines w:val="0"/>
        <w:widowControl/>
        <w:suppressLineNumbers w:val="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2）隧道施工废水</w:t>
      </w:r>
    </w:p>
    <w:p w14:paraId="6A455EBA">
      <w:pPr>
        <w:keepNext w:val="0"/>
        <w:keepLines w:val="0"/>
        <w:widowControl/>
        <w:suppressLineNumbers w:val="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隧道施工过程中的废水来源主要有：隧道穿越不良地质单元时产生的隧道涌水，施工设备如钻机等产生的废水，隧道爆破后用于降尘的水，喷射水泥砂浆从中渗出的水以及基岩裂隙水等。如不做好“清污分流”，隧道涌水将与隧道施工废水混合，增加隧道施工废水的处理难度。隧道废水水量具有一定的波动性，水量波动主要受工程作业进度影响。</w:t>
      </w:r>
    </w:p>
    <w:p w14:paraId="758BAEDC">
      <w:pPr>
        <w:keepNext w:val="0"/>
        <w:keepLines w:val="0"/>
        <w:widowControl/>
        <w:suppressLineNumbers w:val="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根据项目全线各隧道地质详勘报告，隧道段无地下水出露。经钻孔得知勘探深度范围内未见地下水，地下水类型主要为第四系、第三系孔隙水、基岩裂隙水及构造裂隙水。第四系孔隙水主要为潜水，</w:t>
      </w:r>
      <w:r>
        <w:rPr>
          <w:rFonts w:hint="eastAsia" w:cs="Times New Roman"/>
          <w:color w:val="auto"/>
          <w:kern w:val="0"/>
          <w:sz w:val="24"/>
          <w:szCs w:val="24"/>
          <w:lang w:val="en-US" w:eastAsia="zh-CN" w:bidi="ar"/>
        </w:rPr>
        <w:t>其</w:t>
      </w:r>
      <w:r>
        <w:rPr>
          <w:rFonts w:hint="default" w:ascii="Times New Roman" w:hAnsi="Times New Roman" w:cs="Times New Roman"/>
          <w:color w:val="auto"/>
          <w:kern w:val="0"/>
          <w:sz w:val="24"/>
          <w:szCs w:val="24"/>
          <w:lang w:val="en-US" w:eastAsia="zh-CN" w:bidi="ar"/>
        </w:rPr>
        <w:t>赋存在冲积平原碎石土、岩体空隙中，其含水量较弱，且受气候、降水变化影响较明显。</w:t>
      </w:r>
    </w:p>
    <w:p w14:paraId="771BD93A">
      <w:pPr>
        <w:keepNext w:val="0"/>
        <w:keepLines w:val="0"/>
        <w:widowControl/>
        <w:suppressLineNumbers w:val="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遂址区地下水未出露，受气候、降水影响，隧道区水文地质条件简单，可不考虑地表水、地下水的影响。</w:t>
      </w:r>
    </w:p>
    <w:p w14:paraId="4A229B36">
      <w:pPr>
        <w:keepNext w:val="0"/>
        <w:keepLines w:val="0"/>
        <w:widowControl/>
        <w:suppressLineNumbers w:val="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隧道进出洞口沟谷内主要为第四系松散堆积层，洞身段拟穿越的地层主要有第四系圆砾、第三系圆砾（半成岩）、第三系泥岩（泥岩、粉砂质泥岩、砂岩互层），据各含水层赋水特征，可将区内含水层划分为第四系松散孔隙含水层、基岩裂隙含水层两种。</w:t>
      </w:r>
    </w:p>
    <w:p w14:paraId="1DC08099">
      <w:pPr>
        <w:keepNext w:val="0"/>
        <w:keepLines w:val="0"/>
        <w:widowControl/>
        <w:suppressLineNumbers w:val="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隧道进口沟谷内主要为第四系圆砾、第三系圆砾（半成岩）堆积，洞身段拟穿越地层主要有上新统阿图什组圆砾（半成岩）、第三系半成岩（泥岩、粉砂质泥岩、砂岩），据各含水层赋水特征，地下水类型为第四系松散堆积层孔隙潜水。</w:t>
      </w:r>
    </w:p>
    <w:p w14:paraId="35283302">
      <w:pPr>
        <w:keepNext w:val="0"/>
        <w:keepLines w:val="0"/>
        <w:widowControl/>
        <w:suppressLineNumbers w:val="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松散岩类孔隙水：主要分布在浅表层第四系全新统（Q4）松散堆积层内，主要含水层组岩性为全新统碎石土。含水地层厚度不均，结构松散，透水性强，主要起过水通道作用，常处于干燥状态。</w:t>
      </w:r>
    </w:p>
    <w:p w14:paraId="725C1780">
      <w:pPr>
        <w:keepNext w:val="0"/>
        <w:keepLines w:val="0"/>
        <w:widowControl/>
        <w:suppressLineNumbers w:val="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根据拟建公路工程设计地质勘查报告对沿线隧道钻孔调查均</w:t>
      </w:r>
      <w:r>
        <w:rPr>
          <w:rFonts w:hint="eastAsia" w:cs="Times New Roman"/>
          <w:color w:val="auto"/>
          <w:kern w:val="0"/>
          <w:sz w:val="24"/>
          <w:szCs w:val="24"/>
          <w:lang w:val="en-US" w:eastAsia="zh-CN" w:bidi="ar"/>
        </w:rPr>
        <w:t>未</w:t>
      </w:r>
      <w:r>
        <w:rPr>
          <w:rFonts w:hint="default" w:ascii="Times New Roman" w:hAnsi="Times New Roman" w:cs="Times New Roman"/>
          <w:color w:val="auto"/>
          <w:kern w:val="0"/>
          <w:sz w:val="24"/>
          <w:szCs w:val="24"/>
          <w:lang w:val="en-US" w:eastAsia="zh-CN" w:bidi="ar"/>
        </w:rPr>
        <w:t>出现地下水，由于项目区地处南疆干旱气候隧道施工产生的涌水量很小。施工过</w:t>
      </w:r>
      <w:r>
        <w:rPr>
          <w:rFonts w:hint="eastAsia" w:cs="Times New Roman"/>
          <w:color w:val="auto"/>
          <w:kern w:val="0"/>
          <w:sz w:val="24"/>
          <w:szCs w:val="24"/>
          <w:lang w:val="en-US" w:eastAsia="zh-CN" w:bidi="ar"/>
        </w:rPr>
        <w:t>程中</w:t>
      </w:r>
      <w:r>
        <w:rPr>
          <w:rFonts w:hint="default" w:ascii="Times New Roman" w:hAnsi="Times New Roman" w:cs="Times New Roman"/>
          <w:color w:val="auto"/>
          <w:kern w:val="0"/>
          <w:sz w:val="24"/>
          <w:szCs w:val="24"/>
          <w:lang w:val="en-US" w:eastAsia="zh-CN" w:bidi="ar"/>
        </w:rPr>
        <w:t>采取以下措施预防可能出现的涌水。</w:t>
      </w:r>
    </w:p>
    <w:p w14:paraId="208E20B1">
      <w:pPr>
        <w:keepNext w:val="0"/>
        <w:keepLines w:val="0"/>
        <w:widowControl/>
        <w:suppressLineNumbers w:val="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①顺坡施工：以自然排水为主，在隧道开挖面底两侧设置排水边沟，不要让水漫流。</w:t>
      </w:r>
    </w:p>
    <w:p w14:paraId="2CF16077">
      <w:pPr>
        <w:keepNext w:val="0"/>
        <w:keepLines w:val="0"/>
        <w:widowControl/>
        <w:suppressLineNumbers w:val="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②反坡施工：根据设计和施工中预测的最大可能涌水量及突然涌水量，配置排水机械，设置机械排水管路。在反坡地段每隔500米设一个集水、排水泵站，将水分级提升排出洞外。</w:t>
      </w:r>
    </w:p>
    <w:p w14:paraId="4CB4ECC9">
      <w:pPr>
        <w:keepNext w:val="0"/>
        <w:keepLines w:val="0"/>
        <w:widowControl/>
        <w:suppressLineNumbers w:val="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隧道施工废水经设置的排水沟收集至附近的沉淀池进行沉淀处理后，回用于隧道开挖、混凝土养护及洒水降尘等施工生产用水，不外排。</w:t>
      </w:r>
    </w:p>
    <w:p w14:paraId="2DFA074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桥梁桩基施工</w:t>
      </w:r>
    </w:p>
    <w:p w14:paraId="072C4CD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跨道路桥梁桩基施工时产生的废水主要污染物为SS，且有少量石油类。桥梁施工废水经处理后回用于本项目施工工序，不外排。</w:t>
      </w:r>
      <w:r>
        <w:rPr>
          <w:rFonts w:hint="default" w:ascii="Times New Roman" w:hAnsi="Times New Roman" w:cs="Times New Roman"/>
          <w:color w:val="auto"/>
          <w:kern w:val="0"/>
          <w:sz w:val="24"/>
          <w:szCs w:val="24"/>
          <w:lang w:val="en-US" w:eastAsia="zh-CN" w:bidi="ar"/>
        </w:rPr>
        <w:t>本项目</w:t>
      </w:r>
      <w:r>
        <w:rPr>
          <w:rFonts w:hint="default" w:ascii="Times New Roman" w:hAnsi="Times New Roman" w:eastAsia="宋体" w:cs="Times New Roman"/>
          <w:color w:val="auto"/>
          <w:kern w:val="0"/>
          <w:sz w:val="24"/>
          <w:szCs w:val="24"/>
          <w:lang w:val="en-US" w:eastAsia="zh-CN" w:bidi="ar"/>
        </w:rPr>
        <w:t>桥梁</w:t>
      </w:r>
      <w:r>
        <w:rPr>
          <w:rFonts w:hint="default" w:ascii="Times New Roman" w:hAnsi="Times New Roman" w:cs="Times New Roman"/>
          <w:color w:val="auto"/>
          <w:kern w:val="0"/>
          <w:sz w:val="24"/>
          <w:szCs w:val="24"/>
          <w:lang w:val="en-US" w:eastAsia="zh-CN" w:bidi="ar"/>
        </w:rPr>
        <w:t>施工跨越山体冲沟，不</w:t>
      </w:r>
      <w:r>
        <w:rPr>
          <w:rFonts w:hint="eastAsia" w:cs="Times New Roman"/>
          <w:color w:val="auto"/>
          <w:kern w:val="0"/>
          <w:sz w:val="24"/>
          <w:szCs w:val="24"/>
          <w:lang w:val="en-US" w:eastAsia="zh-CN" w:bidi="ar"/>
        </w:rPr>
        <w:t>跨越</w:t>
      </w:r>
      <w:r>
        <w:rPr>
          <w:rFonts w:hint="default" w:ascii="Times New Roman" w:hAnsi="Times New Roman" w:cs="Times New Roman"/>
          <w:color w:val="auto"/>
          <w:kern w:val="0"/>
          <w:sz w:val="24"/>
          <w:szCs w:val="24"/>
          <w:lang w:val="en-US" w:eastAsia="zh-CN" w:bidi="ar"/>
        </w:rPr>
        <w:t>河流，</w:t>
      </w:r>
      <w:r>
        <w:rPr>
          <w:rFonts w:hint="default" w:ascii="Times New Roman" w:hAnsi="Times New Roman" w:eastAsia="宋体" w:cs="Times New Roman"/>
          <w:color w:val="auto"/>
          <w:kern w:val="0"/>
          <w:sz w:val="24"/>
          <w:szCs w:val="24"/>
          <w:lang w:val="en-US" w:eastAsia="zh-CN" w:bidi="ar"/>
        </w:rPr>
        <w:t>桩基施工时</w:t>
      </w:r>
      <w:r>
        <w:rPr>
          <w:rFonts w:hint="default" w:ascii="Times New Roman" w:hAnsi="Times New Roman" w:cs="Times New Roman"/>
          <w:color w:val="auto"/>
          <w:kern w:val="0"/>
          <w:sz w:val="24"/>
          <w:szCs w:val="24"/>
          <w:lang w:val="en-US" w:eastAsia="zh-CN" w:bidi="ar"/>
        </w:rPr>
        <w:t>不</w:t>
      </w:r>
      <w:r>
        <w:rPr>
          <w:rFonts w:hint="default" w:ascii="Times New Roman" w:hAnsi="Times New Roman" w:eastAsia="宋体" w:cs="Times New Roman"/>
          <w:color w:val="auto"/>
          <w:kern w:val="0"/>
          <w:sz w:val="24"/>
          <w:szCs w:val="24"/>
          <w:lang w:val="en-US" w:eastAsia="zh-CN" w:bidi="ar"/>
        </w:rPr>
        <w:t>会对</w:t>
      </w:r>
      <w:r>
        <w:rPr>
          <w:rFonts w:hint="default" w:ascii="Times New Roman" w:hAnsi="Times New Roman" w:cs="Times New Roman"/>
          <w:color w:val="auto"/>
          <w:kern w:val="0"/>
          <w:sz w:val="24"/>
          <w:szCs w:val="24"/>
          <w:lang w:val="en-US" w:eastAsia="zh-CN" w:bidi="ar"/>
        </w:rPr>
        <w:t>地表水</w:t>
      </w:r>
      <w:r>
        <w:rPr>
          <w:rFonts w:hint="default" w:ascii="Times New Roman" w:hAnsi="Times New Roman" w:eastAsia="宋体" w:cs="Times New Roman"/>
          <w:color w:val="auto"/>
          <w:kern w:val="0"/>
          <w:sz w:val="24"/>
          <w:szCs w:val="24"/>
          <w:lang w:val="en-US" w:eastAsia="zh-CN" w:bidi="ar"/>
        </w:rPr>
        <w:t>产生扰动。</w:t>
      </w:r>
    </w:p>
    <w:p w14:paraId="406B9A4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（4）施工期固体废弃物源强</w:t>
      </w:r>
    </w:p>
    <w:p w14:paraId="0051831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施工期主要固体废物为施工工人的生活垃圾和建筑垃圾以及工程弃土。</w:t>
      </w:r>
    </w:p>
    <w:p w14:paraId="00737DF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①施工垃圾</w:t>
      </w:r>
    </w:p>
    <w:p w14:paraId="1F7C275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全线施工人员按照</w:t>
      </w:r>
      <w:r>
        <w:rPr>
          <w:rFonts w:hint="eastAsia" w:cs="Times New Roman"/>
          <w:color w:val="auto"/>
          <w:kern w:val="0"/>
          <w:sz w:val="24"/>
          <w:szCs w:val="24"/>
          <w:lang w:val="en-US" w:eastAsia="zh-CN" w:bidi="ar"/>
        </w:rPr>
        <w:t>5</w:t>
      </w:r>
      <w:r>
        <w:rPr>
          <w:rFonts w:hint="default" w:ascii="Times New Roman" w:hAnsi="Times New Roman" w:eastAsia="宋体" w:cs="Times New Roman"/>
          <w:color w:val="auto"/>
          <w:kern w:val="0"/>
          <w:sz w:val="24"/>
          <w:szCs w:val="24"/>
          <w:lang w:val="en-US" w:eastAsia="zh-CN" w:bidi="ar"/>
        </w:rPr>
        <w:t>0人计，每人每天生活垃圾产生量按照0.5kg计，则全线共产生活垃圾产生量为0.</w:t>
      </w:r>
      <w:r>
        <w:rPr>
          <w:rFonts w:hint="eastAsia" w:cs="Times New Roman"/>
          <w:color w:val="auto"/>
          <w:kern w:val="0"/>
          <w:sz w:val="24"/>
          <w:szCs w:val="24"/>
          <w:lang w:val="en-US" w:eastAsia="zh-CN" w:bidi="ar"/>
        </w:rPr>
        <w:t>025</w:t>
      </w:r>
      <w:r>
        <w:rPr>
          <w:rFonts w:hint="default" w:ascii="Times New Roman" w:hAnsi="Times New Roman" w:eastAsia="宋体" w:cs="Times New Roman"/>
          <w:color w:val="auto"/>
          <w:kern w:val="0"/>
          <w:sz w:val="24"/>
          <w:szCs w:val="24"/>
          <w:lang w:val="en-US" w:eastAsia="zh-CN" w:bidi="ar"/>
        </w:rPr>
        <w:t>t/d，整个施工期间生活垃圾产生量为</w:t>
      </w:r>
      <w:r>
        <w:rPr>
          <w:rFonts w:hint="eastAsia" w:cs="Times New Roman"/>
          <w:color w:val="auto"/>
          <w:kern w:val="0"/>
          <w:sz w:val="24"/>
          <w:szCs w:val="24"/>
          <w:lang w:val="en-US" w:eastAsia="zh-CN" w:bidi="ar"/>
        </w:rPr>
        <w:t>18.25</w:t>
      </w:r>
      <w:r>
        <w:rPr>
          <w:rFonts w:hint="default" w:ascii="Times New Roman" w:hAnsi="Times New Roman" w:eastAsia="宋体" w:cs="Times New Roman"/>
          <w:color w:val="auto"/>
          <w:kern w:val="0"/>
          <w:sz w:val="24"/>
          <w:szCs w:val="24"/>
          <w:lang w:val="en-US" w:eastAsia="zh-CN" w:bidi="ar"/>
        </w:rPr>
        <w:t>t。施工场地内设置一定数量的临时垃圾箱，生活垃圾由当地环卫部门定期清理。生活垃圾其中可分为可降解和不可降解固体废物。若不对这些垃圾采取处理措施，将会对沿线生态环境造成较大的影响。</w:t>
      </w:r>
    </w:p>
    <w:p w14:paraId="78CE9D6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②建筑垃圾</w:t>
      </w:r>
    </w:p>
    <w:p w14:paraId="6772C3C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建筑垃圾主要有施工过程中产生的垃圾和拆迁垃圾。</w:t>
      </w:r>
    </w:p>
    <w:p w14:paraId="0AA55A6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施工生产垃圾主要是施工过程中产生的钻渣、泥浆、废焦油及少量废弃钢筋、电缆及木料等。对于废弃钢筋等材料由有关单位及个人进行分拣，把有用的钢筋、木料、电缆等东西进行回收再利用，其余生产垃圾由于产生量较少应集中堆放，定期统一清运交由环卫部门处理。对于钻渣、泥浆，要及时处理和收集，防止造成二次污染。施工期沥青</w:t>
      </w:r>
      <w:r>
        <w:rPr>
          <w:rFonts w:hint="default" w:ascii="Times New Roman" w:hAnsi="Times New Roman" w:cs="Times New Roman"/>
          <w:color w:val="auto"/>
          <w:kern w:val="0"/>
          <w:sz w:val="24"/>
          <w:szCs w:val="24"/>
          <w:lang w:val="en-US" w:eastAsia="zh-CN" w:bidi="ar"/>
        </w:rPr>
        <w:t>混凝土拌合站</w:t>
      </w:r>
      <w:r>
        <w:rPr>
          <w:rFonts w:hint="default" w:ascii="Times New Roman" w:hAnsi="Times New Roman" w:eastAsia="宋体" w:cs="Times New Roman"/>
          <w:color w:val="auto"/>
          <w:kern w:val="0"/>
          <w:sz w:val="24"/>
          <w:szCs w:val="24"/>
          <w:lang w:val="en-US" w:eastAsia="zh-CN" w:bidi="ar"/>
        </w:rPr>
        <w:t>产生的少量废活性炭属于危险废物，委托有资质的单位处理。</w:t>
      </w:r>
    </w:p>
    <w:p w14:paraId="213D17DA">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③工程弃土</w:t>
      </w:r>
    </w:p>
    <w:p w14:paraId="2E19B35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本项目施工产生的挖方，产生的弃方</w:t>
      </w:r>
      <w:r>
        <w:rPr>
          <w:rFonts w:hint="default" w:ascii="Times New Roman" w:hAnsi="Times New Roman" w:cs="Times New Roman"/>
          <w:color w:val="auto"/>
          <w:kern w:val="0"/>
          <w:sz w:val="24"/>
          <w:szCs w:val="24"/>
          <w:lang w:val="en-US" w:eastAsia="zh-CN" w:bidi="ar"/>
        </w:rPr>
        <w:t>由</w:t>
      </w:r>
      <w:r>
        <w:rPr>
          <w:rFonts w:hint="default" w:ascii="Times New Roman" w:hAnsi="Times New Roman" w:eastAsia="宋体" w:cs="Times New Roman"/>
          <w:color w:val="auto"/>
          <w:kern w:val="0"/>
          <w:sz w:val="24"/>
          <w:szCs w:val="24"/>
          <w:lang w:val="en-US" w:eastAsia="zh-CN" w:bidi="ar"/>
        </w:rPr>
        <w:t>施工单位运至指定的弃渣场。</w:t>
      </w:r>
    </w:p>
    <w:p w14:paraId="2EE9B1F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④临时场站固废</w:t>
      </w:r>
    </w:p>
    <w:p w14:paraId="2787158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固体废物主要包括一般工业固废、危险废物和生活垃圾。</w:t>
      </w:r>
    </w:p>
    <w:p w14:paraId="6304B3E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一般固体废物有：钢筋加工产生的下脚料和焊渣、除尘器收集的粉尘、废水沉淀池沉渣；危险废物主要有：废润滑油、废活性炭、电捕集收集的废焦油。</w:t>
      </w:r>
    </w:p>
    <w:p w14:paraId="4FDFCCE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a.一般工业固废</w:t>
      </w:r>
    </w:p>
    <w:p w14:paraId="6D5C820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废水沉淀池沉渣和除尘器收集的粉尘，全部作为原材料回用于生产，不外排。</w:t>
      </w:r>
    </w:p>
    <w:p w14:paraId="0B6B1DB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b.危险废物</w:t>
      </w:r>
    </w:p>
    <w:p w14:paraId="086800F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废润滑油：项目生产设备定期维护更换齿轮油产生的废润滑油0.02t/a，属于危险废物（HW08，900-217-08）。</w:t>
      </w:r>
    </w:p>
    <w:p w14:paraId="14CB44B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废活性炭：沥青</w:t>
      </w:r>
      <w:r>
        <w:rPr>
          <w:rFonts w:hint="default" w:ascii="Times New Roman" w:hAnsi="Times New Roman" w:cs="Times New Roman"/>
          <w:color w:val="auto"/>
          <w:kern w:val="0"/>
          <w:sz w:val="24"/>
          <w:szCs w:val="24"/>
          <w:lang w:val="en-US" w:eastAsia="zh-CN" w:bidi="ar"/>
        </w:rPr>
        <w:t>拌合站</w:t>
      </w:r>
      <w:r>
        <w:rPr>
          <w:rFonts w:hint="default" w:ascii="Times New Roman" w:hAnsi="Times New Roman" w:eastAsia="宋体" w:cs="Times New Roman"/>
          <w:color w:val="auto"/>
          <w:kern w:val="0"/>
          <w:sz w:val="24"/>
          <w:szCs w:val="24"/>
          <w:lang w:val="en-US" w:eastAsia="zh-CN" w:bidi="ar"/>
        </w:rPr>
        <w:t>沥青烟收集处理装置产生的废活性炭属于危险废物（HW49，900-041-49），根据工程经验，每100kg活性炭吸附20kg污染物，产生废活性炭7.5t/a；</w:t>
      </w:r>
    </w:p>
    <w:p w14:paraId="49B8B0C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废焦油：废气处理收集的废焦油产生量0.1t/a，属于危险废物（HW11，900-013-11）。</w:t>
      </w:r>
    </w:p>
    <w:p w14:paraId="6274F91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上述危险废物需按《危险废物贮存污染控制标准》（GB 18597-2023）要求进行收集、贮存及处置，设置危险废物暂存间，并做好防渗，委托有资质单位进行处理。</w:t>
      </w:r>
    </w:p>
    <w:p w14:paraId="4B1587D1">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3.</w:t>
      </w:r>
      <w:r>
        <w:rPr>
          <w:rFonts w:hint="eastAsia" w:ascii="Times New Roman" w:hAnsi="Times New Roman" w:cs="Times New Roman"/>
          <w:color w:val="auto"/>
          <w:lang w:val="en-US" w:eastAsia="zh-CN"/>
        </w:rPr>
        <w:t>3</w:t>
      </w:r>
      <w:r>
        <w:rPr>
          <w:rFonts w:hint="default" w:ascii="Times New Roman" w:hAnsi="Times New Roman" w:cs="Times New Roman"/>
          <w:color w:val="auto"/>
          <w:lang w:val="en-US" w:eastAsia="zh-CN"/>
        </w:rPr>
        <w:t>.3.2 营运期</w:t>
      </w:r>
    </w:p>
    <w:p w14:paraId="20525B47">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w:t>
      </w:r>
      <w:r>
        <w:rPr>
          <w:rFonts w:hint="default" w:ascii="Times New Roman" w:hAnsi="Times New Roman" w:cs="Times New Roman"/>
          <w:color w:val="auto"/>
          <w:kern w:val="0"/>
          <w:sz w:val="24"/>
          <w:szCs w:val="24"/>
          <w:lang w:val="en-US" w:eastAsia="zh-CN" w:bidi="ar"/>
        </w:rPr>
        <w:t>运营期声环境影响</w:t>
      </w:r>
    </w:p>
    <w:p w14:paraId="592939C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b w:val="0"/>
          <w:bCs w:val="0"/>
          <w:color w:val="auto"/>
          <w:kern w:val="0"/>
          <w:sz w:val="24"/>
          <w:szCs w:val="24"/>
          <w:lang w:val="en-US" w:eastAsia="zh-CN" w:bidi="ar"/>
        </w:rPr>
        <w:t>1）噪声污染源</w:t>
      </w:r>
    </w:p>
    <w:p w14:paraId="2A9E4BB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主要噪声源：公路投入运营后，在公路上行驶的机动车辆的噪声源为非稳态源，车辆行驶时其发动机、冷却系统以及传动系统等部件均会产生噪声；行驶中引起的气流湍动、排气系统、轮胎与路面的摩擦等也会产生噪声；由于公路路面平整度等原因而使行驶中的汽车产生整车噪声。</w:t>
      </w:r>
    </w:p>
    <w:p w14:paraId="06A4B341">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噪声源强：根据</w:t>
      </w:r>
      <w:r>
        <w:rPr>
          <w:rFonts w:hint="default" w:ascii="Times New Roman" w:hAnsi="Times New Roman" w:eastAsia="宋体"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lang w:val="en-US" w:eastAsia="zh-CN" w:bidi="ar"/>
        </w:rPr>
        <w:t>环境影响评价技术导则 公路建设项目》（HJ 1358-2024）附录B，项目各类型车在距离行车线7.5m处参照点的平均辐射噪声级</w:t>
      </w:r>
      <w:r>
        <w:rPr>
          <w:rFonts w:hint="default" w:ascii="Times New Roman" w:hAnsi="Times New Roman" w:eastAsia="宋体" w:cs="Times New Roman"/>
          <w:color w:val="auto"/>
          <w:kern w:val="0"/>
          <w:sz w:val="24"/>
          <w:szCs w:val="24"/>
          <w:lang w:val="en-US" w:eastAsia="zh-CN" w:bidi="ar"/>
        </w:rPr>
        <w:drawing>
          <wp:inline distT="0" distB="0" distL="114300" distR="114300">
            <wp:extent cx="457200" cy="164465"/>
            <wp:effectExtent l="0" t="0" r="0" b="6985"/>
            <wp:docPr id="39" name="图片 39" descr="微信截图_2024092113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微信截图_20240921132929"/>
                    <pic:cNvPicPr>
                      <a:picLocks noChangeAspect="1"/>
                    </pic:cNvPicPr>
                  </pic:nvPicPr>
                  <pic:blipFill>
                    <a:blip r:embed="rId37"/>
                    <a:srcRect r="3463"/>
                    <a:stretch>
                      <a:fillRect/>
                    </a:stretch>
                  </pic:blipFill>
                  <pic:spPr>
                    <a:xfrm>
                      <a:off x="0" y="0"/>
                      <a:ext cx="457200" cy="164465"/>
                    </a:xfrm>
                    <a:prstGeom prst="rect">
                      <a:avLst/>
                    </a:prstGeom>
                  </pic:spPr>
                </pic:pic>
              </a:graphicData>
            </a:graphic>
          </wp:inline>
        </w:drawing>
      </w:r>
      <w:r>
        <w:rPr>
          <w:rFonts w:hint="default" w:ascii="Times New Roman" w:hAnsi="Times New Roman" w:eastAsia="宋体" w:cs="Times New Roman"/>
          <w:color w:val="auto"/>
          <w:kern w:val="0"/>
          <w:sz w:val="24"/>
          <w:szCs w:val="24"/>
          <w:lang w:val="en-US" w:eastAsia="zh-CN" w:bidi="ar"/>
        </w:rPr>
        <w:t>按</w:t>
      </w:r>
      <w:r>
        <w:rPr>
          <w:rFonts w:hint="default" w:ascii="Times New Roman" w:hAnsi="Times New Roman" w:cs="Times New Roman"/>
          <w:color w:val="auto"/>
          <w:kern w:val="0"/>
          <w:sz w:val="24"/>
          <w:szCs w:val="24"/>
          <w:lang w:val="en-US" w:eastAsia="zh-CN" w:bidi="ar"/>
        </w:rPr>
        <w:t>如下</w:t>
      </w:r>
      <w:r>
        <w:rPr>
          <w:rFonts w:hint="default" w:ascii="Times New Roman" w:hAnsi="Times New Roman" w:eastAsia="宋体" w:cs="Times New Roman"/>
          <w:color w:val="auto"/>
          <w:kern w:val="0"/>
          <w:sz w:val="24"/>
          <w:szCs w:val="24"/>
          <w:lang w:val="en-US" w:eastAsia="zh-CN" w:bidi="ar"/>
        </w:rPr>
        <w:t>公式计算：</w:t>
      </w:r>
    </w:p>
    <w:p w14:paraId="622FC35B">
      <w:pPr>
        <w:keepNext w:val="0"/>
        <w:keepLines w:val="0"/>
        <w:widowControl/>
        <w:suppressLineNumbers w:val="0"/>
        <w:jc w:val="left"/>
        <w:rPr>
          <w:rFonts w:hint="default" w:ascii="Times New Roman" w:hAnsi="Times New Roman" w:eastAsia="宋体" w:cs="Times New Roman"/>
          <w:color w:val="auto"/>
          <w:sz w:val="24"/>
          <w:szCs w:val="24"/>
          <w:lang w:val="en-US"/>
        </w:rPr>
      </w:pPr>
      <w:r>
        <w:rPr>
          <w:rFonts w:hint="default" w:ascii="Times New Roman" w:hAnsi="Times New Roman" w:eastAsia="宋体" w:cs="Times New Roman"/>
          <w:color w:val="auto"/>
          <w:kern w:val="0"/>
          <w:sz w:val="24"/>
          <w:szCs w:val="24"/>
          <w:lang w:val="en-US" w:eastAsia="zh-CN" w:bidi="ar"/>
        </w:rPr>
        <w:t>大型车</w:t>
      </w:r>
      <w:r>
        <w:rPr>
          <w:rFonts w:hint="default" w:ascii="Times New Roman" w:hAnsi="Times New Roman" w:eastAsia="宋体" w:cs="Times New Roman"/>
          <w:color w:val="auto"/>
          <w:kern w:val="0"/>
          <w:sz w:val="24"/>
          <w:szCs w:val="24"/>
          <w:lang w:val="en-US" w:eastAsia="zh-CN" w:bidi="ar"/>
        </w:rPr>
        <w:drawing>
          <wp:inline distT="0" distB="0" distL="114300" distR="114300">
            <wp:extent cx="403860" cy="173355"/>
            <wp:effectExtent l="0" t="0" r="0" b="0"/>
            <wp:docPr id="40" name="图片 40" descr="微信截图_2024092113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微信截图_20240921132929"/>
                    <pic:cNvPicPr>
                      <a:picLocks noChangeAspect="1"/>
                    </pic:cNvPicPr>
                  </pic:nvPicPr>
                  <pic:blipFill>
                    <a:blip r:embed="rId37"/>
                    <a:srcRect r="8752" b="-5405"/>
                    <a:stretch>
                      <a:fillRect/>
                    </a:stretch>
                  </pic:blipFill>
                  <pic:spPr>
                    <a:xfrm>
                      <a:off x="0" y="0"/>
                      <a:ext cx="403860" cy="173355"/>
                    </a:xfrm>
                    <a:prstGeom prst="rect">
                      <a:avLst/>
                    </a:prstGeom>
                  </pic:spPr>
                </pic:pic>
              </a:graphicData>
            </a:graphic>
          </wp:inline>
        </w:drawing>
      </w:r>
      <w:r>
        <w:rPr>
          <w:rFonts w:hint="default" w:ascii="Times New Roman" w:hAnsi="Times New Roman" w:eastAsia="宋体" w:cs="Times New Roman"/>
          <w:color w:val="auto"/>
          <w:kern w:val="0"/>
          <w:sz w:val="24"/>
          <w:szCs w:val="24"/>
          <w:vertAlign w:val="subscript"/>
          <w:lang w:val="en-US" w:eastAsia="zh-CN" w:bidi="ar"/>
        </w:rPr>
        <w:t>l</w:t>
      </w:r>
      <w:r>
        <w:rPr>
          <w:rFonts w:hint="default" w:ascii="Times New Roman" w:hAnsi="Times New Roman" w:eastAsia="宋体" w:cs="Times New Roman"/>
          <w:color w:val="auto"/>
          <w:kern w:val="0"/>
          <w:sz w:val="24"/>
          <w:szCs w:val="24"/>
          <w:lang w:val="en-US" w:eastAsia="zh-CN" w:bidi="ar"/>
        </w:rPr>
        <w:t> 22.0 36.32lg</w:t>
      </w:r>
      <w:r>
        <w:rPr>
          <w:rFonts w:hint="default" w:ascii="Times New Roman" w:hAnsi="Times New Roman" w:eastAsia="宋体" w:cs="Times New Roman"/>
          <w:i/>
          <w:iCs/>
          <w:color w:val="auto"/>
          <w:kern w:val="0"/>
          <w:sz w:val="24"/>
          <w:szCs w:val="24"/>
          <w:lang w:val="en-US" w:eastAsia="zh-CN" w:bidi="ar"/>
        </w:rPr>
        <w:t>v</w:t>
      </w:r>
      <w:r>
        <w:rPr>
          <w:rFonts w:hint="default" w:ascii="Times New Roman" w:hAnsi="Times New Roman" w:eastAsia="宋体" w:cs="Times New Roman"/>
          <w:i/>
          <w:iCs/>
          <w:color w:val="auto"/>
          <w:kern w:val="0"/>
          <w:sz w:val="24"/>
          <w:szCs w:val="24"/>
          <w:vertAlign w:val="subscript"/>
          <w:lang w:val="en-US" w:eastAsia="zh-CN" w:bidi="ar"/>
        </w:rPr>
        <w:t>l</w:t>
      </w:r>
      <w:r>
        <w:rPr>
          <w:rFonts w:hint="default" w:ascii="Times New Roman" w:hAnsi="Times New Roman" w:eastAsia="宋体" w:cs="Times New Roman"/>
          <w:i w:val="0"/>
          <w:iCs w:val="0"/>
          <w:color w:val="auto"/>
          <w:kern w:val="0"/>
          <w:sz w:val="24"/>
          <w:szCs w:val="24"/>
          <w:vertAlign w:val="baseline"/>
          <w:lang w:val="en-US" w:eastAsia="zh-CN" w:bidi="ar"/>
        </w:rPr>
        <w:t>（适用车速范围：48km/h~90km/h）</w:t>
      </w:r>
      <w:r>
        <w:rPr>
          <w:rFonts w:hint="default" w:ascii="Times New Roman" w:hAnsi="Times New Roman" w:cs="Times New Roman"/>
          <w:i w:val="0"/>
          <w:iCs w:val="0"/>
          <w:color w:val="auto"/>
          <w:kern w:val="0"/>
          <w:sz w:val="24"/>
          <w:szCs w:val="24"/>
          <w:vertAlign w:val="baseline"/>
          <w:lang w:val="en-US" w:eastAsia="zh-CN" w:bidi="ar"/>
        </w:rPr>
        <w:t>，</w:t>
      </w:r>
    </w:p>
    <w:p w14:paraId="024BC7DD">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中型车</w:t>
      </w:r>
      <w:r>
        <w:rPr>
          <w:rFonts w:hint="default" w:ascii="Times New Roman" w:hAnsi="Times New Roman" w:eastAsia="宋体" w:cs="Times New Roman"/>
          <w:color w:val="auto"/>
          <w:kern w:val="0"/>
          <w:sz w:val="24"/>
          <w:szCs w:val="24"/>
          <w:lang w:val="en-US" w:eastAsia="zh-CN" w:bidi="ar"/>
        </w:rPr>
        <w:drawing>
          <wp:inline distT="0" distB="0" distL="114300" distR="114300">
            <wp:extent cx="403860" cy="173355"/>
            <wp:effectExtent l="0" t="0" r="15240" b="17145"/>
            <wp:docPr id="41" name="图片 41" descr="微信截图_2024092113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微信截图_20240921132929"/>
                    <pic:cNvPicPr>
                      <a:picLocks noChangeAspect="1"/>
                    </pic:cNvPicPr>
                  </pic:nvPicPr>
                  <pic:blipFill>
                    <a:blip r:embed="rId37"/>
                    <a:srcRect r="8752" b="-5405"/>
                    <a:stretch>
                      <a:fillRect/>
                    </a:stretch>
                  </pic:blipFill>
                  <pic:spPr>
                    <a:xfrm>
                      <a:off x="0" y="0"/>
                      <a:ext cx="403860" cy="173355"/>
                    </a:xfrm>
                    <a:prstGeom prst="rect">
                      <a:avLst/>
                    </a:prstGeom>
                  </pic:spPr>
                </pic:pic>
              </a:graphicData>
            </a:graphic>
          </wp:inline>
        </w:drawing>
      </w:r>
      <w:r>
        <w:rPr>
          <w:rFonts w:hint="default" w:ascii="Times New Roman" w:hAnsi="Times New Roman" w:eastAsia="宋体" w:cs="Times New Roman"/>
          <w:color w:val="auto"/>
          <w:kern w:val="0"/>
          <w:sz w:val="24"/>
          <w:szCs w:val="24"/>
          <w:vertAlign w:val="subscript"/>
          <w:lang w:val="en-US" w:eastAsia="zh-CN" w:bidi="ar"/>
        </w:rPr>
        <w:t>m</w:t>
      </w:r>
      <w:r>
        <w:rPr>
          <w:rFonts w:hint="default" w:ascii="Times New Roman" w:hAnsi="Times New Roman" w:eastAsia="宋体" w:cs="Times New Roman"/>
          <w:color w:val="auto"/>
          <w:kern w:val="0"/>
          <w:sz w:val="24"/>
          <w:szCs w:val="24"/>
          <w:lang w:val="en-US" w:eastAsia="zh-CN" w:bidi="ar"/>
        </w:rPr>
        <w:t> 8.8 40.48lg</w:t>
      </w:r>
      <w:r>
        <w:rPr>
          <w:rFonts w:hint="default" w:ascii="Times New Roman" w:hAnsi="Times New Roman" w:eastAsia="宋体" w:cs="Times New Roman"/>
          <w:i/>
          <w:iCs/>
          <w:color w:val="auto"/>
          <w:kern w:val="0"/>
          <w:sz w:val="24"/>
          <w:szCs w:val="24"/>
          <w:lang w:val="en-US" w:eastAsia="zh-CN" w:bidi="ar"/>
        </w:rPr>
        <w:t>v</w:t>
      </w:r>
      <w:r>
        <w:rPr>
          <w:rFonts w:hint="default" w:ascii="Times New Roman" w:hAnsi="Times New Roman" w:eastAsia="宋体" w:cs="Times New Roman"/>
          <w:i/>
          <w:iCs/>
          <w:color w:val="auto"/>
          <w:kern w:val="0"/>
          <w:sz w:val="24"/>
          <w:szCs w:val="24"/>
          <w:vertAlign w:val="subscript"/>
          <w:lang w:val="en-US" w:eastAsia="zh-CN" w:bidi="ar"/>
        </w:rPr>
        <w:t>m</w:t>
      </w:r>
      <w:r>
        <w:rPr>
          <w:rFonts w:hint="default" w:ascii="Times New Roman" w:hAnsi="Times New Roman" w:eastAsia="宋体" w:cs="Times New Roman"/>
          <w:i w:val="0"/>
          <w:iCs w:val="0"/>
          <w:color w:val="auto"/>
          <w:kern w:val="0"/>
          <w:sz w:val="24"/>
          <w:szCs w:val="24"/>
          <w:vertAlign w:val="baseline"/>
          <w:lang w:val="en-US" w:eastAsia="zh-CN" w:bidi="ar"/>
        </w:rPr>
        <w:t>（适用车速范围：53km/h~100km/h）</w:t>
      </w:r>
      <w:r>
        <w:rPr>
          <w:rFonts w:hint="default" w:ascii="Times New Roman" w:hAnsi="Times New Roman" w:cs="Times New Roman"/>
          <w:i w:val="0"/>
          <w:iCs w:val="0"/>
          <w:color w:val="auto"/>
          <w:kern w:val="0"/>
          <w:sz w:val="24"/>
          <w:szCs w:val="24"/>
          <w:vertAlign w:val="baseline"/>
          <w:lang w:val="en-US" w:eastAsia="zh-CN" w:bidi="ar"/>
        </w:rPr>
        <w:t>，</w:t>
      </w:r>
    </w:p>
    <w:p w14:paraId="5761804D">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小型车</w:t>
      </w:r>
      <w:r>
        <w:rPr>
          <w:rFonts w:hint="default" w:ascii="Times New Roman" w:hAnsi="Times New Roman" w:eastAsia="宋体" w:cs="Times New Roman"/>
          <w:color w:val="auto"/>
          <w:kern w:val="0"/>
          <w:sz w:val="24"/>
          <w:szCs w:val="24"/>
          <w:lang w:val="en-US" w:eastAsia="zh-CN" w:bidi="ar"/>
        </w:rPr>
        <w:drawing>
          <wp:inline distT="0" distB="0" distL="114300" distR="114300">
            <wp:extent cx="403860" cy="173355"/>
            <wp:effectExtent l="0" t="0" r="15240" b="17145"/>
            <wp:docPr id="42" name="图片 42" descr="微信截图_2024092113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微信截图_20240921132929"/>
                    <pic:cNvPicPr>
                      <a:picLocks noChangeAspect="1"/>
                    </pic:cNvPicPr>
                  </pic:nvPicPr>
                  <pic:blipFill>
                    <a:blip r:embed="rId37"/>
                    <a:srcRect r="8752" b="-5405"/>
                    <a:stretch>
                      <a:fillRect/>
                    </a:stretch>
                  </pic:blipFill>
                  <pic:spPr>
                    <a:xfrm>
                      <a:off x="0" y="0"/>
                      <a:ext cx="403860" cy="173355"/>
                    </a:xfrm>
                    <a:prstGeom prst="rect">
                      <a:avLst/>
                    </a:prstGeom>
                  </pic:spPr>
                </pic:pic>
              </a:graphicData>
            </a:graphic>
          </wp:inline>
        </w:drawing>
      </w:r>
      <w:r>
        <w:rPr>
          <w:rFonts w:hint="default" w:ascii="Times New Roman" w:hAnsi="Times New Roman" w:eastAsia="宋体" w:cs="Times New Roman"/>
          <w:color w:val="auto"/>
          <w:kern w:val="0"/>
          <w:sz w:val="24"/>
          <w:szCs w:val="24"/>
          <w:lang w:val="en-US" w:eastAsia="zh-CN" w:bidi="ar"/>
        </w:rPr>
        <w:t>s12.6 34.73lg</w:t>
      </w:r>
      <w:r>
        <w:rPr>
          <w:rFonts w:hint="default" w:ascii="Times New Roman" w:hAnsi="Times New Roman" w:eastAsia="宋体" w:cs="Times New Roman"/>
          <w:i/>
          <w:iCs/>
          <w:color w:val="auto"/>
          <w:kern w:val="0"/>
          <w:sz w:val="24"/>
          <w:szCs w:val="24"/>
          <w:lang w:val="en-US" w:eastAsia="zh-CN" w:bidi="ar"/>
        </w:rPr>
        <w:t>v</w:t>
      </w:r>
      <w:r>
        <w:rPr>
          <w:rFonts w:hint="default" w:ascii="Times New Roman" w:hAnsi="Times New Roman" w:eastAsia="宋体" w:cs="Times New Roman"/>
          <w:i/>
          <w:iCs/>
          <w:color w:val="auto"/>
          <w:kern w:val="0"/>
          <w:sz w:val="24"/>
          <w:szCs w:val="24"/>
          <w:vertAlign w:val="subscript"/>
          <w:lang w:val="en-US" w:eastAsia="zh-CN" w:bidi="ar"/>
        </w:rPr>
        <w:t>s</w:t>
      </w:r>
      <w:r>
        <w:rPr>
          <w:rFonts w:hint="default" w:ascii="Times New Roman" w:hAnsi="Times New Roman" w:eastAsia="宋体" w:cs="Times New Roman"/>
          <w:i w:val="0"/>
          <w:iCs w:val="0"/>
          <w:color w:val="auto"/>
          <w:kern w:val="0"/>
          <w:sz w:val="24"/>
          <w:szCs w:val="24"/>
          <w:vertAlign w:val="baseline"/>
          <w:lang w:val="en-US" w:eastAsia="zh-CN" w:bidi="ar"/>
        </w:rPr>
        <w:t>（适用车速范围：63km/h~140km/h）</w:t>
      </w:r>
      <w:r>
        <w:rPr>
          <w:rFonts w:hint="default" w:ascii="Times New Roman" w:hAnsi="Times New Roman" w:cs="Times New Roman"/>
          <w:i w:val="0"/>
          <w:iCs w:val="0"/>
          <w:color w:val="auto"/>
          <w:kern w:val="0"/>
          <w:sz w:val="24"/>
          <w:szCs w:val="24"/>
          <w:vertAlign w:val="baseline"/>
          <w:lang w:val="en-US" w:eastAsia="zh-CN" w:bidi="ar"/>
        </w:rPr>
        <w:t>，</w:t>
      </w:r>
    </w:p>
    <w:p w14:paraId="67F380B4">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式中：</w:t>
      </w:r>
    </w:p>
    <w:p w14:paraId="3A8C6EA3">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drawing>
          <wp:inline distT="0" distB="0" distL="114300" distR="114300">
            <wp:extent cx="403860" cy="173355"/>
            <wp:effectExtent l="0" t="0" r="15240" b="17145"/>
            <wp:docPr id="43" name="图片 43" descr="微信截图_2024092113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微信截图_20240921132929"/>
                    <pic:cNvPicPr>
                      <a:picLocks noChangeAspect="1"/>
                    </pic:cNvPicPr>
                  </pic:nvPicPr>
                  <pic:blipFill>
                    <a:blip r:embed="rId37"/>
                    <a:srcRect r="8752" b="-5405"/>
                    <a:stretch>
                      <a:fillRect/>
                    </a:stretch>
                  </pic:blipFill>
                  <pic:spPr>
                    <a:xfrm>
                      <a:off x="0" y="0"/>
                      <a:ext cx="403860" cy="173355"/>
                    </a:xfrm>
                    <a:prstGeom prst="rect">
                      <a:avLst/>
                    </a:prstGeom>
                  </pic:spPr>
                </pic:pic>
              </a:graphicData>
            </a:graphic>
          </wp:inline>
        </w:drawing>
      </w:r>
      <w:r>
        <w:rPr>
          <w:rFonts w:hint="default" w:ascii="Times New Roman" w:hAnsi="Times New Roman" w:eastAsia="宋体" w:cs="Times New Roman"/>
          <w:color w:val="auto"/>
          <w:kern w:val="0"/>
          <w:sz w:val="24"/>
          <w:szCs w:val="24"/>
          <w:vertAlign w:val="subscript"/>
          <w:lang w:val="en-US" w:eastAsia="zh-CN" w:bidi="ar"/>
        </w:rPr>
        <w:t>l</w:t>
      </w:r>
      <w:r>
        <w:rPr>
          <w:rFonts w:hint="default" w:ascii="Times New Roman" w:hAnsi="Times New Roman" w:eastAsia="宋体" w:cs="Times New Roman"/>
          <w:color w:val="auto"/>
          <w:kern w:val="0"/>
          <w:sz w:val="24"/>
          <w:szCs w:val="24"/>
          <w:lang w:val="en-US" w:eastAsia="zh-CN" w:bidi="ar"/>
        </w:rPr>
        <w:t>——大型车在参照点处的平均辐射噪声级，dB(A)；</w:t>
      </w:r>
    </w:p>
    <w:p w14:paraId="52A3EDA6">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drawing>
          <wp:inline distT="0" distB="0" distL="114300" distR="114300">
            <wp:extent cx="403860" cy="173355"/>
            <wp:effectExtent l="0" t="0" r="15240" b="17145"/>
            <wp:docPr id="6" name="图片 6" descr="微信截图_2024092113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截图_20240921132929"/>
                    <pic:cNvPicPr>
                      <a:picLocks noChangeAspect="1"/>
                    </pic:cNvPicPr>
                  </pic:nvPicPr>
                  <pic:blipFill>
                    <a:blip r:embed="rId37"/>
                    <a:srcRect r="8752" b="-5405"/>
                    <a:stretch>
                      <a:fillRect/>
                    </a:stretch>
                  </pic:blipFill>
                  <pic:spPr>
                    <a:xfrm>
                      <a:off x="0" y="0"/>
                      <a:ext cx="403860" cy="173355"/>
                    </a:xfrm>
                    <a:prstGeom prst="rect">
                      <a:avLst/>
                    </a:prstGeom>
                  </pic:spPr>
                </pic:pic>
              </a:graphicData>
            </a:graphic>
          </wp:inline>
        </w:drawing>
      </w:r>
      <w:r>
        <w:rPr>
          <w:rFonts w:hint="default" w:ascii="Times New Roman" w:hAnsi="Times New Roman" w:cs="Times New Roman"/>
          <w:color w:val="auto"/>
          <w:kern w:val="0"/>
          <w:sz w:val="24"/>
          <w:szCs w:val="24"/>
          <w:vertAlign w:val="subscript"/>
          <w:lang w:val="en-US" w:eastAsia="zh-CN" w:bidi="ar"/>
        </w:rPr>
        <w:t>m</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cs="Times New Roman"/>
          <w:color w:val="auto"/>
          <w:kern w:val="0"/>
          <w:sz w:val="24"/>
          <w:szCs w:val="24"/>
          <w:lang w:val="en-US" w:eastAsia="zh-CN" w:bidi="ar"/>
        </w:rPr>
        <w:t>中</w:t>
      </w:r>
      <w:r>
        <w:rPr>
          <w:rFonts w:hint="default" w:ascii="Times New Roman" w:hAnsi="Times New Roman" w:eastAsia="宋体" w:cs="Times New Roman"/>
          <w:color w:val="auto"/>
          <w:kern w:val="0"/>
          <w:sz w:val="24"/>
          <w:szCs w:val="24"/>
          <w:lang w:val="en-US" w:eastAsia="zh-CN" w:bidi="ar"/>
        </w:rPr>
        <w:t>型车在参照点处的平均辐射噪声级，dB(A)；</w:t>
      </w:r>
    </w:p>
    <w:p w14:paraId="777AF311">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drawing>
          <wp:inline distT="0" distB="0" distL="114300" distR="114300">
            <wp:extent cx="403860" cy="173355"/>
            <wp:effectExtent l="0" t="0" r="15240" b="17145"/>
            <wp:docPr id="7" name="图片 7" descr="微信截图_2024092113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截图_20240921132929"/>
                    <pic:cNvPicPr>
                      <a:picLocks noChangeAspect="1"/>
                    </pic:cNvPicPr>
                  </pic:nvPicPr>
                  <pic:blipFill>
                    <a:blip r:embed="rId37"/>
                    <a:srcRect r="8752" b="-5405"/>
                    <a:stretch>
                      <a:fillRect/>
                    </a:stretch>
                  </pic:blipFill>
                  <pic:spPr>
                    <a:xfrm>
                      <a:off x="0" y="0"/>
                      <a:ext cx="403860" cy="173355"/>
                    </a:xfrm>
                    <a:prstGeom prst="rect">
                      <a:avLst/>
                    </a:prstGeom>
                  </pic:spPr>
                </pic:pic>
              </a:graphicData>
            </a:graphic>
          </wp:inline>
        </w:drawing>
      </w:r>
      <w:r>
        <w:rPr>
          <w:rFonts w:hint="default" w:ascii="Times New Roman" w:hAnsi="Times New Roman" w:cs="Times New Roman"/>
          <w:color w:val="auto"/>
          <w:kern w:val="0"/>
          <w:sz w:val="24"/>
          <w:szCs w:val="24"/>
          <w:lang w:val="en-US" w:eastAsia="zh-CN" w:bidi="ar"/>
        </w:rPr>
        <w:t>s</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cs="Times New Roman"/>
          <w:color w:val="auto"/>
          <w:kern w:val="0"/>
          <w:sz w:val="24"/>
          <w:szCs w:val="24"/>
          <w:lang w:val="en-US" w:eastAsia="zh-CN" w:bidi="ar"/>
        </w:rPr>
        <w:t>小</w:t>
      </w:r>
      <w:r>
        <w:rPr>
          <w:rFonts w:hint="default" w:ascii="Times New Roman" w:hAnsi="Times New Roman" w:eastAsia="宋体" w:cs="Times New Roman"/>
          <w:color w:val="auto"/>
          <w:kern w:val="0"/>
          <w:sz w:val="24"/>
          <w:szCs w:val="24"/>
          <w:lang w:val="en-US" w:eastAsia="zh-CN" w:bidi="ar"/>
        </w:rPr>
        <w:t>型车在参照点处的平均辐射噪声级，dB(A)；</w:t>
      </w:r>
    </w:p>
    <w:p w14:paraId="03C20D5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V</w:t>
      </w:r>
      <w:r>
        <w:rPr>
          <w:rFonts w:hint="default" w:ascii="Times New Roman" w:hAnsi="Times New Roman" w:eastAsia="宋体" w:cs="Times New Roman"/>
          <w:color w:val="auto"/>
          <w:kern w:val="0"/>
          <w:sz w:val="15"/>
          <w:szCs w:val="15"/>
          <w:lang w:val="en-US" w:eastAsia="zh-CN" w:bidi="ar"/>
        </w:rPr>
        <w:t>l</w:t>
      </w:r>
      <w:r>
        <w:rPr>
          <w:rFonts w:hint="default" w:ascii="Times New Roman" w:hAnsi="Times New Roman" w:eastAsia="宋体" w:cs="Times New Roman"/>
          <w:color w:val="auto"/>
          <w:kern w:val="0"/>
          <w:sz w:val="24"/>
          <w:szCs w:val="24"/>
          <w:lang w:val="en-US" w:eastAsia="zh-CN" w:bidi="ar"/>
        </w:rPr>
        <w:t>、V</w:t>
      </w:r>
      <w:r>
        <w:rPr>
          <w:rFonts w:hint="default" w:ascii="Times New Roman" w:hAnsi="Times New Roman" w:eastAsia="宋体" w:cs="Times New Roman"/>
          <w:color w:val="auto"/>
          <w:kern w:val="0"/>
          <w:sz w:val="15"/>
          <w:szCs w:val="15"/>
          <w:lang w:val="en-US" w:eastAsia="zh-CN" w:bidi="ar"/>
        </w:rPr>
        <w:t>m</w:t>
      </w:r>
      <w:r>
        <w:rPr>
          <w:rFonts w:hint="default" w:ascii="Times New Roman" w:hAnsi="Times New Roman" w:eastAsia="宋体" w:cs="Times New Roman"/>
          <w:color w:val="auto"/>
          <w:kern w:val="0"/>
          <w:sz w:val="24"/>
          <w:szCs w:val="24"/>
          <w:lang w:val="en-US" w:eastAsia="zh-CN" w:bidi="ar"/>
        </w:rPr>
        <w:t>、V</w:t>
      </w:r>
      <w:r>
        <w:rPr>
          <w:rFonts w:hint="default" w:ascii="Times New Roman" w:hAnsi="Times New Roman" w:eastAsia="宋体" w:cs="Times New Roman"/>
          <w:color w:val="auto"/>
          <w:kern w:val="0"/>
          <w:sz w:val="15"/>
          <w:szCs w:val="15"/>
          <w:lang w:val="en-US" w:eastAsia="zh-CN" w:bidi="ar"/>
        </w:rPr>
        <w:t>s</w:t>
      </w:r>
      <w:r>
        <w:rPr>
          <w:rFonts w:hint="default" w:ascii="Times New Roman" w:hAnsi="Times New Roman" w:eastAsia="宋体" w:cs="Times New Roman"/>
          <w:color w:val="auto"/>
          <w:kern w:val="0"/>
          <w:sz w:val="24"/>
          <w:szCs w:val="24"/>
          <w:lang w:val="en-US" w:eastAsia="zh-CN" w:bidi="ar"/>
        </w:rPr>
        <w:t>——分别表示大、中、小型车的平均行驶速度，km/h。</w:t>
      </w:r>
    </w:p>
    <w:p w14:paraId="4B809E7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《环境影响评价技术导则 公路建设项目》（HJ 1358-2024）附录C中各类型单车车速预测采用如下公式，并根据实际交通情况进行调整：</w:t>
      </w:r>
    </w:p>
    <w:p w14:paraId="3AB7CC50">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drawing>
          <wp:anchor distT="0" distB="0" distL="114300" distR="114300" simplePos="0" relativeHeight="251671552" behindDoc="0" locked="0" layoutInCell="1" allowOverlap="1">
            <wp:simplePos x="0" y="0"/>
            <wp:positionH relativeFrom="column">
              <wp:posOffset>1156970</wp:posOffset>
            </wp:positionH>
            <wp:positionV relativeFrom="paragraph">
              <wp:posOffset>462280</wp:posOffset>
            </wp:positionV>
            <wp:extent cx="1446530" cy="219075"/>
            <wp:effectExtent l="0" t="0" r="1270" b="9525"/>
            <wp:wrapTopAndBottom/>
            <wp:docPr id="52" name="图片 52" descr="微信截图_2025021017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微信截图_20250210171245"/>
                    <pic:cNvPicPr>
                      <a:picLocks noChangeAspect="1"/>
                    </pic:cNvPicPr>
                  </pic:nvPicPr>
                  <pic:blipFill>
                    <a:blip r:embed="rId38"/>
                    <a:stretch>
                      <a:fillRect/>
                    </a:stretch>
                  </pic:blipFill>
                  <pic:spPr>
                    <a:xfrm>
                      <a:off x="0" y="0"/>
                      <a:ext cx="1446530" cy="219075"/>
                    </a:xfrm>
                    <a:prstGeom prst="rect">
                      <a:avLst/>
                    </a:prstGeom>
                  </pic:spPr>
                </pic:pic>
              </a:graphicData>
            </a:graphic>
          </wp:anchor>
        </w:drawing>
      </w:r>
      <w:r>
        <w:rPr>
          <w:rFonts w:hint="default" w:ascii="Times New Roman" w:hAnsi="Times New Roman" w:eastAsia="宋体" w:cs="Times New Roman"/>
          <w:color w:val="auto"/>
          <w:kern w:val="0"/>
          <w:sz w:val="24"/>
          <w:szCs w:val="24"/>
          <w:lang w:val="en-US" w:eastAsia="zh-CN" w:bidi="ar"/>
        </w:rPr>
        <w:drawing>
          <wp:anchor distT="0" distB="0" distL="114300" distR="114300" simplePos="0" relativeHeight="251670528" behindDoc="0" locked="0" layoutInCell="1" allowOverlap="1">
            <wp:simplePos x="0" y="0"/>
            <wp:positionH relativeFrom="column">
              <wp:posOffset>919480</wp:posOffset>
            </wp:positionH>
            <wp:positionV relativeFrom="paragraph">
              <wp:posOffset>15240</wp:posOffset>
            </wp:positionV>
            <wp:extent cx="1882775" cy="415290"/>
            <wp:effectExtent l="0" t="0" r="3175" b="3810"/>
            <wp:wrapTopAndBottom/>
            <wp:docPr id="51" name="图片 51" descr="微信截图_2025021017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微信截图_20250210170835"/>
                    <pic:cNvPicPr>
                      <a:picLocks noChangeAspect="1"/>
                    </pic:cNvPicPr>
                  </pic:nvPicPr>
                  <pic:blipFill>
                    <a:blip r:embed="rId39"/>
                    <a:stretch>
                      <a:fillRect/>
                    </a:stretch>
                  </pic:blipFill>
                  <pic:spPr>
                    <a:xfrm>
                      <a:off x="0" y="0"/>
                      <a:ext cx="1882775" cy="415290"/>
                    </a:xfrm>
                    <a:prstGeom prst="rect">
                      <a:avLst/>
                    </a:prstGeom>
                  </pic:spPr>
                </pic:pic>
              </a:graphicData>
            </a:graphic>
          </wp:anchor>
        </w:drawing>
      </w:r>
      <w:r>
        <w:rPr>
          <w:rFonts w:hint="default" w:ascii="Times New Roman" w:hAnsi="Times New Roman" w:eastAsia="宋体" w:cs="Times New Roman"/>
          <w:color w:val="auto"/>
          <w:kern w:val="0"/>
          <w:sz w:val="24"/>
          <w:szCs w:val="24"/>
          <w:lang w:val="en-US" w:eastAsia="zh-CN" w:bidi="ar"/>
        </w:rPr>
        <w:t>式中：</w:t>
      </w:r>
    </w:p>
    <w:p w14:paraId="41101375">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vi</w:t>
      </w:r>
      <w:r>
        <w:rPr>
          <w:rFonts w:hint="default" w:ascii="Times New Roman" w:hAnsi="Times New Roman" w:eastAsia="宋体" w:cs="Times New Roman"/>
          <w:color w:val="auto"/>
          <w:kern w:val="0"/>
          <w:sz w:val="24"/>
          <w:szCs w:val="24"/>
          <w:lang w:val="en-US" w:eastAsia="zh-CN" w:bidi="ar"/>
        </w:rPr>
        <w:t>——i型车平均车速，km/h；</w:t>
      </w:r>
    </w:p>
    <w:p w14:paraId="6DE6A576">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k</w:t>
      </w:r>
      <w:r>
        <w:rPr>
          <w:rFonts w:hint="default" w:ascii="Times New Roman" w:hAnsi="Times New Roman" w:eastAsia="宋体" w:cs="Times New Roman"/>
          <w:i/>
          <w:iCs/>
          <w:color w:val="auto"/>
          <w:kern w:val="0"/>
          <w:sz w:val="24"/>
          <w:szCs w:val="24"/>
          <w:vertAlign w:val="subscript"/>
          <w:lang w:val="en-US" w:eastAsia="zh-CN" w:bidi="ar"/>
        </w:rPr>
        <w:t>1i</w:t>
      </w:r>
      <w:r>
        <w:rPr>
          <w:rFonts w:hint="default" w:ascii="Times New Roman" w:hAnsi="Times New Roman" w:eastAsia="宋体" w:cs="Times New Roman"/>
          <w:i/>
          <w:iCs/>
          <w:color w:val="auto"/>
          <w:kern w:val="0"/>
          <w:sz w:val="24"/>
          <w:szCs w:val="24"/>
          <w:lang w:val="en-US" w:eastAsia="zh-CN" w:bidi="ar"/>
        </w:rPr>
        <w:t>、k</w:t>
      </w:r>
      <w:r>
        <w:rPr>
          <w:rFonts w:hint="default" w:ascii="Times New Roman" w:hAnsi="Times New Roman" w:eastAsia="宋体" w:cs="Times New Roman"/>
          <w:i/>
          <w:iCs/>
          <w:color w:val="auto"/>
          <w:kern w:val="0"/>
          <w:sz w:val="24"/>
          <w:szCs w:val="24"/>
          <w:vertAlign w:val="subscript"/>
          <w:lang w:val="en-US" w:eastAsia="zh-CN" w:bidi="ar"/>
        </w:rPr>
        <w:t>2i</w:t>
      </w:r>
      <w:r>
        <w:rPr>
          <w:rFonts w:hint="default" w:ascii="Times New Roman" w:hAnsi="Times New Roman" w:eastAsia="宋体" w:cs="Times New Roman"/>
          <w:i/>
          <w:iCs/>
          <w:color w:val="auto"/>
          <w:kern w:val="0"/>
          <w:sz w:val="24"/>
          <w:szCs w:val="24"/>
          <w:lang w:val="en-US" w:eastAsia="zh-CN" w:bidi="ar"/>
        </w:rPr>
        <w:t>、k</w:t>
      </w:r>
      <w:r>
        <w:rPr>
          <w:rFonts w:hint="default" w:ascii="Times New Roman" w:hAnsi="Times New Roman" w:eastAsia="宋体" w:cs="Times New Roman"/>
          <w:i/>
          <w:iCs/>
          <w:color w:val="auto"/>
          <w:kern w:val="0"/>
          <w:sz w:val="24"/>
          <w:szCs w:val="24"/>
          <w:vertAlign w:val="subscript"/>
          <w:lang w:val="en-US" w:eastAsia="zh-CN" w:bidi="ar"/>
        </w:rPr>
        <w:t>3i</w:t>
      </w:r>
      <w:r>
        <w:rPr>
          <w:rFonts w:hint="default" w:ascii="Times New Roman" w:hAnsi="Times New Roman" w:eastAsia="宋体" w:cs="Times New Roman"/>
          <w:i/>
          <w:iCs/>
          <w:color w:val="auto"/>
          <w:kern w:val="0"/>
          <w:sz w:val="24"/>
          <w:szCs w:val="24"/>
          <w:lang w:val="en-US" w:eastAsia="zh-CN" w:bidi="ar"/>
        </w:rPr>
        <w:t>、k</w:t>
      </w:r>
      <w:r>
        <w:rPr>
          <w:rFonts w:hint="default" w:ascii="Times New Roman" w:hAnsi="Times New Roman" w:eastAsia="宋体" w:cs="Times New Roman"/>
          <w:i/>
          <w:iCs/>
          <w:color w:val="auto"/>
          <w:kern w:val="0"/>
          <w:sz w:val="24"/>
          <w:szCs w:val="24"/>
          <w:vertAlign w:val="subscript"/>
          <w:lang w:val="en-US" w:eastAsia="zh-CN" w:bidi="ar"/>
        </w:rPr>
        <w:t>4i</w:t>
      </w:r>
      <w:r>
        <w:rPr>
          <w:rFonts w:hint="default" w:ascii="Times New Roman" w:hAnsi="Times New Roman" w:eastAsia="宋体" w:cs="Times New Roman"/>
          <w:color w:val="auto"/>
          <w:kern w:val="0"/>
          <w:sz w:val="24"/>
          <w:szCs w:val="24"/>
          <w:lang w:val="en-US" w:eastAsia="zh-CN" w:bidi="ar"/>
        </w:rPr>
        <w:t>——回归系数；</w:t>
      </w:r>
    </w:p>
    <w:p w14:paraId="1DB64784">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u</w:t>
      </w:r>
      <w:r>
        <w:rPr>
          <w:rFonts w:hint="default" w:ascii="Times New Roman" w:hAnsi="Times New Roman" w:eastAsia="宋体" w:cs="Times New Roman"/>
          <w:i/>
          <w:iCs/>
          <w:color w:val="auto"/>
          <w:kern w:val="0"/>
          <w:sz w:val="24"/>
          <w:szCs w:val="24"/>
          <w:vertAlign w:val="subscript"/>
          <w:lang w:val="en-US" w:eastAsia="zh-CN" w:bidi="ar"/>
        </w:rPr>
        <w:t>i</w:t>
      </w:r>
      <w:r>
        <w:rPr>
          <w:rFonts w:hint="default" w:ascii="Times New Roman" w:hAnsi="Times New Roman" w:eastAsia="宋体" w:cs="Times New Roman"/>
          <w:color w:val="auto"/>
          <w:kern w:val="0"/>
          <w:sz w:val="24"/>
          <w:szCs w:val="24"/>
          <w:lang w:val="en-US" w:eastAsia="zh-CN" w:bidi="ar"/>
        </w:rPr>
        <w:t>——该车型当量车数；</w:t>
      </w:r>
    </w:p>
    <w:p w14:paraId="419F87A3">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4"/>
          <w:szCs w:val="24"/>
        </w:rPr>
      </w:pPr>
      <w:r>
        <w:rPr>
          <w:rFonts w:hint="default" w:ascii="Times New Roman" w:hAnsi="Times New Roman" w:cs="Times New Roman"/>
          <w:color w:val="auto"/>
          <w:kern w:val="0"/>
          <w:sz w:val="24"/>
          <w:szCs w:val="24"/>
          <w:lang w:val="en-US" w:eastAsia="zh-CN" w:bidi="ar"/>
        </w:rPr>
        <w:t>vol</w:t>
      </w:r>
      <w:r>
        <w:rPr>
          <w:rFonts w:hint="default" w:ascii="Times New Roman" w:hAnsi="Times New Roman" w:eastAsia="宋体" w:cs="Times New Roman"/>
          <w:color w:val="auto"/>
          <w:kern w:val="0"/>
          <w:sz w:val="24"/>
          <w:szCs w:val="24"/>
          <w:lang w:val="en-US" w:eastAsia="zh-CN" w:bidi="ar"/>
        </w:rPr>
        <w:t>——单车道</w:t>
      </w:r>
      <w:r>
        <w:rPr>
          <w:rFonts w:hint="default" w:ascii="Times New Roman" w:hAnsi="Times New Roman" w:cs="Times New Roman"/>
          <w:color w:val="auto"/>
          <w:kern w:val="0"/>
          <w:sz w:val="24"/>
          <w:szCs w:val="24"/>
          <w:lang w:val="en-US" w:eastAsia="zh-CN" w:bidi="ar"/>
        </w:rPr>
        <w:t>绝对交通</w:t>
      </w:r>
      <w:r>
        <w:rPr>
          <w:rFonts w:hint="default" w:ascii="Times New Roman" w:hAnsi="Times New Roman" w:eastAsia="宋体" w:cs="Times New Roman"/>
          <w:color w:val="auto"/>
          <w:kern w:val="0"/>
          <w:sz w:val="24"/>
          <w:szCs w:val="24"/>
          <w:lang w:val="en-US" w:eastAsia="zh-CN" w:bidi="ar"/>
        </w:rPr>
        <w:t>量</w:t>
      </w:r>
      <w:r>
        <w:rPr>
          <w:rFonts w:hint="default" w:ascii="Times New Roman" w:hAnsi="Times New Roman" w:cs="Times New Roman"/>
          <w:color w:val="auto"/>
          <w:kern w:val="0"/>
          <w:sz w:val="24"/>
          <w:szCs w:val="24"/>
          <w:lang w:val="en-US" w:eastAsia="zh-CN" w:bidi="ar"/>
        </w:rPr>
        <w:t>，辆/h</w:t>
      </w:r>
      <w:r>
        <w:rPr>
          <w:rFonts w:hint="default" w:ascii="Times New Roman" w:hAnsi="Times New Roman" w:eastAsia="宋体" w:cs="Times New Roman"/>
          <w:color w:val="auto"/>
          <w:kern w:val="0"/>
          <w:sz w:val="24"/>
          <w:szCs w:val="24"/>
          <w:lang w:val="en-US" w:eastAsia="zh-CN" w:bidi="ar"/>
        </w:rPr>
        <w:t>；</w:t>
      </w:r>
    </w:p>
    <w:p w14:paraId="2F6C7AD9">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η</w:t>
      </w:r>
      <w:r>
        <w:rPr>
          <w:rFonts w:hint="default" w:ascii="Times New Roman" w:hAnsi="Times New Roman" w:eastAsia="宋体" w:cs="Times New Roman"/>
          <w:i/>
          <w:iCs/>
          <w:color w:val="auto"/>
          <w:kern w:val="0"/>
          <w:sz w:val="24"/>
          <w:szCs w:val="24"/>
          <w:vertAlign w:val="subscript"/>
          <w:lang w:val="en-US" w:eastAsia="zh-CN" w:bidi="ar"/>
        </w:rPr>
        <w:t>i</w:t>
      </w:r>
      <w:r>
        <w:rPr>
          <w:rFonts w:hint="default" w:ascii="Times New Roman" w:hAnsi="Times New Roman" w:eastAsia="宋体" w:cs="Times New Roman"/>
          <w:color w:val="auto"/>
          <w:kern w:val="0"/>
          <w:sz w:val="24"/>
          <w:szCs w:val="24"/>
          <w:lang w:val="en-US" w:eastAsia="zh-CN" w:bidi="ar"/>
        </w:rPr>
        <w:t>——该车型的车型比；</w:t>
      </w:r>
    </w:p>
    <w:p w14:paraId="37A0516E">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m</w:t>
      </w:r>
      <w:r>
        <w:rPr>
          <w:rFonts w:hint="default" w:ascii="Times New Roman" w:hAnsi="Times New Roman" w:cs="Times New Roman"/>
          <w:i/>
          <w:iCs/>
          <w:color w:val="auto"/>
          <w:kern w:val="0"/>
          <w:sz w:val="24"/>
          <w:szCs w:val="24"/>
          <w:vertAlign w:val="subscript"/>
          <w:lang w:val="en-US" w:eastAsia="zh-CN" w:bidi="ar"/>
        </w:rPr>
        <w:t>i</w:t>
      </w:r>
      <w:r>
        <w:rPr>
          <w:rFonts w:hint="default" w:ascii="Times New Roman" w:hAnsi="Times New Roman" w:eastAsia="宋体" w:cs="Times New Roman"/>
          <w:color w:val="auto"/>
          <w:kern w:val="0"/>
          <w:sz w:val="24"/>
          <w:szCs w:val="24"/>
          <w:lang w:val="en-US" w:eastAsia="zh-CN" w:bidi="ar"/>
        </w:rPr>
        <w:t>——其他车型的加权系数；</w:t>
      </w:r>
    </w:p>
    <w:p w14:paraId="2315CC25">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V</w:t>
      </w:r>
      <w:r>
        <w:rPr>
          <w:rFonts w:hint="default" w:ascii="Times New Roman" w:hAnsi="Times New Roman" w:cs="Times New Roman"/>
          <w:color w:val="auto"/>
          <w:kern w:val="0"/>
          <w:sz w:val="24"/>
          <w:szCs w:val="24"/>
          <w:vertAlign w:val="subscript"/>
          <w:lang w:val="en-US" w:eastAsia="zh-CN" w:bidi="ar"/>
        </w:rPr>
        <w:t>d</w:t>
      </w:r>
      <w:r>
        <w:rPr>
          <w:rFonts w:hint="default" w:ascii="Times New Roman" w:hAnsi="Times New Roman" w:eastAsia="宋体" w:cs="Times New Roman"/>
          <w:color w:val="auto"/>
          <w:kern w:val="0"/>
          <w:sz w:val="24"/>
          <w:szCs w:val="24"/>
          <w:lang w:val="en-US" w:eastAsia="zh-CN" w:bidi="ar"/>
        </w:rPr>
        <w:t>——设计速度，km/h。</w:t>
      </w:r>
    </w:p>
    <w:p w14:paraId="4F448A30">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预测车速常用系数，见表3.</w:t>
      </w:r>
      <w:r>
        <w:rPr>
          <w:rFonts w:hint="eastAsia" w:ascii="Times New Roman" w:hAnsi="Times New Roman"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w:t>
      </w:r>
      <w:r>
        <w:rPr>
          <w:rFonts w:hint="eastAsia" w:ascii="Times New Roman" w:hAnsi="Times New Roman" w:cs="Times New Roman"/>
          <w:color w:val="auto"/>
          <w:kern w:val="0"/>
          <w:sz w:val="24"/>
          <w:szCs w:val="24"/>
          <w:lang w:val="en-US" w:eastAsia="zh-CN" w:bidi="ar"/>
        </w:rPr>
        <w:t>6</w:t>
      </w:r>
      <w:r>
        <w:rPr>
          <w:rFonts w:hint="default" w:ascii="Times New Roman" w:hAnsi="Times New Roman" w:eastAsia="宋体" w:cs="Times New Roman"/>
          <w:color w:val="auto"/>
          <w:kern w:val="0"/>
          <w:sz w:val="24"/>
          <w:szCs w:val="24"/>
          <w:lang w:val="en-US" w:eastAsia="zh-CN" w:bidi="ar"/>
        </w:rPr>
        <w:t>。</w:t>
      </w:r>
    </w:p>
    <w:p w14:paraId="18C27D88">
      <w:pPr>
        <w:pStyle w:val="39"/>
        <w:bidi w:val="0"/>
        <w:rPr>
          <w:rFonts w:hint="default" w:ascii="Times New Roman" w:hAnsi="Times New Roman" w:cs="Times New Roman"/>
          <w:color w:val="auto"/>
        </w:rPr>
      </w:pPr>
      <w:r>
        <w:rPr>
          <w:rFonts w:hint="default" w:ascii="Times New Roman" w:hAnsi="Times New Roman" w:cs="Times New Roman"/>
          <w:color w:val="auto"/>
          <w:lang w:val="en-US" w:eastAsia="zh-CN"/>
        </w:rPr>
        <w:t>表3.</w:t>
      </w:r>
      <w:r>
        <w:rPr>
          <w:rFonts w:hint="eastAsia" w:ascii="Times New Roman" w:hAnsi="Times New Roman" w:cs="Times New Roman"/>
          <w:color w:val="auto"/>
          <w:lang w:val="en-US" w:eastAsia="zh-CN"/>
        </w:rPr>
        <w:t>3</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6</w:t>
      </w:r>
      <w:r>
        <w:rPr>
          <w:rFonts w:hint="default" w:ascii="Times New Roman" w:hAnsi="Times New Roman" w:cs="Times New Roman"/>
          <w:color w:val="auto"/>
          <w:lang w:val="en-US" w:eastAsia="zh-CN"/>
        </w:rPr>
        <w:t xml:space="preserve"> 预测车速常用系数取值表</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1"/>
        <w:gridCol w:w="1421"/>
        <w:gridCol w:w="1421"/>
      </w:tblGrid>
      <w:tr w14:paraId="1A5ED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0" w:type="dxa"/>
            <w:vAlign w:val="center"/>
          </w:tcPr>
          <w:p w14:paraId="6167F07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车型</w:t>
            </w:r>
          </w:p>
        </w:tc>
        <w:tc>
          <w:tcPr>
            <w:tcW w:w="1420" w:type="dxa"/>
            <w:vAlign w:val="center"/>
          </w:tcPr>
          <w:p w14:paraId="16CA38E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k</w:t>
            </w:r>
            <w:r>
              <w:rPr>
                <w:rFonts w:hint="default" w:ascii="Times New Roman" w:hAnsi="Times New Roman" w:cs="Times New Roman"/>
                <w:color w:val="auto"/>
                <w:sz w:val="21"/>
                <w:szCs w:val="21"/>
                <w:vertAlign w:val="subscript"/>
                <w:lang w:val="en-US" w:eastAsia="zh-CN"/>
              </w:rPr>
              <w:t>1</w:t>
            </w:r>
          </w:p>
        </w:tc>
        <w:tc>
          <w:tcPr>
            <w:tcW w:w="1420" w:type="dxa"/>
            <w:vAlign w:val="center"/>
          </w:tcPr>
          <w:p w14:paraId="51C1CE3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k</w:t>
            </w:r>
            <w:r>
              <w:rPr>
                <w:rFonts w:hint="default" w:ascii="Times New Roman" w:hAnsi="Times New Roman" w:cs="Times New Roman"/>
                <w:color w:val="auto"/>
                <w:sz w:val="21"/>
                <w:szCs w:val="21"/>
                <w:vertAlign w:val="subscript"/>
                <w:lang w:val="en-US" w:eastAsia="zh-CN"/>
              </w:rPr>
              <w:t>2</w:t>
            </w:r>
          </w:p>
        </w:tc>
        <w:tc>
          <w:tcPr>
            <w:tcW w:w="1421" w:type="dxa"/>
            <w:vAlign w:val="center"/>
          </w:tcPr>
          <w:p w14:paraId="39FC487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k</w:t>
            </w:r>
            <w:r>
              <w:rPr>
                <w:rFonts w:hint="default" w:ascii="Times New Roman" w:hAnsi="Times New Roman" w:cs="Times New Roman"/>
                <w:color w:val="auto"/>
                <w:sz w:val="21"/>
                <w:szCs w:val="21"/>
                <w:vertAlign w:val="subscript"/>
                <w:lang w:val="en-US" w:eastAsia="zh-CN"/>
              </w:rPr>
              <w:t>3</w:t>
            </w:r>
          </w:p>
        </w:tc>
        <w:tc>
          <w:tcPr>
            <w:tcW w:w="1421" w:type="dxa"/>
            <w:vAlign w:val="center"/>
          </w:tcPr>
          <w:p w14:paraId="3D76F80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k</w:t>
            </w:r>
            <w:r>
              <w:rPr>
                <w:rFonts w:hint="default" w:ascii="Times New Roman" w:hAnsi="Times New Roman" w:cs="Times New Roman"/>
                <w:color w:val="auto"/>
                <w:sz w:val="21"/>
                <w:szCs w:val="21"/>
                <w:vertAlign w:val="subscript"/>
                <w:lang w:val="en-US" w:eastAsia="zh-CN"/>
              </w:rPr>
              <w:t>4</w:t>
            </w:r>
          </w:p>
        </w:tc>
        <w:tc>
          <w:tcPr>
            <w:tcW w:w="1421" w:type="dxa"/>
            <w:vAlign w:val="center"/>
          </w:tcPr>
          <w:p w14:paraId="67897A0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m</w:t>
            </w:r>
            <w:r>
              <w:rPr>
                <w:rFonts w:hint="default" w:ascii="Times New Roman" w:hAnsi="Times New Roman" w:cs="Times New Roman"/>
                <w:color w:val="auto"/>
                <w:sz w:val="21"/>
                <w:szCs w:val="21"/>
                <w:vertAlign w:val="subscript"/>
                <w:lang w:val="en-US" w:eastAsia="zh-CN"/>
              </w:rPr>
              <w:t>i</w:t>
            </w:r>
          </w:p>
        </w:tc>
      </w:tr>
      <w:tr w14:paraId="45591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0" w:type="dxa"/>
            <w:vAlign w:val="center"/>
          </w:tcPr>
          <w:p w14:paraId="3A578AB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小型车</w:t>
            </w:r>
          </w:p>
        </w:tc>
        <w:tc>
          <w:tcPr>
            <w:tcW w:w="1420" w:type="dxa"/>
            <w:vAlign w:val="center"/>
          </w:tcPr>
          <w:p w14:paraId="067D112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-0.061748</w:t>
            </w:r>
          </w:p>
        </w:tc>
        <w:tc>
          <w:tcPr>
            <w:tcW w:w="1420" w:type="dxa"/>
            <w:vAlign w:val="center"/>
          </w:tcPr>
          <w:p w14:paraId="53A3665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149.65</w:t>
            </w:r>
          </w:p>
        </w:tc>
        <w:tc>
          <w:tcPr>
            <w:tcW w:w="1421" w:type="dxa"/>
            <w:vAlign w:val="center"/>
          </w:tcPr>
          <w:p w14:paraId="33A23B5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-0.000023696</w:t>
            </w:r>
          </w:p>
        </w:tc>
        <w:tc>
          <w:tcPr>
            <w:tcW w:w="1421" w:type="dxa"/>
            <w:vAlign w:val="center"/>
          </w:tcPr>
          <w:p w14:paraId="1923D91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-0.02099</w:t>
            </w:r>
          </w:p>
        </w:tc>
        <w:tc>
          <w:tcPr>
            <w:tcW w:w="1421" w:type="dxa"/>
            <w:vAlign w:val="center"/>
          </w:tcPr>
          <w:p w14:paraId="26CEBD7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1.2102</w:t>
            </w:r>
          </w:p>
        </w:tc>
      </w:tr>
      <w:tr w14:paraId="1A00B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0" w:type="dxa"/>
            <w:vAlign w:val="center"/>
          </w:tcPr>
          <w:p w14:paraId="2F972BD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大、中型车</w:t>
            </w:r>
          </w:p>
        </w:tc>
        <w:tc>
          <w:tcPr>
            <w:tcW w:w="1420" w:type="dxa"/>
            <w:vAlign w:val="center"/>
          </w:tcPr>
          <w:p w14:paraId="73D59FE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-0.051900</w:t>
            </w:r>
          </w:p>
        </w:tc>
        <w:tc>
          <w:tcPr>
            <w:tcW w:w="1420" w:type="dxa"/>
            <w:vAlign w:val="center"/>
          </w:tcPr>
          <w:p w14:paraId="7AB3B83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149.39</w:t>
            </w:r>
          </w:p>
        </w:tc>
        <w:tc>
          <w:tcPr>
            <w:tcW w:w="1421" w:type="dxa"/>
            <w:vAlign w:val="center"/>
          </w:tcPr>
          <w:p w14:paraId="6D8BFB7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-0.000014202</w:t>
            </w:r>
          </w:p>
        </w:tc>
        <w:tc>
          <w:tcPr>
            <w:tcW w:w="1421" w:type="dxa"/>
            <w:vAlign w:val="center"/>
          </w:tcPr>
          <w:p w14:paraId="3C48D68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-0.01254</w:t>
            </w:r>
          </w:p>
        </w:tc>
        <w:tc>
          <w:tcPr>
            <w:tcW w:w="1421" w:type="dxa"/>
            <w:vAlign w:val="center"/>
          </w:tcPr>
          <w:p w14:paraId="309B471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0.70957</w:t>
            </w:r>
          </w:p>
        </w:tc>
      </w:tr>
    </w:tbl>
    <w:p w14:paraId="72BC8714">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结合各路段车流量、昼夜比、车型比等情况，估算的各车型不同预测年（不同车速下）辐射声级见表3.</w:t>
      </w:r>
      <w:r>
        <w:rPr>
          <w:rFonts w:hint="eastAsia" w:ascii="Times New Roman" w:hAnsi="Times New Roman"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-7。</w:t>
      </w:r>
    </w:p>
    <w:p w14:paraId="4856DB99">
      <w:pPr>
        <w:pStyle w:val="39"/>
        <w:bidi w:val="0"/>
        <w:rPr>
          <w:rFonts w:hint="default" w:ascii="Times New Roman" w:hAnsi="Times New Roman" w:cs="Times New Roman"/>
          <w:color w:val="auto"/>
        </w:rPr>
      </w:pPr>
      <w:r>
        <w:rPr>
          <w:rFonts w:hint="default" w:ascii="Times New Roman" w:hAnsi="Times New Roman" w:cs="Times New Roman"/>
          <w:color w:val="auto"/>
          <w:sz w:val="21"/>
        </w:rPr>
        <mc:AlternateContent>
          <mc:Choice Requires="wps">
            <w:drawing>
              <wp:anchor distT="0" distB="0" distL="114300" distR="114300" simplePos="0" relativeHeight="251668480" behindDoc="0" locked="0" layoutInCell="1" allowOverlap="1">
                <wp:simplePos x="0" y="0"/>
                <wp:positionH relativeFrom="column">
                  <wp:posOffset>669925</wp:posOffset>
                </wp:positionH>
                <wp:positionV relativeFrom="paragraph">
                  <wp:posOffset>169545</wp:posOffset>
                </wp:positionV>
                <wp:extent cx="553085" cy="371475"/>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553085" cy="3714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EB3B61">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left"/>
                              <w:textAlignment w:val="auto"/>
                              <w:rPr>
                                <w:rFonts w:hint="default"/>
                                <w:lang w:val="en-US"/>
                              </w:rPr>
                            </w:pPr>
                            <w:r>
                              <w:rPr>
                                <w:rFonts w:hint="eastAsia" w:ascii="宋体" w:hAnsi="宋体" w:cs="宋体"/>
                                <w:color w:val="000000"/>
                                <w:kern w:val="0"/>
                                <w:sz w:val="18"/>
                                <w:szCs w:val="18"/>
                                <w:lang w:val="en-US" w:eastAsia="zh-CN" w:bidi="ar"/>
                              </w:rPr>
                              <w:t>预测年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75pt;margin-top:13.35pt;height:29.25pt;width:43.55pt;z-index:251668480;mso-width-relative:page;mso-height-relative:page;" filled="f" stroked="f" coordsize="21600,21600" o:gfxdata="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3TSVT9kAAAAJAQAADwAAAAAAAAABACAAAAAiAAAAZHJz&#10;L2Rvd25yZXYueG1sUEsBAhQAFAAAAAgAh07iQKwUH5s8AgAAZwQAAA4AAAAAAAAAAQAgAAAAKAEA&#10;AGRycy9lMm9Eb2MueG1sUEsFBgAAAAAGAAYAWQEAANYFAAAAAA==&#10;">
                <v:fill on="f" focussize="0,0"/>
                <v:stroke on="f" weight="0.5pt"/>
                <v:imagedata o:title=""/>
                <o:lock v:ext="edit" aspectratio="f"/>
                <v:textbox>
                  <w:txbxContent>
                    <w:p w14:paraId="63EB3B61">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left"/>
                        <w:textAlignment w:val="auto"/>
                        <w:rPr>
                          <w:rFonts w:hint="default"/>
                          <w:lang w:val="en-US"/>
                        </w:rPr>
                      </w:pPr>
                      <w:r>
                        <w:rPr>
                          <w:rFonts w:hint="eastAsia" w:ascii="宋体" w:hAnsi="宋体" w:cs="宋体"/>
                          <w:color w:val="000000"/>
                          <w:kern w:val="0"/>
                          <w:sz w:val="18"/>
                          <w:szCs w:val="18"/>
                          <w:lang w:val="en-US" w:eastAsia="zh-CN" w:bidi="ar"/>
                        </w:rPr>
                        <w:t>预测年</w:t>
                      </w:r>
                    </w:p>
                  </w:txbxContent>
                </v:textbox>
              </v:shape>
            </w:pict>
          </mc:Fallback>
        </mc:AlternateContent>
      </w:r>
      <w:r>
        <w:rPr>
          <w:rFonts w:hint="default" w:ascii="Times New Roman" w:hAnsi="Times New Roman" w:cs="Times New Roman"/>
          <w:color w:val="auto"/>
          <w:lang w:val="en-US" w:eastAsia="zh-CN"/>
        </w:rPr>
        <w:t>表3.</w:t>
      </w:r>
      <w:r>
        <w:rPr>
          <w:rFonts w:hint="eastAsia" w:ascii="Times New Roman" w:hAnsi="Times New Roman" w:cs="Times New Roman"/>
          <w:color w:val="auto"/>
          <w:lang w:val="en-US" w:eastAsia="zh-CN"/>
        </w:rPr>
        <w:t>3</w:t>
      </w:r>
      <w:r>
        <w:rPr>
          <w:rFonts w:hint="default" w:ascii="Times New Roman" w:hAnsi="Times New Roman" w:cs="Times New Roman"/>
          <w:color w:val="auto"/>
          <w:lang w:val="en-US" w:eastAsia="zh-CN"/>
        </w:rPr>
        <w:t>-7   不同预测年各车型辐射声级一览（80km/h）  单位：dB(A)</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5"/>
        <w:gridCol w:w="1340"/>
        <w:gridCol w:w="1019"/>
        <w:gridCol w:w="1019"/>
        <w:gridCol w:w="1019"/>
        <w:gridCol w:w="1019"/>
        <w:gridCol w:w="1019"/>
        <w:gridCol w:w="1023"/>
      </w:tblGrid>
      <w:tr w14:paraId="1B48A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05" w:type="dxa"/>
            <w:gridSpan w:val="2"/>
            <w:vMerge w:val="restart"/>
            <w:vAlign w:val="center"/>
          </w:tcPr>
          <w:p w14:paraId="44BBE9C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rPr>
              <mc:AlternateContent>
                <mc:Choice Requires="wps">
                  <w:drawing>
                    <wp:anchor distT="0" distB="0" distL="114300" distR="114300" simplePos="0" relativeHeight="251669504" behindDoc="0" locked="0" layoutInCell="1" allowOverlap="1">
                      <wp:simplePos x="0" y="0"/>
                      <wp:positionH relativeFrom="column">
                        <wp:posOffset>419735</wp:posOffset>
                      </wp:positionH>
                      <wp:positionV relativeFrom="paragraph">
                        <wp:posOffset>227330</wp:posOffset>
                      </wp:positionV>
                      <wp:extent cx="686435" cy="371475"/>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686435" cy="3714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F2B4DE">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left"/>
                                    <w:textAlignment w:val="auto"/>
                                    <w:rPr>
                                      <w:rFonts w:hint="default"/>
                                      <w:lang w:val="en-US"/>
                                    </w:rPr>
                                  </w:pPr>
                                  <w:r>
                                    <w:rPr>
                                      <w:rFonts w:hint="eastAsia" w:ascii="宋体" w:hAnsi="宋体" w:cs="宋体"/>
                                      <w:color w:val="000000"/>
                                      <w:kern w:val="0"/>
                                      <w:sz w:val="18"/>
                                      <w:szCs w:val="18"/>
                                      <w:lang w:val="en-US" w:eastAsia="zh-CN" w:bidi="ar"/>
                                    </w:rPr>
                                    <w:t>辐射声级</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05pt;margin-top:17.9pt;height:29.25pt;width:54.05pt;z-index:251669504;mso-width-relative:page;mso-height-relative:page;" filled="f" stroked="f" coordsize="21600,21600" o:gfxdata="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QVbq/aAAAACAEAAA8AAAAAAAAAAQAgAAAAIgAAAGRy&#10;cy9kb3ducmV2LnhtbFBLAQIUABQAAAAIAIdO4kAOPfEoPAIAAGcEAAAOAAAAAAAAAAEAIAAAACkB&#10;AABkcnMvZTJvRG9jLnhtbFBLBQYAAAAABgAGAFkBAADXBQAAAAA=&#10;">
                      <v:fill on="f" focussize="0,0"/>
                      <v:stroke on="f" weight="0.5pt"/>
                      <v:imagedata o:title=""/>
                      <o:lock v:ext="edit" aspectratio="f"/>
                      <v:textbox>
                        <w:txbxContent>
                          <w:p w14:paraId="76F2B4DE">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left"/>
                              <w:textAlignment w:val="auto"/>
                              <w:rPr>
                                <w:rFonts w:hint="default"/>
                                <w:lang w:val="en-US"/>
                              </w:rPr>
                            </w:pPr>
                            <w:r>
                              <w:rPr>
                                <w:rFonts w:hint="eastAsia" w:ascii="宋体" w:hAnsi="宋体" w:cs="宋体"/>
                                <w:color w:val="000000"/>
                                <w:kern w:val="0"/>
                                <w:sz w:val="18"/>
                                <w:szCs w:val="18"/>
                                <w:lang w:val="en-US" w:eastAsia="zh-CN" w:bidi="ar"/>
                              </w:rPr>
                              <w:t>辐射声级</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67456" behindDoc="0" locked="0" layoutInCell="1" allowOverlap="1">
                      <wp:simplePos x="0" y="0"/>
                      <wp:positionH relativeFrom="column">
                        <wp:posOffset>-132715</wp:posOffset>
                      </wp:positionH>
                      <wp:positionV relativeFrom="paragraph">
                        <wp:posOffset>103505</wp:posOffset>
                      </wp:positionV>
                      <wp:extent cx="477520" cy="371475"/>
                      <wp:effectExtent l="0" t="0" r="0" b="0"/>
                      <wp:wrapNone/>
                      <wp:docPr id="17" name="文本框 17"/>
                      <wp:cNvGraphicFramePr/>
                      <a:graphic xmlns:a="http://schemas.openxmlformats.org/drawingml/2006/main">
                        <a:graphicData uri="http://schemas.microsoft.com/office/word/2010/wordprocessingShape">
                          <wps:wsp>
                            <wps:cNvSpPr txBox="1"/>
                            <wps:spPr>
                              <a:xfrm>
                                <a:off x="1277620" y="2781300"/>
                                <a:ext cx="477520" cy="3714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0C31EB">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left"/>
                                    <w:textAlignment w:val="auto"/>
                                    <w:rPr>
                                      <w:rFonts w:hint="eastAsia" w:ascii="宋体" w:hAnsi="宋体" w:eastAsia="宋体" w:cs="宋体"/>
                                      <w:color w:val="000000"/>
                                      <w:kern w:val="0"/>
                                      <w:sz w:val="18"/>
                                      <w:szCs w:val="18"/>
                                      <w:lang w:val="en-US" w:eastAsia="zh-CN" w:bidi="ar"/>
                                    </w:rPr>
                                  </w:pPr>
                                  <w:r>
                                    <w:rPr>
                                      <w:rFonts w:hint="eastAsia" w:ascii="宋体" w:hAnsi="宋体" w:eastAsia="宋体" w:cs="宋体"/>
                                      <w:color w:val="000000"/>
                                      <w:kern w:val="0"/>
                                      <w:sz w:val="18"/>
                                      <w:szCs w:val="18"/>
                                      <w:lang w:val="en-US" w:eastAsia="zh-CN" w:bidi="ar"/>
                                    </w:rPr>
                                    <w:t>路段</w:t>
                                  </w:r>
                                </w:p>
                                <w:p w14:paraId="26384CDE">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left"/>
                                    <w:textAlignment w:val="auto"/>
                                  </w:pPr>
                                  <w:r>
                                    <w:rPr>
                                      <w:rFonts w:hint="eastAsia" w:ascii="宋体" w:hAnsi="宋体" w:eastAsia="宋体" w:cs="宋体"/>
                                      <w:color w:val="000000"/>
                                      <w:kern w:val="0"/>
                                      <w:sz w:val="18"/>
                                      <w:szCs w:val="18"/>
                                      <w:lang w:val="en-US" w:eastAsia="zh-CN" w:bidi="ar"/>
                                    </w:rPr>
                                    <w:t>名称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45pt;margin-top:8.15pt;height:29.25pt;width:37.6pt;z-index:251667456;mso-width-relative:page;mso-height-relative:page;" filled="f" stroked="f" coordsize="21600,21600" o:gfxdata="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CvheP3aAAAACAEAAA8AAAAAAAAAAQAg&#10;AAAAIgAAAGRycy9kb3ducmV2LnhtbFBLAQIUABQAAAAIAIdO4kBby+UaRQIAAHMEAAAOAAAAAAAA&#10;AAEAIAAAACkBAABkcnMvZTJvRG9jLnhtbFBLBQYAAAAABgAGAFkBAADgBQAAAAA=&#10;">
                      <v:fill on="f" focussize="0,0"/>
                      <v:stroke on="f" weight="0.5pt"/>
                      <v:imagedata o:title=""/>
                      <o:lock v:ext="edit" aspectratio="f"/>
                      <v:textbox>
                        <w:txbxContent>
                          <w:p w14:paraId="570C31EB">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left"/>
                              <w:textAlignment w:val="auto"/>
                              <w:rPr>
                                <w:rFonts w:hint="eastAsia" w:ascii="宋体" w:hAnsi="宋体" w:eastAsia="宋体" w:cs="宋体"/>
                                <w:color w:val="000000"/>
                                <w:kern w:val="0"/>
                                <w:sz w:val="18"/>
                                <w:szCs w:val="18"/>
                                <w:lang w:val="en-US" w:eastAsia="zh-CN" w:bidi="ar"/>
                              </w:rPr>
                            </w:pPr>
                            <w:r>
                              <w:rPr>
                                <w:rFonts w:hint="eastAsia" w:ascii="宋体" w:hAnsi="宋体" w:eastAsia="宋体" w:cs="宋体"/>
                                <w:color w:val="000000"/>
                                <w:kern w:val="0"/>
                                <w:sz w:val="18"/>
                                <w:szCs w:val="18"/>
                                <w:lang w:val="en-US" w:eastAsia="zh-CN" w:bidi="ar"/>
                              </w:rPr>
                              <w:t>路段</w:t>
                            </w:r>
                          </w:p>
                          <w:p w14:paraId="26384CDE">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left"/>
                              <w:textAlignment w:val="auto"/>
                            </w:pPr>
                            <w:r>
                              <w:rPr>
                                <w:rFonts w:hint="eastAsia" w:ascii="宋体" w:hAnsi="宋体" w:eastAsia="宋体" w:cs="宋体"/>
                                <w:color w:val="000000"/>
                                <w:kern w:val="0"/>
                                <w:sz w:val="18"/>
                                <w:szCs w:val="18"/>
                                <w:lang w:val="en-US" w:eastAsia="zh-CN" w:bidi="ar"/>
                              </w:rPr>
                              <w:t>名称</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66432" behindDoc="0" locked="0" layoutInCell="1" allowOverlap="1">
                      <wp:simplePos x="0" y="0"/>
                      <wp:positionH relativeFrom="column">
                        <wp:posOffset>-55880</wp:posOffset>
                      </wp:positionH>
                      <wp:positionV relativeFrom="paragraph">
                        <wp:posOffset>17780</wp:posOffset>
                      </wp:positionV>
                      <wp:extent cx="1524000" cy="431800"/>
                      <wp:effectExtent l="1270" t="4445" r="17780" b="20955"/>
                      <wp:wrapNone/>
                      <wp:docPr id="13" name="直接连接符 13"/>
                      <wp:cNvGraphicFramePr/>
                      <a:graphic xmlns:a="http://schemas.openxmlformats.org/drawingml/2006/main">
                        <a:graphicData uri="http://schemas.microsoft.com/office/word/2010/wordprocessingShape">
                          <wps:wsp>
                            <wps:cNvCnPr/>
                            <wps:spPr>
                              <a:xfrm>
                                <a:off x="0" y="0"/>
                                <a:ext cx="1524000" cy="431800"/>
                              </a:xfrm>
                              <a:prstGeom prst="line">
                                <a:avLst/>
                              </a:prstGeom>
                              <a:ln w="317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4pt;margin-top:1.4pt;height:34pt;width:120pt;z-index:251666432;mso-width-relative:page;mso-height-relative:page;" filled="f" stroked="t" coordsize="21600,21600" o:gfxdata="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KtJkhvXAAAABwEAAA8AAAAA&#10;AAAAAQAgAAAAIgAAAGRycy9kb3ducmV2LnhtbFBLAQIUABQAAAAIAIdO4kC/Wglr3AEAAKEDAAAO&#10;AAAAAAAAAAEAIAAAACYBAABkcnMvZTJvRG9jLnhtbFBLBQYAAAAABgAGAFkBAAB0BQAAAAA=&#10;">
                      <v:fill on="f" focussize="0,0"/>
                      <v:stroke weight="0.25pt" color="#000000 [3213]" joinstyle="round"/>
                      <v:imagedata o:title=""/>
                      <o:lock v:ext="edit" aspectratio="f"/>
                    </v:lin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65408" behindDoc="0" locked="0" layoutInCell="1" allowOverlap="1">
                      <wp:simplePos x="0" y="0"/>
                      <wp:positionH relativeFrom="column">
                        <wp:posOffset>-65405</wp:posOffset>
                      </wp:positionH>
                      <wp:positionV relativeFrom="paragraph">
                        <wp:posOffset>8890</wp:posOffset>
                      </wp:positionV>
                      <wp:extent cx="647700" cy="419100"/>
                      <wp:effectExtent l="2540" t="3810" r="16510" b="15240"/>
                      <wp:wrapNone/>
                      <wp:docPr id="9" name="直接连接符 9"/>
                      <wp:cNvGraphicFramePr/>
                      <a:graphic xmlns:a="http://schemas.openxmlformats.org/drawingml/2006/main">
                        <a:graphicData uri="http://schemas.microsoft.com/office/word/2010/wordprocessingShape">
                          <wps:wsp>
                            <wps:cNvCnPr/>
                            <wps:spPr>
                              <a:xfrm>
                                <a:off x="1096645" y="2486025"/>
                                <a:ext cx="647700" cy="419100"/>
                              </a:xfrm>
                              <a:prstGeom prst="line">
                                <a:avLst/>
                              </a:prstGeom>
                              <a:ln w="317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15pt;margin-top:0.7pt;height:33pt;width:51pt;z-index:251665408;mso-width-relative:page;mso-height-relative:page;" filled="f" stroked="t" coordsize="21600,21600" o:gfxdata="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9tNe&#10;pdcAAAAHAQAADwAAAAAAAAABACAAAAAiAAAAZHJzL2Rvd25yZXYueG1sUEsBAhQAFAAAAAgAh07i&#10;QHpG6P/qAQAAqgMAAA4AAAAAAAAAAQAgAAAAJgEAAGRycy9lMm9Eb2MueG1sUEsFBgAAAAAGAAYA&#10;WQEAAIIFAAAAAA==&#10;">
                      <v:fill on="f" focussize="0,0"/>
                      <v:stroke weight="0.25pt" color="#000000 [3213]" joinstyle="round"/>
                      <v:imagedata o:title=""/>
                      <o:lock v:ext="edit" aspectratio="f"/>
                    </v:line>
                  </w:pict>
                </mc:Fallback>
              </mc:AlternateContent>
            </w:r>
          </w:p>
        </w:tc>
        <w:tc>
          <w:tcPr>
            <w:tcW w:w="2038" w:type="dxa"/>
            <w:gridSpan w:val="2"/>
            <w:vAlign w:val="center"/>
          </w:tcPr>
          <w:p w14:paraId="4524E3F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202</w:t>
            </w:r>
            <w:r>
              <w:rPr>
                <w:rFonts w:hint="eastAsia" w:ascii="Times New Roman" w:hAnsi="Times New Roman" w:cs="Times New Roman"/>
                <w:color w:val="auto"/>
                <w:sz w:val="21"/>
                <w:szCs w:val="21"/>
                <w:lang w:val="en-US" w:eastAsia="zh-CN"/>
              </w:rPr>
              <w:t>8</w:t>
            </w:r>
            <w:r>
              <w:rPr>
                <w:rFonts w:hint="default" w:ascii="Times New Roman" w:hAnsi="Times New Roman" w:cs="Times New Roman"/>
                <w:color w:val="auto"/>
                <w:sz w:val="21"/>
                <w:szCs w:val="21"/>
                <w:lang w:val="en-US" w:eastAsia="zh-CN"/>
              </w:rPr>
              <w:t>年（近期）</w:t>
            </w:r>
          </w:p>
        </w:tc>
        <w:tc>
          <w:tcPr>
            <w:tcW w:w="2038" w:type="dxa"/>
            <w:gridSpan w:val="2"/>
            <w:vAlign w:val="center"/>
          </w:tcPr>
          <w:p w14:paraId="06487CC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20</w:t>
            </w:r>
            <w:r>
              <w:rPr>
                <w:rFonts w:hint="eastAsia" w:ascii="Times New Roman" w:hAnsi="Times New Roman" w:cs="Times New Roman"/>
                <w:color w:val="auto"/>
                <w:sz w:val="21"/>
                <w:szCs w:val="21"/>
                <w:lang w:val="en-US" w:eastAsia="zh-CN"/>
              </w:rPr>
              <w:t>34</w:t>
            </w:r>
            <w:r>
              <w:rPr>
                <w:rFonts w:hint="default" w:ascii="Times New Roman" w:hAnsi="Times New Roman" w:cs="Times New Roman"/>
                <w:color w:val="auto"/>
                <w:sz w:val="21"/>
                <w:szCs w:val="21"/>
                <w:lang w:val="en-US" w:eastAsia="zh-CN"/>
              </w:rPr>
              <w:t>年（中期）</w:t>
            </w:r>
          </w:p>
        </w:tc>
        <w:tc>
          <w:tcPr>
            <w:tcW w:w="2042" w:type="dxa"/>
            <w:gridSpan w:val="2"/>
            <w:vAlign w:val="center"/>
          </w:tcPr>
          <w:p w14:paraId="6A34DD4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20</w:t>
            </w:r>
            <w:r>
              <w:rPr>
                <w:rFonts w:hint="eastAsia" w:ascii="Times New Roman" w:hAnsi="Times New Roman" w:cs="Times New Roman"/>
                <w:color w:val="auto"/>
                <w:sz w:val="21"/>
                <w:szCs w:val="21"/>
                <w:lang w:val="en-US" w:eastAsia="zh-CN"/>
              </w:rPr>
              <w:t>42</w:t>
            </w:r>
            <w:r>
              <w:rPr>
                <w:rFonts w:hint="default" w:ascii="Times New Roman" w:hAnsi="Times New Roman" w:cs="Times New Roman"/>
                <w:color w:val="auto"/>
                <w:sz w:val="21"/>
                <w:szCs w:val="21"/>
                <w:lang w:val="en-US" w:eastAsia="zh-CN"/>
              </w:rPr>
              <w:t>年（远期）</w:t>
            </w:r>
          </w:p>
        </w:tc>
      </w:tr>
      <w:tr w14:paraId="3BEC2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05" w:type="dxa"/>
            <w:gridSpan w:val="2"/>
            <w:vMerge w:val="continue"/>
            <w:vAlign w:val="center"/>
          </w:tcPr>
          <w:p w14:paraId="41DADDE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p>
        </w:tc>
        <w:tc>
          <w:tcPr>
            <w:tcW w:w="1019" w:type="dxa"/>
            <w:vAlign w:val="center"/>
          </w:tcPr>
          <w:p w14:paraId="449ED93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昼间</w:t>
            </w:r>
          </w:p>
        </w:tc>
        <w:tc>
          <w:tcPr>
            <w:tcW w:w="1019" w:type="dxa"/>
            <w:vAlign w:val="center"/>
          </w:tcPr>
          <w:p w14:paraId="1189BDF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夜间</w:t>
            </w:r>
          </w:p>
        </w:tc>
        <w:tc>
          <w:tcPr>
            <w:tcW w:w="1019" w:type="dxa"/>
            <w:shd w:val="clear" w:color="auto" w:fill="auto"/>
            <w:vAlign w:val="center"/>
          </w:tcPr>
          <w:p w14:paraId="49B4CDF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昼间</w:t>
            </w:r>
          </w:p>
        </w:tc>
        <w:tc>
          <w:tcPr>
            <w:tcW w:w="1019" w:type="dxa"/>
            <w:shd w:val="clear" w:color="auto" w:fill="auto"/>
            <w:vAlign w:val="center"/>
          </w:tcPr>
          <w:p w14:paraId="21010E9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夜间</w:t>
            </w:r>
          </w:p>
        </w:tc>
        <w:tc>
          <w:tcPr>
            <w:tcW w:w="1019" w:type="dxa"/>
            <w:shd w:val="clear" w:color="auto" w:fill="auto"/>
            <w:vAlign w:val="center"/>
          </w:tcPr>
          <w:p w14:paraId="7209A8D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昼间</w:t>
            </w:r>
          </w:p>
        </w:tc>
        <w:tc>
          <w:tcPr>
            <w:tcW w:w="1023" w:type="dxa"/>
            <w:shd w:val="clear" w:color="auto" w:fill="auto"/>
            <w:vAlign w:val="center"/>
          </w:tcPr>
          <w:p w14:paraId="64BB08E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夜间</w:t>
            </w:r>
          </w:p>
        </w:tc>
      </w:tr>
      <w:tr w14:paraId="70FC7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65" w:type="dxa"/>
            <w:vMerge w:val="restart"/>
            <w:vAlign w:val="center"/>
          </w:tcPr>
          <w:p w14:paraId="1D320C3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全路段</w:t>
            </w:r>
          </w:p>
        </w:tc>
        <w:tc>
          <w:tcPr>
            <w:tcW w:w="1340" w:type="dxa"/>
            <w:vAlign w:val="center"/>
          </w:tcPr>
          <w:p w14:paraId="444498A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小型车</w:t>
            </w:r>
          </w:p>
        </w:tc>
        <w:tc>
          <w:tcPr>
            <w:tcW w:w="1019" w:type="dxa"/>
            <w:vAlign w:val="center"/>
          </w:tcPr>
          <w:p w14:paraId="4709ADD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75.87</w:t>
            </w:r>
          </w:p>
        </w:tc>
        <w:tc>
          <w:tcPr>
            <w:tcW w:w="1019" w:type="dxa"/>
            <w:vAlign w:val="center"/>
          </w:tcPr>
          <w:p w14:paraId="342E36B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76.19</w:t>
            </w:r>
          </w:p>
        </w:tc>
        <w:tc>
          <w:tcPr>
            <w:tcW w:w="1019" w:type="dxa"/>
            <w:vAlign w:val="center"/>
          </w:tcPr>
          <w:p w14:paraId="4A3A164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75.09</w:t>
            </w:r>
          </w:p>
        </w:tc>
        <w:tc>
          <w:tcPr>
            <w:tcW w:w="1019" w:type="dxa"/>
            <w:vAlign w:val="center"/>
          </w:tcPr>
          <w:p w14:paraId="7B3FB1C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76.05</w:t>
            </w:r>
          </w:p>
        </w:tc>
        <w:tc>
          <w:tcPr>
            <w:tcW w:w="1019" w:type="dxa"/>
            <w:vAlign w:val="center"/>
          </w:tcPr>
          <w:p w14:paraId="07E2BC2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73.98</w:t>
            </w:r>
          </w:p>
        </w:tc>
        <w:tc>
          <w:tcPr>
            <w:tcW w:w="1023" w:type="dxa"/>
            <w:vAlign w:val="center"/>
          </w:tcPr>
          <w:p w14:paraId="48F45D3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76.00</w:t>
            </w:r>
          </w:p>
        </w:tc>
      </w:tr>
      <w:tr w14:paraId="08B6D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65" w:type="dxa"/>
            <w:vMerge w:val="continue"/>
            <w:vAlign w:val="center"/>
          </w:tcPr>
          <w:p w14:paraId="49EFCC3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p>
        </w:tc>
        <w:tc>
          <w:tcPr>
            <w:tcW w:w="1340" w:type="dxa"/>
            <w:vAlign w:val="center"/>
          </w:tcPr>
          <w:p w14:paraId="0979069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中型车</w:t>
            </w:r>
          </w:p>
        </w:tc>
        <w:tc>
          <w:tcPr>
            <w:tcW w:w="1019" w:type="dxa"/>
            <w:vAlign w:val="center"/>
          </w:tcPr>
          <w:p w14:paraId="525FDB6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76.34</w:t>
            </w:r>
          </w:p>
        </w:tc>
        <w:tc>
          <w:tcPr>
            <w:tcW w:w="1019" w:type="dxa"/>
            <w:vAlign w:val="center"/>
          </w:tcPr>
          <w:p w14:paraId="1C0169D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76.29</w:t>
            </w:r>
          </w:p>
        </w:tc>
        <w:tc>
          <w:tcPr>
            <w:tcW w:w="1019" w:type="dxa"/>
            <w:vAlign w:val="center"/>
          </w:tcPr>
          <w:p w14:paraId="3106096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76.39</w:t>
            </w:r>
          </w:p>
        </w:tc>
        <w:tc>
          <w:tcPr>
            <w:tcW w:w="1019" w:type="dxa"/>
            <w:vAlign w:val="center"/>
          </w:tcPr>
          <w:p w14:paraId="104AE6D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76.3</w:t>
            </w:r>
          </w:p>
        </w:tc>
        <w:tc>
          <w:tcPr>
            <w:tcW w:w="1019" w:type="dxa"/>
            <w:vAlign w:val="center"/>
          </w:tcPr>
          <w:p w14:paraId="4CB0B03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76.46</w:t>
            </w:r>
          </w:p>
        </w:tc>
        <w:tc>
          <w:tcPr>
            <w:tcW w:w="1023" w:type="dxa"/>
            <w:vAlign w:val="center"/>
          </w:tcPr>
          <w:p w14:paraId="3D5459F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76.31</w:t>
            </w:r>
          </w:p>
        </w:tc>
      </w:tr>
      <w:tr w14:paraId="5E9CD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65" w:type="dxa"/>
            <w:vMerge w:val="continue"/>
            <w:vAlign w:val="center"/>
          </w:tcPr>
          <w:p w14:paraId="3045CC9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p>
        </w:tc>
        <w:tc>
          <w:tcPr>
            <w:tcW w:w="1340" w:type="dxa"/>
            <w:vAlign w:val="center"/>
          </w:tcPr>
          <w:p w14:paraId="79807C6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大型车</w:t>
            </w:r>
          </w:p>
        </w:tc>
        <w:tc>
          <w:tcPr>
            <w:tcW w:w="1019" w:type="dxa"/>
            <w:vAlign w:val="center"/>
          </w:tcPr>
          <w:p w14:paraId="7D3740C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82.68</w:t>
            </w:r>
          </w:p>
        </w:tc>
        <w:tc>
          <w:tcPr>
            <w:tcW w:w="1019" w:type="dxa"/>
            <w:vAlign w:val="center"/>
          </w:tcPr>
          <w:p w14:paraId="468AFAC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82.56</w:t>
            </w:r>
          </w:p>
        </w:tc>
        <w:tc>
          <w:tcPr>
            <w:tcW w:w="1019" w:type="dxa"/>
            <w:vAlign w:val="center"/>
          </w:tcPr>
          <w:p w14:paraId="71EF87E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82.85</w:t>
            </w:r>
          </w:p>
        </w:tc>
        <w:tc>
          <w:tcPr>
            <w:tcW w:w="1019" w:type="dxa"/>
            <w:vAlign w:val="center"/>
          </w:tcPr>
          <w:p w14:paraId="55253AA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82.59</w:t>
            </w:r>
          </w:p>
        </w:tc>
        <w:tc>
          <w:tcPr>
            <w:tcW w:w="1019" w:type="dxa"/>
            <w:vAlign w:val="center"/>
          </w:tcPr>
          <w:p w14:paraId="60C0C96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82.77</w:t>
            </w:r>
          </w:p>
        </w:tc>
        <w:tc>
          <w:tcPr>
            <w:tcW w:w="1023" w:type="dxa"/>
            <w:vAlign w:val="center"/>
          </w:tcPr>
          <w:p w14:paraId="590F0A9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82.59</w:t>
            </w:r>
          </w:p>
        </w:tc>
      </w:tr>
    </w:tbl>
    <w:p w14:paraId="5FC12D9E">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（2）营运期水环境影响</w:t>
      </w:r>
    </w:p>
    <w:p w14:paraId="461FD53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kern w:val="0"/>
          <w:sz w:val="24"/>
          <w:szCs w:val="24"/>
          <w:lang w:val="en-US" w:eastAsia="zh-CN" w:bidi="ar"/>
        </w:rPr>
        <w:t>1）</w:t>
      </w:r>
      <w:r>
        <w:rPr>
          <w:rFonts w:hint="default" w:ascii="Times New Roman" w:hAnsi="Times New Roman" w:eastAsia="宋体" w:cs="Times New Roman"/>
          <w:color w:val="auto"/>
          <w:kern w:val="0"/>
          <w:sz w:val="24"/>
          <w:szCs w:val="24"/>
          <w:lang w:val="en-US" w:eastAsia="zh-CN" w:bidi="ar"/>
        </w:rPr>
        <w:t>生活污水</w:t>
      </w:r>
    </w:p>
    <w:p w14:paraId="0E6216E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辅助设施的规模和主要功能，按照《公路建设项目环境影响评价规范（试行）》给出的生活污水、洗车废水污水量定额分别估算本项目运营期间的污水产生量和主要污染物排放量。辅助设施只计算生活污水量。生活污水源强的确定采用单位人口排污系数法，按人员数量计算。具体计算过程如下。</w:t>
      </w:r>
    </w:p>
    <w:p w14:paraId="30B29B4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生活污水的计算公式：</w:t>
      </w:r>
    </w:p>
    <w:p w14:paraId="74A3CE7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i/>
          <w:iCs/>
          <w:color w:val="auto"/>
          <w:kern w:val="0"/>
          <w:sz w:val="24"/>
          <w:szCs w:val="24"/>
          <w:lang w:val="en-US" w:eastAsia="zh-CN" w:bidi="ar"/>
        </w:rPr>
        <w:t>Q</w:t>
      </w:r>
      <w:r>
        <w:rPr>
          <w:rFonts w:hint="default" w:ascii="Times New Roman" w:hAnsi="Times New Roman" w:eastAsia="宋体" w:cs="Times New Roman"/>
          <w:i/>
          <w:iCs/>
          <w:color w:val="auto"/>
          <w:kern w:val="0"/>
          <w:sz w:val="15"/>
          <w:szCs w:val="15"/>
          <w:lang w:val="en-US" w:eastAsia="zh-CN" w:bidi="ar"/>
        </w:rPr>
        <w:t>s</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i/>
          <w:iCs/>
          <w:color w:val="auto"/>
          <w:kern w:val="0"/>
          <w:sz w:val="24"/>
          <w:szCs w:val="24"/>
          <w:lang w:val="en-US" w:eastAsia="zh-CN" w:bidi="ar"/>
        </w:rPr>
        <w:t>Kq</w:t>
      </w:r>
      <w:r>
        <w:rPr>
          <w:rFonts w:hint="default" w:ascii="Times New Roman" w:hAnsi="Times New Roman" w:eastAsia="宋体" w:cs="Times New Roman"/>
          <w:i/>
          <w:iCs/>
          <w:color w:val="auto"/>
          <w:kern w:val="0"/>
          <w:sz w:val="15"/>
          <w:szCs w:val="15"/>
          <w:lang w:val="en-US" w:eastAsia="zh-CN" w:bidi="ar"/>
        </w:rPr>
        <w:t>1</w:t>
      </w:r>
      <w:r>
        <w:rPr>
          <w:rFonts w:hint="default" w:ascii="Times New Roman" w:hAnsi="Times New Roman" w:eastAsia="宋体" w:cs="Times New Roman"/>
          <w:i/>
          <w:iCs/>
          <w:color w:val="auto"/>
          <w:kern w:val="0"/>
          <w:sz w:val="24"/>
          <w:szCs w:val="24"/>
          <w:lang w:val="en-US" w:eastAsia="zh-CN" w:bidi="ar"/>
        </w:rPr>
        <w:t>V</w:t>
      </w:r>
      <w:r>
        <w:rPr>
          <w:rFonts w:hint="default" w:ascii="Times New Roman" w:hAnsi="Times New Roman" w:eastAsia="宋体" w:cs="Times New Roman"/>
          <w:i/>
          <w:iCs/>
          <w:color w:val="auto"/>
          <w:kern w:val="0"/>
          <w:sz w:val="15"/>
          <w:szCs w:val="15"/>
          <w:lang w:val="en-US" w:eastAsia="zh-CN" w:bidi="ar"/>
        </w:rPr>
        <w:t>1</w:t>
      </w:r>
      <w:r>
        <w:rPr>
          <w:rFonts w:hint="default" w:ascii="Times New Roman" w:hAnsi="Times New Roman" w:eastAsia="宋体" w:cs="Times New Roman"/>
          <w:color w:val="auto"/>
          <w:kern w:val="0"/>
          <w:sz w:val="24"/>
          <w:szCs w:val="24"/>
          <w:lang w:val="en-US" w:eastAsia="zh-CN" w:bidi="ar"/>
        </w:rPr>
        <w:t>)/1000</w:t>
      </w:r>
    </w:p>
    <w:p w14:paraId="6B3822A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式中：</w:t>
      </w:r>
      <w:r>
        <w:rPr>
          <w:rFonts w:hint="default" w:ascii="Times New Roman" w:hAnsi="Times New Roman" w:eastAsia="宋体" w:cs="Times New Roman"/>
          <w:i/>
          <w:iCs/>
          <w:color w:val="auto"/>
          <w:kern w:val="0"/>
          <w:sz w:val="24"/>
          <w:szCs w:val="24"/>
          <w:lang w:val="en-US" w:eastAsia="zh-CN" w:bidi="ar"/>
        </w:rPr>
        <w:t>Q</w:t>
      </w:r>
      <w:r>
        <w:rPr>
          <w:rFonts w:hint="default" w:ascii="Times New Roman" w:hAnsi="Times New Roman" w:eastAsia="宋体" w:cs="Times New Roman"/>
          <w:i/>
          <w:iCs/>
          <w:color w:val="auto"/>
          <w:kern w:val="0"/>
          <w:sz w:val="15"/>
          <w:szCs w:val="15"/>
          <w:lang w:val="en-US" w:eastAsia="zh-CN" w:bidi="ar"/>
        </w:rPr>
        <w:t>s</w:t>
      </w:r>
      <w:r>
        <w:rPr>
          <w:rFonts w:hint="default" w:ascii="Times New Roman" w:hAnsi="Times New Roman" w:eastAsia="宋体" w:cs="Times New Roman"/>
          <w:color w:val="auto"/>
          <w:kern w:val="0"/>
          <w:sz w:val="24"/>
          <w:szCs w:val="24"/>
          <w:lang w:val="en-US" w:eastAsia="zh-CN" w:bidi="ar"/>
        </w:rPr>
        <w:t>－生活污水排放量，t/d；</w:t>
      </w:r>
    </w:p>
    <w:p w14:paraId="570F536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i/>
          <w:iCs/>
          <w:color w:val="auto"/>
          <w:kern w:val="0"/>
          <w:sz w:val="24"/>
          <w:szCs w:val="24"/>
          <w:lang w:val="en-US" w:eastAsia="zh-CN" w:bidi="ar"/>
        </w:rPr>
        <w:t>q</w:t>
      </w:r>
      <w:r>
        <w:rPr>
          <w:rFonts w:hint="default" w:ascii="Times New Roman" w:hAnsi="Times New Roman" w:eastAsia="宋体" w:cs="Times New Roman"/>
          <w:i/>
          <w:iCs/>
          <w:color w:val="auto"/>
          <w:kern w:val="0"/>
          <w:sz w:val="15"/>
          <w:szCs w:val="15"/>
          <w:lang w:val="en-US" w:eastAsia="zh-CN" w:bidi="ar"/>
        </w:rPr>
        <w:t>1</w:t>
      </w:r>
      <w:r>
        <w:rPr>
          <w:rFonts w:hint="default" w:ascii="Times New Roman" w:hAnsi="Times New Roman" w:eastAsia="宋体" w:cs="Times New Roman"/>
          <w:color w:val="auto"/>
          <w:kern w:val="0"/>
          <w:sz w:val="24"/>
          <w:szCs w:val="24"/>
          <w:lang w:val="en-US" w:eastAsia="zh-CN" w:bidi="ar"/>
        </w:rPr>
        <w:t>－每人每天生活污水量定额，收费站每人取20L/(人•d)；</w:t>
      </w:r>
    </w:p>
    <w:p w14:paraId="245F4C1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i/>
          <w:iCs/>
          <w:color w:val="auto"/>
          <w:kern w:val="0"/>
          <w:sz w:val="24"/>
          <w:szCs w:val="24"/>
          <w:lang w:val="en-US" w:eastAsia="zh-CN" w:bidi="ar"/>
        </w:rPr>
        <w:t>V</w:t>
      </w:r>
      <w:r>
        <w:rPr>
          <w:rFonts w:hint="default" w:ascii="Times New Roman" w:hAnsi="Times New Roman" w:eastAsia="宋体" w:cs="Times New Roman"/>
          <w:i/>
          <w:iCs/>
          <w:color w:val="auto"/>
          <w:kern w:val="0"/>
          <w:sz w:val="15"/>
          <w:szCs w:val="15"/>
          <w:lang w:val="en-US" w:eastAsia="zh-CN" w:bidi="ar"/>
        </w:rPr>
        <w:t>1</w:t>
      </w:r>
      <w:r>
        <w:rPr>
          <w:rFonts w:hint="default" w:ascii="Times New Roman" w:hAnsi="Times New Roman" w:eastAsia="宋体" w:cs="Times New Roman"/>
          <w:color w:val="auto"/>
          <w:kern w:val="0"/>
          <w:sz w:val="24"/>
          <w:szCs w:val="24"/>
          <w:lang w:val="en-US" w:eastAsia="zh-CN" w:bidi="ar"/>
        </w:rPr>
        <w:t>－收费站人数，人；</w:t>
      </w:r>
    </w:p>
    <w:p w14:paraId="2951AF3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i/>
          <w:iCs/>
          <w:color w:val="auto"/>
          <w:kern w:val="0"/>
          <w:sz w:val="24"/>
          <w:szCs w:val="24"/>
          <w:lang w:val="en-US" w:eastAsia="zh-CN" w:bidi="ar"/>
        </w:rPr>
        <w:t>K</w:t>
      </w:r>
      <w:r>
        <w:rPr>
          <w:rFonts w:hint="default" w:ascii="Times New Roman" w:hAnsi="Times New Roman" w:eastAsia="宋体" w:cs="Times New Roman"/>
          <w:color w:val="auto"/>
          <w:kern w:val="0"/>
          <w:sz w:val="24"/>
          <w:szCs w:val="24"/>
          <w:lang w:val="en-US" w:eastAsia="zh-CN" w:bidi="ar"/>
        </w:rPr>
        <w:t>－收费站排放系数，这里取0.8。</w:t>
      </w:r>
    </w:p>
    <w:p w14:paraId="5C56A964">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根据公路建设经验，考虑实际运行情况，按照半年使用进行计算；收费站</w:t>
      </w:r>
      <w:r>
        <w:rPr>
          <w:rFonts w:hint="eastAsia" w:ascii="Times New Roman" w:hAnsi="Times New Roman" w:eastAsia="宋体" w:cs="Times New Roman"/>
          <w:color w:val="auto"/>
          <w:kern w:val="0"/>
          <w:sz w:val="24"/>
          <w:szCs w:val="24"/>
          <w:lang w:val="en-US" w:eastAsia="zh-CN" w:bidi="ar"/>
        </w:rPr>
        <w:t>（隧道管理站）</w:t>
      </w:r>
      <w:r>
        <w:rPr>
          <w:rFonts w:hint="default" w:ascii="Times New Roman" w:hAnsi="Times New Roman" w:eastAsia="宋体" w:cs="Times New Roman"/>
          <w:color w:val="auto"/>
          <w:kern w:val="0"/>
          <w:sz w:val="24"/>
          <w:szCs w:val="24"/>
          <w:lang w:val="en-US" w:eastAsia="zh-CN" w:bidi="ar"/>
        </w:rPr>
        <w:t>20人。</w:t>
      </w:r>
    </w:p>
    <w:p w14:paraId="635A0E50">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生活污水处理前污染物的浓度按：COD：350mg/L，NH</w:t>
      </w:r>
      <w:r>
        <w:rPr>
          <w:rFonts w:hint="default" w:ascii="Times New Roman" w:hAnsi="Times New Roman" w:eastAsia="宋体" w:cs="Times New Roman"/>
          <w:color w:val="auto"/>
          <w:kern w:val="0"/>
          <w:sz w:val="24"/>
          <w:szCs w:val="24"/>
          <w:vertAlign w:val="subscript"/>
          <w:lang w:val="en-US" w:eastAsia="zh-CN" w:bidi="ar"/>
        </w:rPr>
        <w:t>3</w:t>
      </w:r>
      <w:r>
        <w:rPr>
          <w:rFonts w:hint="default" w:ascii="Times New Roman" w:hAnsi="Times New Roman" w:eastAsia="宋体" w:cs="Times New Roman"/>
          <w:color w:val="auto"/>
          <w:kern w:val="0"/>
          <w:sz w:val="24"/>
          <w:szCs w:val="24"/>
          <w:lang w:val="en-US" w:eastAsia="zh-CN" w:bidi="ar"/>
        </w:rPr>
        <w:t>-N 35mg/L，SS：250mg/L，石油类：30mg/L；</w:t>
      </w:r>
    </w:p>
    <w:p w14:paraId="33966837">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运营期沿线收费站</w:t>
      </w:r>
      <w:r>
        <w:rPr>
          <w:rFonts w:hint="eastAsia" w:ascii="Times New Roman" w:hAnsi="Times New Roman" w:eastAsia="宋体" w:cs="Times New Roman"/>
          <w:color w:val="auto"/>
          <w:kern w:val="0"/>
          <w:sz w:val="24"/>
          <w:szCs w:val="24"/>
          <w:lang w:val="en-US" w:eastAsia="zh-CN" w:bidi="ar"/>
        </w:rPr>
        <w:t>（隧道管理站）</w:t>
      </w:r>
      <w:r>
        <w:rPr>
          <w:rFonts w:hint="default" w:ascii="Times New Roman" w:hAnsi="Times New Roman" w:eastAsia="宋体" w:cs="Times New Roman"/>
          <w:color w:val="auto"/>
          <w:kern w:val="0"/>
          <w:sz w:val="24"/>
          <w:szCs w:val="24"/>
          <w:lang w:val="en-US" w:eastAsia="zh-CN" w:bidi="ar"/>
        </w:rPr>
        <w:t>生活污水经过处理</w:t>
      </w:r>
      <w:r>
        <w:rPr>
          <w:rFonts w:hint="eastAsia" w:cs="Times New Roman"/>
          <w:color w:val="auto"/>
          <w:kern w:val="0"/>
          <w:sz w:val="24"/>
          <w:szCs w:val="24"/>
          <w:lang w:val="en-US" w:eastAsia="zh-CN" w:bidi="ar"/>
        </w:rPr>
        <w:t>达标</w:t>
      </w:r>
      <w:r>
        <w:rPr>
          <w:rFonts w:hint="default" w:ascii="Times New Roman" w:hAnsi="Times New Roman" w:eastAsia="宋体" w:cs="Times New Roman"/>
          <w:color w:val="auto"/>
          <w:kern w:val="0"/>
          <w:sz w:val="24"/>
          <w:szCs w:val="24"/>
          <w:lang w:val="en-US" w:eastAsia="zh-CN" w:bidi="ar"/>
        </w:rPr>
        <w:t>后</w:t>
      </w:r>
      <w:r>
        <w:rPr>
          <w:rFonts w:hint="eastAsia" w:cs="Times New Roman"/>
          <w:color w:val="auto"/>
          <w:kern w:val="0"/>
          <w:sz w:val="24"/>
          <w:szCs w:val="24"/>
          <w:lang w:val="en-US" w:eastAsia="zh-CN" w:bidi="ar"/>
        </w:rPr>
        <w:t>用于绿化</w:t>
      </w:r>
      <w:r>
        <w:rPr>
          <w:rFonts w:hint="default" w:ascii="Times New Roman" w:hAnsi="Times New Roman" w:eastAsia="宋体" w:cs="Times New Roman"/>
          <w:color w:val="auto"/>
          <w:kern w:val="0"/>
          <w:sz w:val="24"/>
          <w:szCs w:val="24"/>
          <w:lang w:val="en-US" w:eastAsia="zh-CN" w:bidi="ar"/>
        </w:rPr>
        <w:t>。</w:t>
      </w:r>
    </w:p>
    <w:p w14:paraId="304D5C4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（3）营运期环境空气影响</w:t>
      </w:r>
    </w:p>
    <w:p w14:paraId="693CAC3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汽车尾气污染物主要来自曲轴箱漏气、燃油系统挥发和排气筒的排放，主要污染物为CO、NO</w:t>
      </w:r>
      <w:r>
        <w:rPr>
          <w:rFonts w:hint="default" w:ascii="Times New Roman" w:hAnsi="Times New Roman" w:eastAsia="宋体" w:cs="Times New Roman"/>
          <w:color w:val="auto"/>
          <w:kern w:val="0"/>
          <w:sz w:val="15"/>
          <w:szCs w:val="15"/>
          <w:lang w:val="en-US" w:eastAsia="zh-CN" w:bidi="ar"/>
        </w:rPr>
        <w:t>2</w:t>
      </w:r>
      <w:r>
        <w:rPr>
          <w:rFonts w:hint="default" w:ascii="Times New Roman" w:hAnsi="Times New Roman" w:eastAsia="宋体" w:cs="Times New Roman"/>
          <w:color w:val="auto"/>
          <w:kern w:val="0"/>
          <w:sz w:val="24"/>
          <w:szCs w:val="24"/>
          <w:lang w:val="en-US" w:eastAsia="zh-CN" w:bidi="ar"/>
        </w:rPr>
        <w:t>，对两侧环境空气质量有一定影响；根据《公路建设项目环境影响评价规范》，现阶段车辆单车排放因子推荐值见表3.</w:t>
      </w:r>
      <w:r>
        <w:rPr>
          <w:rFonts w:hint="eastAsia" w:ascii="Times New Roman" w:hAnsi="Times New Roman"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w:t>
      </w:r>
      <w:r>
        <w:rPr>
          <w:rFonts w:hint="eastAsia" w:ascii="Times New Roman" w:hAnsi="Times New Roman" w:cs="Times New Roman"/>
          <w:color w:val="auto"/>
          <w:kern w:val="0"/>
          <w:sz w:val="24"/>
          <w:szCs w:val="24"/>
          <w:lang w:val="en-US" w:eastAsia="zh-CN" w:bidi="ar"/>
        </w:rPr>
        <w:t>8</w:t>
      </w:r>
      <w:r>
        <w:rPr>
          <w:rFonts w:hint="default" w:ascii="Times New Roman" w:hAnsi="Times New Roman" w:eastAsia="宋体" w:cs="Times New Roman"/>
          <w:color w:val="auto"/>
          <w:kern w:val="0"/>
          <w:sz w:val="24"/>
          <w:szCs w:val="24"/>
          <w:lang w:val="en-US" w:eastAsia="zh-CN" w:bidi="ar"/>
        </w:rPr>
        <w:t>所示。</w:t>
      </w:r>
    </w:p>
    <w:p w14:paraId="1DA42B1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
        </w:rPr>
        <w:t>表3.</w:t>
      </w:r>
      <w:r>
        <w:rPr>
          <w:rFonts w:hint="eastAsia" w:ascii="Times New Roman" w:hAnsi="Times New Roman" w:cs="Times New Roman"/>
          <w:b/>
          <w:bCs/>
          <w:color w:val="auto"/>
          <w:kern w:val="0"/>
          <w:sz w:val="21"/>
          <w:szCs w:val="21"/>
          <w:lang w:val="en-US" w:eastAsia="zh-CN" w:bidi="ar"/>
        </w:rPr>
        <w:t>3</w:t>
      </w:r>
      <w:r>
        <w:rPr>
          <w:rFonts w:hint="default" w:ascii="Times New Roman" w:hAnsi="Times New Roman" w:eastAsia="宋体" w:cs="Times New Roman"/>
          <w:b/>
          <w:bCs/>
          <w:color w:val="auto"/>
          <w:kern w:val="0"/>
          <w:sz w:val="21"/>
          <w:szCs w:val="21"/>
          <w:lang w:val="en-US" w:eastAsia="zh-CN" w:bidi="ar"/>
        </w:rPr>
        <w:t>-</w:t>
      </w:r>
      <w:r>
        <w:rPr>
          <w:rFonts w:hint="eastAsia" w:ascii="Times New Roman" w:hAnsi="Times New Roman" w:cs="Times New Roman"/>
          <w:b/>
          <w:bCs/>
          <w:color w:val="auto"/>
          <w:kern w:val="0"/>
          <w:sz w:val="21"/>
          <w:szCs w:val="21"/>
          <w:lang w:val="en-US" w:eastAsia="zh-CN" w:bidi="ar"/>
        </w:rPr>
        <w:t>8</w:t>
      </w:r>
      <w:r>
        <w:rPr>
          <w:rFonts w:hint="default" w:ascii="Times New Roman" w:hAnsi="Times New Roman" w:eastAsia="宋体" w:cs="Times New Roman"/>
          <w:b/>
          <w:bCs/>
          <w:color w:val="auto"/>
          <w:kern w:val="0"/>
          <w:sz w:val="21"/>
          <w:szCs w:val="21"/>
          <w:lang w:val="en-US" w:eastAsia="zh-CN" w:bidi="ar"/>
        </w:rPr>
        <w:t xml:space="preserve"> 现阶段车辆单车排放因子推荐值（g/km/辆）</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
        <w:gridCol w:w="1037"/>
        <w:gridCol w:w="1093"/>
        <w:gridCol w:w="1093"/>
        <w:gridCol w:w="1093"/>
        <w:gridCol w:w="1093"/>
        <w:gridCol w:w="1093"/>
        <w:gridCol w:w="1093"/>
      </w:tblGrid>
      <w:tr w14:paraId="5F511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65" w:type="dxa"/>
            <w:gridSpan w:val="2"/>
            <w:vAlign w:val="center"/>
          </w:tcPr>
          <w:p w14:paraId="637E234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平均车速（km/h）</w:t>
            </w:r>
          </w:p>
        </w:tc>
        <w:tc>
          <w:tcPr>
            <w:tcW w:w="1093" w:type="dxa"/>
            <w:vAlign w:val="center"/>
          </w:tcPr>
          <w:p w14:paraId="7C8D584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50</w:t>
            </w:r>
          </w:p>
        </w:tc>
        <w:tc>
          <w:tcPr>
            <w:tcW w:w="1093" w:type="dxa"/>
            <w:vAlign w:val="center"/>
          </w:tcPr>
          <w:p w14:paraId="0AF9138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60</w:t>
            </w:r>
          </w:p>
        </w:tc>
        <w:tc>
          <w:tcPr>
            <w:tcW w:w="1093" w:type="dxa"/>
            <w:vAlign w:val="center"/>
          </w:tcPr>
          <w:p w14:paraId="1F98723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70</w:t>
            </w:r>
          </w:p>
        </w:tc>
        <w:tc>
          <w:tcPr>
            <w:tcW w:w="1093" w:type="dxa"/>
            <w:vAlign w:val="center"/>
          </w:tcPr>
          <w:p w14:paraId="0320D74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80</w:t>
            </w:r>
          </w:p>
        </w:tc>
        <w:tc>
          <w:tcPr>
            <w:tcW w:w="1093" w:type="dxa"/>
            <w:vAlign w:val="center"/>
          </w:tcPr>
          <w:p w14:paraId="6AAEA1A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90</w:t>
            </w:r>
          </w:p>
        </w:tc>
        <w:tc>
          <w:tcPr>
            <w:tcW w:w="1093" w:type="dxa"/>
            <w:vAlign w:val="center"/>
          </w:tcPr>
          <w:p w14:paraId="56B77CE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100</w:t>
            </w:r>
          </w:p>
        </w:tc>
      </w:tr>
      <w:tr w14:paraId="2A05B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 w:type="dxa"/>
            <w:vMerge w:val="restart"/>
            <w:vAlign w:val="center"/>
          </w:tcPr>
          <w:p w14:paraId="5EE8365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小型车</w:t>
            </w:r>
          </w:p>
        </w:tc>
        <w:tc>
          <w:tcPr>
            <w:tcW w:w="1037" w:type="dxa"/>
            <w:vAlign w:val="center"/>
          </w:tcPr>
          <w:p w14:paraId="4AB4E28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CO</w:t>
            </w:r>
          </w:p>
        </w:tc>
        <w:tc>
          <w:tcPr>
            <w:tcW w:w="1093" w:type="dxa"/>
            <w:vAlign w:val="center"/>
          </w:tcPr>
          <w:p w14:paraId="03FFBE4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31.34</w:t>
            </w:r>
          </w:p>
        </w:tc>
        <w:tc>
          <w:tcPr>
            <w:tcW w:w="1093" w:type="dxa"/>
            <w:vAlign w:val="center"/>
          </w:tcPr>
          <w:p w14:paraId="38AE855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23.68</w:t>
            </w:r>
          </w:p>
        </w:tc>
        <w:tc>
          <w:tcPr>
            <w:tcW w:w="1093" w:type="dxa"/>
            <w:vAlign w:val="center"/>
          </w:tcPr>
          <w:p w14:paraId="4886A7E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17.90</w:t>
            </w:r>
          </w:p>
        </w:tc>
        <w:tc>
          <w:tcPr>
            <w:tcW w:w="1093" w:type="dxa"/>
            <w:vAlign w:val="center"/>
          </w:tcPr>
          <w:p w14:paraId="4B9ACA6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14.76</w:t>
            </w:r>
          </w:p>
        </w:tc>
        <w:tc>
          <w:tcPr>
            <w:tcW w:w="1093" w:type="dxa"/>
            <w:vAlign w:val="center"/>
          </w:tcPr>
          <w:p w14:paraId="2DCD9B8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10.24</w:t>
            </w:r>
          </w:p>
        </w:tc>
        <w:tc>
          <w:tcPr>
            <w:tcW w:w="1093" w:type="dxa"/>
            <w:vAlign w:val="center"/>
          </w:tcPr>
          <w:p w14:paraId="617156D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7.72</w:t>
            </w:r>
          </w:p>
        </w:tc>
      </w:tr>
      <w:tr w14:paraId="2F487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 w:type="dxa"/>
            <w:vMerge w:val="continue"/>
            <w:vAlign w:val="center"/>
          </w:tcPr>
          <w:p w14:paraId="79603D5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p>
        </w:tc>
        <w:tc>
          <w:tcPr>
            <w:tcW w:w="1037" w:type="dxa"/>
            <w:vAlign w:val="center"/>
          </w:tcPr>
          <w:p w14:paraId="2EB0ACC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NOx</w:t>
            </w:r>
          </w:p>
        </w:tc>
        <w:tc>
          <w:tcPr>
            <w:tcW w:w="1093" w:type="dxa"/>
            <w:vAlign w:val="center"/>
          </w:tcPr>
          <w:p w14:paraId="306097A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1.77</w:t>
            </w:r>
          </w:p>
        </w:tc>
        <w:tc>
          <w:tcPr>
            <w:tcW w:w="1093" w:type="dxa"/>
            <w:vAlign w:val="center"/>
          </w:tcPr>
          <w:p w14:paraId="624784A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2.37</w:t>
            </w:r>
          </w:p>
        </w:tc>
        <w:tc>
          <w:tcPr>
            <w:tcW w:w="1093" w:type="dxa"/>
            <w:vAlign w:val="center"/>
          </w:tcPr>
          <w:p w14:paraId="1566F94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2.96</w:t>
            </w:r>
          </w:p>
        </w:tc>
        <w:tc>
          <w:tcPr>
            <w:tcW w:w="1093" w:type="dxa"/>
            <w:vAlign w:val="center"/>
          </w:tcPr>
          <w:p w14:paraId="40FE867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3.71</w:t>
            </w:r>
          </w:p>
        </w:tc>
        <w:tc>
          <w:tcPr>
            <w:tcW w:w="1093" w:type="dxa"/>
            <w:vAlign w:val="center"/>
          </w:tcPr>
          <w:p w14:paraId="6F962F6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3.85</w:t>
            </w:r>
          </w:p>
        </w:tc>
        <w:tc>
          <w:tcPr>
            <w:tcW w:w="1093" w:type="dxa"/>
            <w:vAlign w:val="center"/>
          </w:tcPr>
          <w:p w14:paraId="3BD3400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3.99</w:t>
            </w:r>
          </w:p>
        </w:tc>
      </w:tr>
      <w:tr w14:paraId="59947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 w:type="dxa"/>
            <w:vMerge w:val="restart"/>
            <w:vAlign w:val="center"/>
          </w:tcPr>
          <w:p w14:paraId="172BD56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中型车</w:t>
            </w:r>
          </w:p>
        </w:tc>
        <w:tc>
          <w:tcPr>
            <w:tcW w:w="1037" w:type="dxa"/>
            <w:vAlign w:val="center"/>
          </w:tcPr>
          <w:p w14:paraId="1AA7DB2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CO</w:t>
            </w:r>
          </w:p>
        </w:tc>
        <w:tc>
          <w:tcPr>
            <w:tcW w:w="1093" w:type="dxa"/>
            <w:vAlign w:val="center"/>
          </w:tcPr>
          <w:p w14:paraId="4CCF3A5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30.18</w:t>
            </w:r>
          </w:p>
        </w:tc>
        <w:tc>
          <w:tcPr>
            <w:tcW w:w="1093" w:type="dxa"/>
            <w:vAlign w:val="center"/>
          </w:tcPr>
          <w:p w14:paraId="2744873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26.19</w:t>
            </w:r>
          </w:p>
        </w:tc>
        <w:tc>
          <w:tcPr>
            <w:tcW w:w="1093" w:type="dxa"/>
            <w:vAlign w:val="center"/>
          </w:tcPr>
          <w:p w14:paraId="1921D4A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24.76</w:t>
            </w:r>
          </w:p>
        </w:tc>
        <w:tc>
          <w:tcPr>
            <w:tcW w:w="1093" w:type="dxa"/>
            <w:vAlign w:val="center"/>
          </w:tcPr>
          <w:p w14:paraId="2C2C888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25.47</w:t>
            </w:r>
          </w:p>
        </w:tc>
        <w:tc>
          <w:tcPr>
            <w:tcW w:w="1093" w:type="dxa"/>
            <w:vAlign w:val="center"/>
          </w:tcPr>
          <w:p w14:paraId="66EB5CC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28.55</w:t>
            </w:r>
          </w:p>
        </w:tc>
        <w:tc>
          <w:tcPr>
            <w:tcW w:w="1093" w:type="dxa"/>
            <w:vAlign w:val="center"/>
          </w:tcPr>
          <w:p w14:paraId="558AE61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34.78</w:t>
            </w:r>
          </w:p>
        </w:tc>
      </w:tr>
      <w:tr w14:paraId="3F2B0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 w:type="dxa"/>
            <w:vMerge w:val="continue"/>
            <w:vAlign w:val="center"/>
          </w:tcPr>
          <w:p w14:paraId="12E3A64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p>
        </w:tc>
        <w:tc>
          <w:tcPr>
            <w:tcW w:w="1037" w:type="dxa"/>
            <w:vAlign w:val="center"/>
          </w:tcPr>
          <w:p w14:paraId="28B7419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NOx</w:t>
            </w:r>
          </w:p>
        </w:tc>
        <w:tc>
          <w:tcPr>
            <w:tcW w:w="1093" w:type="dxa"/>
            <w:vAlign w:val="center"/>
          </w:tcPr>
          <w:p w14:paraId="70CD929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5.40</w:t>
            </w:r>
          </w:p>
        </w:tc>
        <w:tc>
          <w:tcPr>
            <w:tcW w:w="1093" w:type="dxa"/>
            <w:vAlign w:val="center"/>
          </w:tcPr>
          <w:p w14:paraId="37EA856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6.30</w:t>
            </w:r>
          </w:p>
        </w:tc>
        <w:tc>
          <w:tcPr>
            <w:tcW w:w="1093" w:type="dxa"/>
            <w:vAlign w:val="center"/>
          </w:tcPr>
          <w:p w14:paraId="6C686FD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7.20</w:t>
            </w:r>
          </w:p>
        </w:tc>
        <w:tc>
          <w:tcPr>
            <w:tcW w:w="1093" w:type="dxa"/>
            <w:vAlign w:val="center"/>
          </w:tcPr>
          <w:p w14:paraId="4AE8526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8.30</w:t>
            </w:r>
          </w:p>
        </w:tc>
        <w:tc>
          <w:tcPr>
            <w:tcW w:w="1093" w:type="dxa"/>
            <w:vAlign w:val="center"/>
          </w:tcPr>
          <w:p w14:paraId="66BBDD7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8.80</w:t>
            </w:r>
          </w:p>
        </w:tc>
        <w:tc>
          <w:tcPr>
            <w:tcW w:w="1093" w:type="dxa"/>
            <w:vAlign w:val="center"/>
          </w:tcPr>
          <w:p w14:paraId="130CC96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9.30</w:t>
            </w:r>
          </w:p>
        </w:tc>
      </w:tr>
      <w:tr w14:paraId="5F75A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 w:type="dxa"/>
            <w:vMerge w:val="restart"/>
            <w:vAlign w:val="center"/>
          </w:tcPr>
          <w:p w14:paraId="156096F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大型车</w:t>
            </w:r>
          </w:p>
        </w:tc>
        <w:tc>
          <w:tcPr>
            <w:tcW w:w="1037" w:type="dxa"/>
            <w:vAlign w:val="center"/>
          </w:tcPr>
          <w:p w14:paraId="6CECF03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CO</w:t>
            </w:r>
          </w:p>
        </w:tc>
        <w:tc>
          <w:tcPr>
            <w:tcW w:w="1093" w:type="dxa"/>
            <w:vAlign w:val="center"/>
          </w:tcPr>
          <w:p w14:paraId="26F3719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5.25</w:t>
            </w:r>
          </w:p>
        </w:tc>
        <w:tc>
          <w:tcPr>
            <w:tcW w:w="1093" w:type="dxa"/>
            <w:vAlign w:val="center"/>
          </w:tcPr>
          <w:p w14:paraId="7CBF5C0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4.48</w:t>
            </w:r>
          </w:p>
        </w:tc>
        <w:tc>
          <w:tcPr>
            <w:tcW w:w="1093" w:type="dxa"/>
            <w:vAlign w:val="center"/>
          </w:tcPr>
          <w:p w14:paraId="33BA09E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4.10</w:t>
            </w:r>
          </w:p>
        </w:tc>
        <w:tc>
          <w:tcPr>
            <w:tcW w:w="1093" w:type="dxa"/>
            <w:vAlign w:val="center"/>
          </w:tcPr>
          <w:p w14:paraId="4F0BF9B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4.01</w:t>
            </w:r>
          </w:p>
        </w:tc>
        <w:tc>
          <w:tcPr>
            <w:tcW w:w="1093" w:type="dxa"/>
            <w:vAlign w:val="center"/>
          </w:tcPr>
          <w:p w14:paraId="029C0EA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4.23</w:t>
            </w:r>
          </w:p>
        </w:tc>
        <w:tc>
          <w:tcPr>
            <w:tcW w:w="1093" w:type="dxa"/>
            <w:vAlign w:val="center"/>
          </w:tcPr>
          <w:p w14:paraId="2F47BB5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4.77</w:t>
            </w:r>
          </w:p>
        </w:tc>
      </w:tr>
      <w:tr w14:paraId="764AB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 w:type="dxa"/>
            <w:vMerge w:val="continue"/>
            <w:vAlign w:val="center"/>
          </w:tcPr>
          <w:p w14:paraId="51F2205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p>
        </w:tc>
        <w:tc>
          <w:tcPr>
            <w:tcW w:w="1037" w:type="dxa"/>
            <w:vAlign w:val="center"/>
          </w:tcPr>
          <w:p w14:paraId="6B38647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NOx</w:t>
            </w:r>
          </w:p>
        </w:tc>
        <w:tc>
          <w:tcPr>
            <w:tcW w:w="1093" w:type="dxa"/>
            <w:vAlign w:val="center"/>
          </w:tcPr>
          <w:p w14:paraId="47F5D39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10.44</w:t>
            </w:r>
          </w:p>
        </w:tc>
        <w:tc>
          <w:tcPr>
            <w:tcW w:w="1093" w:type="dxa"/>
            <w:vAlign w:val="center"/>
          </w:tcPr>
          <w:p w14:paraId="04B5B4B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10.48</w:t>
            </w:r>
          </w:p>
        </w:tc>
        <w:tc>
          <w:tcPr>
            <w:tcW w:w="1093" w:type="dxa"/>
            <w:vAlign w:val="center"/>
          </w:tcPr>
          <w:p w14:paraId="360EF65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11.10</w:t>
            </w:r>
          </w:p>
        </w:tc>
        <w:tc>
          <w:tcPr>
            <w:tcW w:w="1093" w:type="dxa"/>
            <w:vAlign w:val="center"/>
          </w:tcPr>
          <w:p w14:paraId="482E4A1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14.71</w:t>
            </w:r>
          </w:p>
        </w:tc>
        <w:tc>
          <w:tcPr>
            <w:tcW w:w="1093" w:type="dxa"/>
            <w:vAlign w:val="center"/>
          </w:tcPr>
          <w:p w14:paraId="438E66F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15.64</w:t>
            </w:r>
          </w:p>
        </w:tc>
        <w:tc>
          <w:tcPr>
            <w:tcW w:w="1093" w:type="dxa"/>
            <w:vAlign w:val="center"/>
          </w:tcPr>
          <w:p w14:paraId="0516D43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18.38</w:t>
            </w:r>
          </w:p>
        </w:tc>
      </w:tr>
    </w:tbl>
    <w:p w14:paraId="037F4DBF">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此外，公路上行驶汽车的轮胎接触路面而使路面的积尘扬起，从而产生二次扬尘污染；在运送散装含尘物料时，由于洒落、风吹等原因，使物料产生扬尘污染。此类物质环境容量较大，可忽略不计。</w:t>
      </w:r>
    </w:p>
    <w:p w14:paraId="0B9754A3">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本项目运营期设置收费站一处（与隧道管理站合建），冬季采用电锅炉供暖，不产生大气污染，不会对大气环境产生影响。</w:t>
      </w:r>
    </w:p>
    <w:p w14:paraId="1232B1F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（4）固体废弃物</w:t>
      </w:r>
    </w:p>
    <w:p w14:paraId="355C16C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lang w:val="en-US" w:eastAsia="zh-CN"/>
        </w:rPr>
        <w:t>①</w:t>
      </w:r>
      <w:r>
        <w:rPr>
          <w:rFonts w:hint="default" w:ascii="Times New Roman" w:hAnsi="Times New Roman" w:cs="Times New Roman"/>
          <w:color w:val="auto"/>
        </w:rPr>
        <w:t>养护废沥青油层废料</w:t>
      </w:r>
    </w:p>
    <w:p w14:paraId="626B95C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rPr>
        <w:t>运营期的固体废弃物主要为公路养护期间产生的废沥青油层废料，若不采取妥善的处理措施，任其沿途堆弃将对沿线的土壤和水环境造成影响。</w:t>
      </w:r>
    </w:p>
    <w:p w14:paraId="7F10688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rPr>
        <w:t>养护期间沿途产生的沥青油层废料应集中堆放，交由阿图什市附近沥青拌合站利用热再生回收技术进行处理。采取以上措施后，废沥青油层对沿线的环境影响较小。</w:t>
      </w:r>
    </w:p>
    <w:p w14:paraId="4FF2333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lang w:val="en-US" w:eastAsia="zh-CN"/>
        </w:rPr>
        <w:t>②</w:t>
      </w:r>
      <w:r>
        <w:rPr>
          <w:rFonts w:hint="default" w:ascii="Times New Roman" w:hAnsi="Times New Roman" w:cs="Times New Roman"/>
          <w:color w:val="auto"/>
        </w:rPr>
        <w:t>收费站（与隧道管理站合建）生活垃圾</w:t>
      </w:r>
    </w:p>
    <w:p w14:paraId="7ABEB14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rPr>
        <w:t>公路沿线设置收费站（与隧道管理站合建）产生的生活垃圾经集中收集后，定期运至阿图什市生活垃圾填埋场进行卫生填埋，不会对周围环境产生影响。</w:t>
      </w:r>
    </w:p>
    <w:p w14:paraId="651755CC">
      <w:pPr>
        <w:pStyle w:val="3"/>
        <w:keepNext/>
        <w:keepLines/>
        <w:pageBreakBefore w:val="0"/>
        <w:widowControl w:val="0"/>
        <w:numPr>
          <w:ilvl w:val="1"/>
          <w:numId w:val="0"/>
        </w:numPr>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bookmarkStart w:id="826" w:name="_Toc12580"/>
      <w:bookmarkStart w:id="827" w:name="_Toc1805"/>
      <w:bookmarkStart w:id="828" w:name="_Toc21498"/>
      <w:bookmarkStart w:id="829" w:name="_Toc9115"/>
      <w:bookmarkStart w:id="830" w:name="_Toc10955"/>
      <w:bookmarkStart w:id="831" w:name="_Toc3106"/>
      <w:bookmarkStart w:id="832" w:name="_Toc15380"/>
      <w:bookmarkStart w:id="833" w:name="_Toc1481"/>
      <w:bookmarkStart w:id="834" w:name="_Toc15556"/>
      <w:bookmarkStart w:id="835" w:name="_Toc30412"/>
      <w:bookmarkStart w:id="836" w:name="_Toc7820"/>
      <w:bookmarkStart w:id="837" w:name="_Toc970"/>
      <w:bookmarkStart w:id="838" w:name="_Toc22699"/>
      <w:bookmarkStart w:id="839" w:name="_Toc16965"/>
      <w:bookmarkStart w:id="840" w:name="_Toc673"/>
      <w:bookmarkStart w:id="841" w:name="_Toc9377"/>
      <w:bookmarkStart w:id="842" w:name="_Toc29507"/>
      <w:bookmarkStart w:id="843" w:name="_Toc12112"/>
      <w:bookmarkStart w:id="844" w:name="_Toc1037"/>
      <w:bookmarkStart w:id="845" w:name="_Toc13058"/>
      <w:bookmarkStart w:id="846" w:name="_Toc19108"/>
      <w:bookmarkStart w:id="847" w:name="_Toc2047"/>
      <w:bookmarkStart w:id="848" w:name="_Toc10072"/>
      <w:bookmarkStart w:id="849" w:name="_Toc14074"/>
      <w:bookmarkStart w:id="850" w:name="_Toc24838"/>
      <w:bookmarkStart w:id="851" w:name="_Toc2393"/>
      <w:bookmarkStart w:id="852" w:name="_Toc19661"/>
      <w:bookmarkStart w:id="853" w:name="_Toc19499"/>
      <w:bookmarkStart w:id="854" w:name="_Toc6721"/>
      <w:bookmarkStart w:id="855" w:name="_Toc5772"/>
      <w:bookmarkStart w:id="856" w:name="_Toc29407"/>
      <w:bookmarkStart w:id="857" w:name="_Toc23457"/>
      <w:bookmarkStart w:id="858" w:name="_Toc10855"/>
      <w:bookmarkStart w:id="859" w:name="_Toc20893"/>
      <w:bookmarkStart w:id="860" w:name="_Toc18969"/>
      <w:r>
        <w:rPr>
          <w:rFonts w:hint="default" w:ascii="Times New Roman" w:hAnsi="Times New Roman" w:cs="Times New Roman"/>
          <w:color w:val="auto"/>
          <w:lang w:val="en-US" w:eastAsia="zh-CN"/>
        </w:rPr>
        <w:t>3.4 项目与相关规划的协调性分析</w:t>
      </w:r>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p>
    <w:p w14:paraId="7E695CAB">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 xml:space="preserve">3.4.1 </w:t>
      </w:r>
      <w:r>
        <w:rPr>
          <w:rFonts w:hint="default" w:ascii="Times New Roman" w:hAnsi="Times New Roman" w:eastAsia="宋体" w:cs="Times New Roman"/>
          <w:b/>
          <w:bCs/>
          <w:color w:val="auto"/>
          <w:kern w:val="0"/>
          <w:sz w:val="28"/>
          <w:szCs w:val="28"/>
          <w:lang w:val="en-US" w:eastAsia="zh-CN" w:bidi="ar"/>
        </w:rPr>
        <w:t>产业政策相符性</w:t>
      </w:r>
    </w:p>
    <w:p w14:paraId="4C1C84A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根据《国民经济行业分类》（GB/T 4754-2017），本项目属其中的“E4812 公路工程建筑”。根据《产业结构调整指导目录（2024年本）》中有关条款的规定，属于第一类鼓励类：“二十四、公路及道路运输（含城市客运）”。因此，本项目符合国家产业政策。</w:t>
      </w:r>
    </w:p>
    <w:p w14:paraId="787631C4">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3.4.2 与相关规划符合性</w:t>
      </w:r>
    </w:p>
    <w:p w14:paraId="64226D37">
      <w:pPr>
        <w:pStyle w:val="5"/>
        <w:bidi w:val="0"/>
        <w:rPr>
          <w:rFonts w:hint="default" w:ascii="Times New Roman" w:hAnsi="Times New Roman" w:eastAsia="宋体" w:cs="Times New Roman"/>
          <w:b/>
          <w:bCs/>
          <w:color w:val="auto"/>
          <w:kern w:val="2"/>
          <w:szCs w:val="28"/>
          <w:lang w:val="en-US" w:eastAsia="zh-CN" w:bidi="ar-SA"/>
        </w:rPr>
      </w:pPr>
      <w:r>
        <w:rPr>
          <w:rFonts w:hint="default" w:ascii="Times New Roman" w:hAnsi="Times New Roman" w:cs="Times New Roman"/>
          <w:color w:val="auto"/>
          <w:lang w:val="en-US" w:eastAsia="zh-CN"/>
        </w:rPr>
        <w:t>3.4.2.1 与《新疆生态环境保护“十四五”规划》符合性分析</w:t>
      </w:r>
    </w:p>
    <w:p w14:paraId="49B61EA6">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2021年12月24日，自治区党委、自治区人民政府印发《新疆生态环境保护“十四五”规划》，并发出通知，要求各地各部门结合实际认真贯彻落实。</w:t>
      </w:r>
    </w:p>
    <w:p w14:paraId="5A9B2CFA">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《新疆生态环境保护“十四五”规划》的主要目标是：“十四五”时期，生态文明建设实现新进步，美丽新疆建设取得明显进展：</w:t>
      </w:r>
    </w:p>
    <w:p w14:paraId="4E81A2D6">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“—生产生活方式绿色转型成效显著。国土空间开发保护格局得到优化，能源开发利用效率大幅提升，能耗和水资源消耗、建设用地、碳排放强度得到有效控制，简约适度、绿色低碳的生活方式加快形成。</w:t>
      </w:r>
    </w:p>
    <w:p w14:paraId="1A64E6EC">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—生态环境质量持续改善。主要污染物排放总量持续减少，空气质量稳步改善，重污染天气明显减少，水环境质量保持总体优良，水资源合理开发利用，巩固城市黑臭水体治理成效，城乡人居环境明显改善。</w:t>
      </w:r>
    </w:p>
    <w:p w14:paraId="37042CD1">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—生态系统质量稳步提升。生态安全屏障更加牢固，生物多样性得到有效保护，生物安全管理水平显著提高，生态系统服务功能不断增强。</w:t>
      </w:r>
    </w:p>
    <w:p w14:paraId="7BC2514E">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—环境安全得到有效保障。土壤污染风险管控和安全利用水平巩固提升，固体废物与化学物质环境风险防控能力明显增强，核安全监管持续加强，环境风险得到有效管控。</w:t>
      </w:r>
    </w:p>
    <w:p w14:paraId="52D4DADD">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—现代环境治理体系进一步健全。</w:t>
      </w:r>
      <w:r>
        <w:rPr>
          <w:rFonts w:hint="eastAsia" w:cs="Times New Roman"/>
          <w:color w:val="auto"/>
          <w:kern w:val="0"/>
          <w:sz w:val="24"/>
          <w:szCs w:val="24"/>
          <w:lang w:val="en-US" w:eastAsia="zh-CN" w:bidi="ar"/>
        </w:rPr>
        <w:t>生态文明体制改革</w:t>
      </w:r>
      <w:r>
        <w:rPr>
          <w:rFonts w:hint="default" w:ascii="Times New Roman" w:hAnsi="Times New Roman" w:eastAsia="宋体" w:cs="Times New Roman"/>
          <w:color w:val="auto"/>
          <w:kern w:val="0"/>
          <w:sz w:val="24"/>
          <w:szCs w:val="24"/>
          <w:lang w:val="en-US" w:eastAsia="zh-CN" w:bidi="ar"/>
        </w:rPr>
        <w:t>深入推进，生态环境治理能力突出短板加快补齐，生态环境治理效能得到新提升。”</w:t>
      </w:r>
    </w:p>
    <w:p w14:paraId="60284FE0">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本项目能耗和水资源消耗合理、本项目施工建设主要利用砂砾石等材料从商业料场或自采料场取料，区域砂砾石料丰富，公路建设符合区域资源利用上线。</w:t>
      </w:r>
    </w:p>
    <w:p w14:paraId="5BA583D0">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在实行严格的耕地占用补偿措施及生态保护和恢复措施的情况下，对区域生态系统产生的影响较小。</w:t>
      </w:r>
      <w:r>
        <w:rPr>
          <w:rFonts w:hint="eastAsia" w:cs="Times New Roman"/>
          <w:color w:val="auto"/>
          <w:lang w:val="en-US" w:eastAsia="zh-CN"/>
        </w:rPr>
        <w:t>本项目不涉及跨越河流</w:t>
      </w:r>
      <w:r>
        <w:rPr>
          <w:rFonts w:hint="default" w:ascii="Times New Roman" w:hAnsi="Times New Roman" w:cs="Times New Roman"/>
          <w:color w:val="auto"/>
          <w:lang w:val="en-US" w:eastAsia="zh-CN"/>
        </w:rPr>
        <w:t>，制定公路工程突发环境风险事故应急预案，有效保障环境安全。本项目的建设与《新疆生态环境保护“十四五”规划》的主要目标与要求是相符合的。</w:t>
      </w:r>
    </w:p>
    <w:p w14:paraId="34277368">
      <w:pPr>
        <w:pStyle w:val="5"/>
        <w:bidi w:val="0"/>
        <w:rPr>
          <w:rFonts w:hint="default" w:ascii="Times New Roman" w:hAnsi="Times New Roman" w:cs="Times New Roman"/>
          <w:color w:val="auto"/>
          <w:lang w:val="en-US" w:eastAsia="zh-CN"/>
        </w:rPr>
      </w:pPr>
      <w:r>
        <w:rPr>
          <w:rFonts w:hint="default" w:ascii="Times New Roman" w:hAnsi="Times New Roman" w:eastAsia="宋体" w:cs="Times New Roman"/>
          <w:color w:val="auto"/>
          <w:lang w:val="en-US" w:eastAsia="zh-CN"/>
        </w:rPr>
        <w:t>3.4.2.2 与《克孜勒苏柯尔克孜自治州生态环境保护“十四五”规划》符合性分析</w:t>
      </w:r>
    </w:p>
    <w:p w14:paraId="75151F37">
      <w:pPr>
        <w:keepNext w:val="0"/>
        <w:keepLines w:val="0"/>
        <w:widowControl w:val="0"/>
        <w:suppressLineNumbers w:val="0"/>
        <w:spacing w:before="0" w:beforeLines="0" w:beforeAutospacing="0" w:after="0" w:afterLines="0" w:afterAutospacing="0"/>
        <w:ind w:left="0" w:right="0"/>
        <w:jc w:val="center"/>
        <w:rPr>
          <w:rFonts w:hint="default" w:ascii="Arial" w:hAnsi="Arial" w:eastAsia="黑体" w:cs="Arial"/>
          <w:color w:val="auto"/>
          <w:kern w:val="2"/>
          <w:sz w:val="21"/>
          <w:szCs w:val="21"/>
          <w:lang w:val="en-US" w:eastAsia="zh-CN" w:bidi="ar-SA"/>
        </w:rPr>
      </w:pPr>
      <w:r>
        <w:rPr>
          <w:rFonts w:hint="eastAsia" w:ascii="宋体" w:hAnsi="宋体" w:eastAsia="宋体" w:cs="宋体"/>
          <w:b/>
          <w:bCs w:val="0"/>
          <w:color w:val="auto"/>
          <w:kern w:val="2"/>
          <w:sz w:val="21"/>
          <w:szCs w:val="21"/>
          <w:lang w:val="en-US" w:eastAsia="zh-CN" w:bidi="ar"/>
        </w:rPr>
        <w:t>表</w:t>
      </w:r>
      <w:r>
        <w:rPr>
          <w:rFonts w:hint="eastAsia" w:ascii="Times New Roman" w:hAnsi="Times New Roman" w:eastAsia="宋体" w:cs="Times New Roman"/>
          <w:b/>
          <w:bCs w:val="0"/>
          <w:color w:val="auto"/>
          <w:kern w:val="2"/>
          <w:sz w:val="21"/>
          <w:szCs w:val="21"/>
          <w:lang w:val="en-US" w:eastAsia="zh-CN" w:bidi="ar"/>
        </w:rPr>
        <w:t>3.4-1</w:t>
      </w:r>
      <w:r>
        <w:rPr>
          <w:rFonts w:hint="default" w:ascii="Times New Roman" w:hAnsi="Times New Roman" w:eastAsia="宋体" w:cs="Times New Roman"/>
          <w:b/>
          <w:bCs w:val="0"/>
          <w:color w:val="auto"/>
          <w:kern w:val="2"/>
          <w:sz w:val="21"/>
          <w:szCs w:val="21"/>
          <w:lang w:val="en-US" w:eastAsia="zh-CN" w:bidi="ar"/>
        </w:rPr>
        <w:t xml:space="preserve"> </w:t>
      </w:r>
      <w:r>
        <w:rPr>
          <w:rFonts w:hint="eastAsia" w:ascii="宋体" w:hAnsi="宋体" w:eastAsia="宋体" w:cs="宋体"/>
          <w:b/>
          <w:bCs w:val="0"/>
          <w:color w:val="auto"/>
          <w:kern w:val="2"/>
          <w:sz w:val="21"/>
          <w:szCs w:val="21"/>
          <w:lang w:val="en-US" w:eastAsia="zh-CN" w:bidi="ar"/>
        </w:rPr>
        <w:t>与《克孜勒苏柯尔克孜自治州生态环境保护“十四五”规划》符合性</w:t>
      </w:r>
    </w:p>
    <w:tbl>
      <w:tblPr>
        <w:tblStyle w:val="30"/>
        <w:tblW w:w="488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6"/>
        <w:gridCol w:w="4513"/>
        <w:gridCol w:w="2023"/>
        <w:gridCol w:w="1128"/>
      </w:tblGrid>
      <w:tr w14:paraId="6A308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8" w:type="dxa"/>
            <w:tcBorders>
              <w:tl2br w:val="nil"/>
              <w:tr2bl w:val="nil"/>
            </w:tcBorders>
            <w:noWrap w:val="0"/>
            <w:vAlign w:val="center"/>
          </w:tcPr>
          <w:p w14:paraId="3C448A3E">
            <w:pPr>
              <w:keepNext w:val="0"/>
              <w:keepLines w:val="0"/>
              <w:widowControl/>
              <w:suppressLineNumbers w:val="0"/>
              <w:overflowPunct w:val="0"/>
              <w:snapToGrid w:val="0"/>
              <w:spacing w:before="0" w:beforeLines="0" w:beforeAutospacing="0" w:after="0" w:afterLines="0" w:afterAutospacing="0" w:line="240" w:lineRule="atLeast"/>
              <w:ind w:left="0" w:leftChars="0" w:right="0" w:rightChars="0" w:firstLine="0" w:firstLineChars="0"/>
              <w:jc w:val="center"/>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序号</w:t>
            </w:r>
          </w:p>
        </w:tc>
        <w:tc>
          <w:tcPr>
            <w:tcW w:w="3777" w:type="dxa"/>
            <w:tcBorders>
              <w:tl2br w:val="nil"/>
              <w:tr2bl w:val="nil"/>
            </w:tcBorders>
            <w:noWrap w:val="0"/>
            <w:vAlign w:val="center"/>
          </w:tcPr>
          <w:p w14:paraId="27EBCB00">
            <w:pPr>
              <w:keepNext w:val="0"/>
              <w:keepLines w:val="0"/>
              <w:widowControl/>
              <w:suppressLineNumbers w:val="0"/>
              <w:overflowPunct w:val="0"/>
              <w:snapToGrid w:val="0"/>
              <w:spacing w:before="0" w:beforeLines="0" w:beforeAutospacing="0" w:after="0" w:afterLines="0" w:afterAutospacing="0" w:line="240" w:lineRule="atLeast"/>
              <w:ind w:left="0" w:leftChars="0" w:right="0" w:rightChars="0" w:firstLine="0" w:firstLineChars="0"/>
              <w:jc w:val="center"/>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行动计划要求</w:t>
            </w:r>
          </w:p>
        </w:tc>
        <w:tc>
          <w:tcPr>
            <w:tcW w:w="1693" w:type="dxa"/>
            <w:tcBorders>
              <w:tl2br w:val="nil"/>
              <w:tr2bl w:val="nil"/>
            </w:tcBorders>
            <w:noWrap w:val="0"/>
            <w:vAlign w:val="center"/>
          </w:tcPr>
          <w:p w14:paraId="3F46698F">
            <w:pPr>
              <w:keepNext w:val="0"/>
              <w:keepLines w:val="0"/>
              <w:widowControl/>
              <w:suppressLineNumbers w:val="0"/>
              <w:overflowPunct w:val="0"/>
              <w:snapToGrid w:val="0"/>
              <w:spacing w:before="0" w:beforeLines="0" w:beforeAutospacing="0" w:after="0" w:afterLines="0" w:afterAutospacing="0" w:line="240" w:lineRule="atLeast"/>
              <w:ind w:left="0" w:leftChars="0" w:right="0" w:rightChars="0" w:firstLine="0" w:firstLineChars="0"/>
              <w:jc w:val="center"/>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项目情况</w:t>
            </w:r>
          </w:p>
        </w:tc>
        <w:tc>
          <w:tcPr>
            <w:tcW w:w="944" w:type="dxa"/>
            <w:tcBorders>
              <w:tl2br w:val="nil"/>
              <w:tr2bl w:val="nil"/>
            </w:tcBorders>
            <w:noWrap w:val="0"/>
            <w:vAlign w:val="center"/>
          </w:tcPr>
          <w:p w14:paraId="66B64017">
            <w:pPr>
              <w:keepNext w:val="0"/>
              <w:keepLines w:val="0"/>
              <w:widowControl/>
              <w:suppressLineNumbers w:val="0"/>
              <w:overflowPunct w:val="0"/>
              <w:snapToGrid w:val="0"/>
              <w:spacing w:before="0" w:beforeLines="0" w:beforeAutospacing="0" w:after="0" w:afterLines="0" w:afterAutospacing="0" w:line="240" w:lineRule="atLeast"/>
              <w:ind w:left="0" w:leftChars="0" w:right="0" w:rightChars="0" w:firstLine="0" w:firstLineChars="0"/>
              <w:jc w:val="center"/>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符合性</w:t>
            </w:r>
          </w:p>
        </w:tc>
      </w:tr>
      <w:tr w14:paraId="6389E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8" w:type="dxa"/>
            <w:tcBorders>
              <w:tl2br w:val="nil"/>
              <w:tr2bl w:val="nil"/>
            </w:tcBorders>
            <w:noWrap w:val="0"/>
            <w:vAlign w:val="center"/>
          </w:tcPr>
          <w:p w14:paraId="27431EFE">
            <w:pPr>
              <w:keepNext w:val="0"/>
              <w:keepLines w:val="0"/>
              <w:widowControl/>
              <w:suppressLineNumbers w:val="0"/>
              <w:overflowPunct w:val="0"/>
              <w:snapToGrid w:val="0"/>
              <w:spacing w:before="0" w:beforeLines="0" w:beforeAutospacing="0" w:after="0" w:afterLines="0" w:afterAutospacing="0" w:line="240" w:lineRule="atLeast"/>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
              </w:rPr>
              <w:t>1</w:t>
            </w:r>
          </w:p>
        </w:tc>
        <w:tc>
          <w:tcPr>
            <w:tcW w:w="3777" w:type="dxa"/>
            <w:tcBorders>
              <w:tl2br w:val="nil"/>
              <w:tr2bl w:val="nil"/>
            </w:tcBorders>
            <w:noWrap w:val="0"/>
            <w:vAlign w:val="center"/>
          </w:tcPr>
          <w:p w14:paraId="17256FF7">
            <w:pPr>
              <w:keepNext w:val="0"/>
              <w:keepLines w:val="0"/>
              <w:widowControl/>
              <w:suppressLineNumbers w:val="0"/>
              <w:overflowPunct w:val="0"/>
              <w:snapToGrid w:val="0"/>
              <w:spacing w:before="0" w:beforeLines="0" w:beforeAutospacing="0" w:after="0" w:afterLines="0" w:afterAutospacing="0" w:line="240" w:lineRule="atLeast"/>
              <w:ind w:left="0" w:right="0" w:firstLine="0" w:firstLineChars="0"/>
              <w:jc w:val="both"/>
              <w:rPr>
                <w:rFonts w:hint="default" w:ascii="Times New Roman" w:hAnsi="Times New Roman" w:eastAsia="宋体" w:cs="Times New Roman"/>
                <w:color w:val="auto"/>
                <w:kern w:val="0"/>
                <w:sz w:val="21"/>
                <w:szCs w:val="21"/>
                <w:lang w:val="en-US" w:eastAsia="zh-CN" w:bidi="ar-SA"/>
              </w:rPr>
            </w:pPr>
            <w:r>
              <w:rPr>
                <w:rFonts w:hint="eastAsia" w:ascii="宋体" w:hAnsi="宋体" w:eastAsia="宋体" w:cs="宋体"/>
                <w:color w:val="auto"/>
                <w:kern w:val="0"/>
                <w:sz w:val="21"/>
                <w:szCs w:val="21"/>
                <w:lang w:val="en-US" w:eastAsia="zh-CN" w:bidi="ar"/>
              </w:rPr>
              <w:t>实行最严格的生态环境准入政策，严禁“三高”项目进克州，严格执行生态环境保护“一票否决”制度和能源、矿产资源开发自治区人民政府“一支笔”审批制度。严格落实自治州“三线一单”生态环境分区管控方案，守住生态保护红线、环境质量底线和自然资源利用上线，落实生态环境准入清单。</w:t>
            </w:r>
          </w:p>
        </w:tc>
        <w:tc>
          <w:tcPr>
            <w:tcW w:w="1693" w:type="dxa"/>
            <w:tcBorders>
              <w:tl2br w:val="nil"/>
              <w:tr2bl w:val="nil"/>
            </w:tcBorders>
            <w:noWrap w:val="0"/>
            <w:vAlign w:val="center"/>
          </w:tcPr>
          <w:p w14:paraId="257609F8">
            <w:pPr>
              <w:keepNext w:val="0"/>
              <w:keepLines w:val="0"/>
              <w:widowControl/>
              <w:suppressLineNumbers w:val="0"/>
              <w:overflowPunct w:val="0"/>
              <w:snapToGrid w:val="0"/>
              <w:spacing w:before="0" w:beforeLines="0" w:beforeAutospacing="0" w:after="0" w:afterLines="0" w:afterAutospacing="0" w:line="240" w:lineRule="atLeast"/>
              <w:ind w:left="0" w:right="0" w:firstLine="0" w:firstLineChars="0"/>
              <w:jc w:val="both"/>
              <w:rPr>
                <w:rFonts w:hint="default" w:ascii="Times New Roman" w:hAnsi="Times New Roman" w:eastAsia="宋体" w:cs="Times New Roman"/>
                <w:color w:val="auto"/>
                <w:kern w:val="0"/>
                <w:sz w:val="21"/>
                <w:szCs w:val="21"/>
                <w:lang w:val="en-US" w:eastAsia="zh-CN" w:bidi="ar-SA"/>
              </w:rPr>
            </w:pPr>
            <w:r>
              <w:rPr>
                <w:rFonts w:hint="eastAsia" w:ascii="宋体" w:hAnsi="宋体" w:eastAsia="宋体" w:cs="宋体"/>
                <w:color w:val="auto"/>
                <w:kern w:val="0"/>
                <w:sz w:val="21"/>
                <w:szCs w:val="21"/>
                <w:lang w:val="en-US" w:eastAsia="zh-CN" w:bidi="ar"/>
              </w:rPr>
              <w:t>本项目</w:t>
            </w:r>
            <w:r>
              <w:rPr>
                <w:rFonts w:hint="default" w:ascii="Times New Roman" w:hAnsi="Times New Roman" w:eastAsia="宋体" w:cs="Times New Roman"/>
                <w:color w:val="auto"/>
                <w:kern w:val="0"/>
                <w:sz w:val="21"/>
                <w:szCs w:val="21"/>
                <w:lang w:val="en-US" w:eastAsia="zh-CN" w:bidi="ar"/>
              </w:rPr>
              <w:t>为交通运输项目，主要建设公路、隧道及配套设施，</w:t>
            </w:r>
            <w:r>
              <w:rPr>
                <w:rFonts w:hint="eastAsia" w:ascii="Times New Roman" w:hAnsi="Times New Roman" w:eastAsia="宋体" w:cs="Times New Roman"/>
                <w:color w:val="auto"/>
                <w:kern w:val="0"/>
                <w:sz w:val="21"/>
                <w:szCs w:val="21"/>
                <w:lang w:val="en-US" w:eastAsia="zh-CN" w:bidi="ar"/>
              </w:rPr>
              <w:t>属于</w:t>
            </w:r>
            <w:r>
              <w:rPr>
                <w:rFonts w:hint="default" w:ascii="Times New Roman" w:hAnsi="Times New Roman" w:eastAsia="宋体" w:cs="Times New Roman"/>
                <w:color w:val="auto"/>
                <w:kern w:val="0"/>
                <w:sz w:val="21"/>
                <w:szCs w:val="21"/>
                <w:lang w:val="en-US" w:eastAsia="zh-CN" w:bidi="ar"/>
              </w:rPr>
              <w:t>典型生态影响类项目</w:t>
            </w:r>
            <w:r>
              <w:rPr>
                <w:rFonts w:hint="eastAsia" w:ascii="宋体" w:hAnsi="宋体" w:eastAsia="宋体" w:cs="宋体"/>
                <w:color w:val="auto"/>
                <w:kern w:val="0"/>
                <w:sz w:val="21"/>
                <w:szCs w:val="21"/>
                <w:lang w:val="en-US" w:eastAsia="zh-CN" w:bidi="ar"/>
              </w:rPr>
              <w:t>，不属于“三高”项目。</w:t>
            </w:r>
          </w:p>
        </w:tc>
        <w:tc>
          <w:tcPr>
            <w:tcW w:w="944" w:type="dxa"/>
            <w:tcBorders>
              <w:tl2br w:val="nil"/>
              <w:tr2bl w:val="nil"/>
            </w:tcBorders>
            <w:noWrap w:val="0"/>
            <w:vAlign w:val="center"/>
          </w:tcPr>
          <w:p w14:paraId="50C2E1B3">
            <w:pPr>
              <w:keepNext w:val="0"/>
              <w:keepLines w:val="0"/>
              <w:widowControl/>
              <w:suppressLineNumbers w:val="0"/>
              <w:overflowPunct w:val="0"/>
              <w:snapToGrid w:val="0"/>
              <w:spacing w:before="0" w:beforeLines="0" w:beforeAutospacing="0" w:after="0" w:afterLines="0" w:afterAutospacing="0" w:line="240" w:lineRule="atLeast"/>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宋体" w:hAnsi="宋体" w:eastAsia="宋体" w:cs="宋体"/>
                <w:color w:val="auto"/>
                <w:kern w:val="0"/>
                <w:sz w:val="21"/>
                <w:szCs w:val="21"/>
                <w:lang w:val="en-US" w:eastAsia="zh-CN" w:bidi="ar"/>
              </w:rPr>
              <w:t>符合</w:t>
            </w:r>
          </w:p>
        </w:tc>
      </w:tr>
      <w:tr w14:paraId="3D8D8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8" w:type="dxa"/>
            <w:tcBorders>
              <w:tl2br w:val="nil"/>
              <w:tr2bl w:val="nil"/>
            </w:tcBorders>
            <w:noWrap w:val="0"/>
            <w:vAlign w:val="center"/>
          </w:tcPr>
          <w:p w14:paraId="714C4934">
            <w:pPr>
              <w:keepNext w:val="0"/>
              <w:keepLines w:val="0"/>
              <w:widowControl/>
              <w:suppressLineNumbers w:val="0"/>
              <w:overflowPunct w:val="0"/>
              <w:snapToGrid w:val="0"/>
              <w:spacing w:before="0" w:beforeLines="0" w:beforeAutospacing="0" w:after="0" w:afterLines="0" w:afterAutospacing="0" w:line="240" w:lineRule="atLeast"/>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
              </w:rPr>
              <w:t>2</w:t>
            </w:r>
          </w:p>
        </w:tc>
        <w:tc>
          <w:tcPr>
            <w:tcW w:w="3777" w:type="dxa"/>
            <w:tcBorders>
              <w:tl2br w:val="nil"/>
              <w:tr2bl w:val="nil"/>
            </w:tcBorders>
            <w:noWrap w:val="0"/>
            <w:vAlign w:val="center"/>
          </w:tcPr>
          <w:p w14:paraId="3D3E15D9">
            <w:pPr>
              <w:keepNext w:val="0"/>
              <w:keepLines w:val="0"/>
              <w:widowControl/>
              <w:suppressLineNumbers w:val="0"/>
              <w:overflowPunct w:val="0"/>
              <w:autoSpaceDE w:val="0"/>
              <w:autoSpaceDN/>
              <w:adjustRightInd w:val="0"/>
              <w:spacing w:before="0" w:beforeLines="0" w:beforeAutospacing="0" w:after="0" w:afterLines="0" w:afterAutospacing="0"/>
              <w:ind w:left="0" w:right="0" w:firstLine="0" w:firstLineChars="0"/>
              <w:jc w:val="both"/>
              <w:rPr>
                <w:rFonts w:hint="default" w:ascii="Times New Roman" w:hAnsi="Times New Roman" w:eastAsia="宋体" w:cs="Times New Roman"/>
                <w:color w:val="auto"/>
                <w:kern w:val="0"/>
                <w:sz w:val="21"/>
                <w:szCs w:val="21"/>
                <w:lang w:val="en-US" w:eastAsia="zh-CN" w:bidi="ar-SA"/>
              </w:rPr>
            </w:pPr>
            <w:r>
              <w:rPr>
                <w:rFonts w:hint="eastAsia" w:ascii="宋体" w:hAnsi="宋体" w:eastAsia="宋体" w:cs="宋体"/>
                <w:color w:val="auto"/>
                <w:kern w:val="0"/>
                <w:sz w:val="21"/>
                <w:szCs w:val="21"/>
                <w:lang w:val="en-US" w:eastAsia="zh-CN" w:bidi="ar"/>
              </w:rPr>
              <w:t>完善国土空间规划体系，严格落实“三区三线”，明晰生态、农业、城镇三类空间及生态保护红线、永久基本农田、城镇开发边界三条控制线。合理确定新增建设用地规模，严格控制建设项目土地使用标准，提高资源利用效率。强化国土空间用途管制</w:t>
            </w:r>
            <w:r>
              <w:rPr>
                <w:rFonts w:hint="eastAsia" w:ascii="宋体" w:hAnsi="宋体" w:eastAsia="宋体" w:cs="宋体"/>
                <w:color w:val="auto"/>
                <w:kern w:val="0"/>
                <w:sz w:val="18"/>
                <w:szCs w:val="18"/>
                <w:lang w:val="en-US" w:eastAsia="zh-CN" w:bidi="ar"/>
              </w:rPr>
              <w:t>，</w:t>
            </w:r>
            <w:r>
              <w:rPr>
                <w:rFonts w:hint="eastAsia" w:ascii="宋体" w:hAnsi="宋体" w:eastAsia="宋体" w:cs="宋体"/>
                <w:color w:val="auto"/>
                <w:kern w:val="0"/>
                <w:sz w:val="21"/>
                <w:szCs w:val="21"/>
                <w:lang w:val="en-US" w:eastAsia="zh-CN" w:bidi="ar"/>
              </w:rPr>
              <w:t>根据生态功能细化空间分类分区管治，推动形成优势互补、绿色低碳、高质量发展的区域经济布局。严格落实国家绿色产业指导目录标准，依法依规把好土地审批供应关，加强建设用地准入监管。</w:t>
            </w:r>
          </w:p>
        </w:tc>
        <w:tc>
          <w:tcPr>
            <w:tcW w:w="1693" w:type="dxa"/>
            <w:tcBorders>
              <w:tl2br w:val="nil"/>
              <w:tr2bl w:val="nil"/>
            </w:tcBorders>
            <w:noWrap w:val="0"/>
            <w:vAlign w:val="center"/>
          </w:tcPr>
          <w:p w14:paraId="53DD17FB">
            <w:pPr>
              <w:keepNext w:val="0"/>
              <w:keepLines w:val="0"/>
              <w:widowControl/>
              <w:suppressLineNumbers w:val="0"/>
              <w:overflowPunct w:val="0"/>
              <w:snapToGrid w:val="0"/>
              <w:spacing w:before="0" w:beforeLines="0" w:beforeAutospacing="0" w:after="0" w:afterLines="0" w:afterAutospacing="0" w:line="240" w:lineRule="atLeast"/>
              <w:ind w:left="0" w:right="0" w:firstLine="0" w:firstLineChars="0"/>
              <w:jc w:val="both"/>
              <w:rPr>
                <w:rFonts w:hint="default" w:ascii="Times New Roman" w:hAnsi="Times New Roman" w:eastAsia="宋体" w:cs="Times New Roman"/>
                <w:color w:val="auto"/>
                <w:kern w:val="0"/>
                <w:sz w:val="21"/>
                <w:szCs w:val="21"/>
                <w:lang w:val="en-US" w:eastAsia="zh-CN" w:bidi="ar-SA"/>
              </w:rPr>
            </w:pPr>
            <w:r>
              <w:rPr>
                <w:rFonts w:hint="eastAsia" w:ascii="宋体" w:hAnsi="宋体" w:eastAsia="宋体" w:cs="宋体"/>
                <w:color w:val="auto"/>
                <w:kern w:val="0"/>
                <w:sz w:val="21"/>
                <w:szCs w:val="21"/>
                <w:lang w:val="en-US" w:eastAsia="zh-CN" w:bidi="ar"/>
              </w:rPr>
              <w:t>本项目部分沿线位于</w:t>
            </w:r>
            <w:r>
              <w:rPr>
                <w:rFonts w:hint="eastAsia" w:ascii="宋体" w:hAnsi="宋体" w:eastAsia="宋体" w:cs="Times New Roman"/>
                <w:color w:val="auto"/>
                <w:kern w:val="0"/>
                <w:sz w:val="21"/>
                <w:szCs w:val="21"/>
                <w:lang w:val="en-US" w:eastAsia="zh-CN" w:bidi="ar-SA"/>
              </w:rPr>
              <w:t>克孜勒苏柯尔克孜自治州阿图什市境内</w:t>
            </w:r>
            <w:r>
              <w:rPr>
                <w:rFonts w:hint="eastAsia" w:ascii="宋体" w:hAnsi="宋体" w:eastAsia="宋体" w:cs="宋体"/>
                <w:color w:val="auto"/>
                <w:kern w:val="0"/>
                <w:sz w:val="21"/>
                <w:szCs w:val="21"/>
                <w:lang w:val="en-US" w:eastAsia="zh-CN" w:bidi="ar"/>
              </w:rPr>
              <w:t>，沿项目区周边无自然保护区、饮用水源地保护区等生态保护目标，项目建设符合国土空间用途管制要求。</w:t>
            </w:r>
          </w:p>
        </w:tc>
        <w:tc>
          <w:tcPr>
            <w:tcW w:w="944" w:type="dxa"/>
            <w:tcBorders>
              <w:tl2br w:val="nil"/>
              <w:tr2bl w:val="nil"/>
            </w:tcBorders>
            <w:noWrap w:val="0"/>
            <w:vAlign w:val="center"/>
          </w:tcPr>
          <w:p w14:paraId="18B0196C">
            <w:pPr>
              <w:keepNext w:val="0"/>
              <w:keepLines w:val="0"/>
              <w:widowControl/>
              <w:suppressLineNumbers w:val="0"/>
              <w:overflowPunct w:val="0"/>
              <w:snapToGrid w:val="0"/>
              <w:spacing w:before="0" w:beforeLines="0" w:beforeAutospacing="0" w:after="0" w:afterLines="0" w:afterAutospacing="0" w:line="240" w:lineRule="atLeast"/>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宋体" w:hAnsi="宋体" w:eastAsia="宋体" w:cs="宋体"/>
                <w:color w:val="auto"/>
                <w:kern w:val="0"/>
                <w:sz w:val="21"/>
                <w:szCs w:val="21"/>
                <w:lang w:val="en-US" w:eastAsia="zh-CN" w:bidi="ar"/>
              </w:rPr>
              <w:t>符合</w:t>
            </w:r>
          </w:p>
        </w:tc>
      </w:tr>
    </w:tbl>
    <w:p w14:paraId="5A003BA2">
      <w:pPr>
        <w:bidi w:val="0"/>
        <w:rPr>
          <w:rFonts w:hint="default" w:ascii="Times New Roman" w:hAnsi="Times New Roman" w:cs="Times New Roman"/>
          <w:color w:val="auto"/>
          <w:lang w:val="en-US" w:eastAsia="zh-CN"/>
        </w:rPr>
      </w:pPr>
    </w:p>
    <w:p w14:paraId="00666102">
      <w:pPr>
        <w:pStyle w:val="5"/>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3.4.2.3 《克孜勒苏柯尔克孜自治州国土空间总体规划（2021-2035年）》</w:t>
      </w:r>
    </w:p>
    <w:p w14:paraId="22A268C1">
      <w:pPr>
        <w:keepNext w:val="0"/>
        <w:keepLines w:val="0"/>
        <w:pageBreakBefore w:val="0"/>
        <w:widowControl/>
        <w:suppressLineNumbers w:val="0"/>
        <w:kinsoku/>
        <w:wordWrap/>
        <w:overflowPunct/>
        <w:topLinePunct w:val="0"/>
        <w:autoSpaceDE/>
        <w:autoSpaceDN/>
        <w:bidi w:val="0"/>
        <w:adjustRightInd w:val="0"/>
        <w:snapToGrid w:val="0"/>
        <w:ind w:left="0" w:leftChars="0" w:firstLine="480" w:firstLineChars="200"/>
        <w:jc w:val="left"/>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本项目已纳入《克孜勒苏柯尔克孜自治州国土空间总体规划（2021-2035年）》，规划指出：</w:t>
      </w:r>
    </w:p>
    <w:p w14:paraId="45A4E754">
      <w:pPr>
        <w:keepNext w:val="0"/>
        <w:keepLines w:val="0"/>
        <w:pageBreakBefore w:val="0"/>
        <w:widowControl/>
        <w:suppressLineNumbers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阿图什市战略定位是丝绸之路经济带核心区重要门户，喀什-阿图什一体化发展区副中心。阿图什市国土空间开发保护总体格局是构建“一心一圈、一轴两脉两屏”开发保护总体格局，尊重自然本底，落实阿图什市发展战略定位要求，按照“生态优先，强化轴线、带圈集聚”的空间发展思路，构建“一心一圈、一轴两脉两屏”的阿图什市国土空间开发保护总体格局。一心一圈即推动喀（什）-阿（图什）一体化区高质量发展。</w:t>
      </w:r>
    </w:p>
    <w:p w14:paraId="143434BF">
      <w:pPr>
        <w:keepNext w:val="0"/>
        <w:keepLines w:val="0"/>
        <w:pageBreakBefore w:val="0"/>
        <w:widowControl/>
        <w:suppressLineNumbers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主动融入区域网络，引领南疆地区城镇联动发展，加强与喀什城镇分工协作，推动基础设施同城联动。</w:t>
      </w:r>
    </w:p>
    <w:p w14:paraId="0BBF61E3">
      <w:pPr>
        <w:pStyle w:val="5"/>
        <w:bidi w:val="0"/>
        <w:rPr>
          <w:rFonts w:hint="default" w:ascii="Times New Roman" w:hAnsi="Times New Roman" w:eastAsia="宋体" w:cs="Times New Roman"/>
          <w:color w:val="auto"/>
          <w:kern w:val="0"/>
          <w:szCs w:val="24"/>
          <w:lang w:val="en-US" w:eastAsia="zh-CN" w:bidi="ar"/>
        </w:rPr>
      </w:pPr>
      <w:r>
        <w:rPr>
          <w:rFonts w:hint="default" w:ascii="Times New Roman" w:hAnsi="Times New Roman" w:cs="Times New Roman"/>
          <w:color w:val="auto"/>
          <w:lang w:val="en-US" w:eastAsia="zh-CN"/>
        </w:rPr>
        <w:t>3.4.2.4 与《新疆维吾尔自治区国民经济和社会发展第十四个五年规划和2035年远景目标纲要》符合性分析</w:t>
      </w:r>
    </w:p>
    <w:p w14:paraId="3524B7DA">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根据《新疆维吾尔自治区国民经济和社会发展第十四个五年规划和2035年远景目标纲要》：“十四五”经济社会发展的主要目标是：经济发展取得新成效，改革开放迈出新步伐，民族团结实现新进步，社会文明程度得到新提高，生态文明建设实现新改善，民生福祉达到新水平，社会稳定开创新局面，社会治理效能得到新提升。</w:t>
      </w:r>
    </w:p>
    <w:p w14:paraId="011F07F3">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实现“十四五”规划目标，一方面充分发挥“西引东来”“东联西出”的区位优势，发展开放型经济，拓展开放空间；必须紧紧围绕自治区党委提出的“十四五”重大战略部署，切实做好丝绸之路经济带核心区建设、一</w:t>
      </w:r>
      <w:r>
        <w:rPr>
          <w:rFonts w:hint="default" w:ascii="Times New Roman" w:hAnsi="Times New Roman" w:cs="Times New Roman"/>
          <w:color w:val="auto"/>
          <w:kern w:val="0"/>
          <w:sz w:val="24"/>
          <w:szCs w:val="24"/>
          <w:lang w:val="en-US" w:eastAsia="zh-CN" w:bidi="ar"/>
        </w:rPr>
        <w:t>二、三产业</w:t>
      </w:r>
      <w:r>
        <w:rPr>
          <w:rFonts w:hint="default" w:ascii="Times New Roman" w:hAnsi="Times New Roman" w:eastAsia="宋体" w:cs="Times New Roman"/>
          <w:color w:val="auto"/>
          <w:kern w:val="0"/>
          <w:sz w:val="24"/>
          <w:szCs w:val="24"/>
          <w:lang w:val="en-US" w:eastAsia="zh-CN" w:bidi="ar"/>
        </w:rPr>
        <w:t>融合发展、基础设施建设、新型城镇化、乡村振兴、深化“放管服”等重点领域改革优化营商环境、文化润疆、建设美丽新疆、兵地融合发展、保障改善民生等十篇大文章。</w:t>
      </w:r>
    </w:p>
    <w:p w14:paraId="4078C027">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交通运输是国民经济发展的大动脉，具有基础性、服务性、引导性、战略性属性，是兴国之器、强国之基。构建现代综合交通运输体系，是适应把握新常态，推进供给侧结构性改革，服务重大战略实施，维护地区社会稳定和长治久安，促进经济快速发展，支撑全面建成小康社会的客观要求。</w:t>
      </w:r>
    </w:p>
    <w:p w14:paraId="0C47940E">
      <w:pPr>
        <w:keepNext w:val="0"/>
        <w:keepLines w:val="0"/>
        <w:pageBreakBefore w:val="0"/>
        <w:widowControl/>
        <w:suppressLineNumbers w:val="0"/>
        <w:kinsoku/>
        <w:wordWrap/>
        <w:overflowPunct/>
        <w:topLinePunct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而克州作为南疆四地州组成的重要地州之一，北部和西部分别与吉尔吉斯斯坦和塔吉克斯坦两国接壤，边境线长达1195千米。东部与阿克苏地区相连，南部与喀什地区毗邻，是连接南北疆、沟通新疆内外的重要交通枢纽，直接关系着</w:t>
      </w:r>
      <w:r>
        <w:rPr>
          <w:rFonts w:hint="default" w:ascii="Times New Roman" w:hAnsi="Times New Roman" w:cs="Times New Roman"/>
          <w:color w:val="auto"/>
          <w:kern w:val="0"/>
          <w:sz w:val="24"/>
          <w:szCs w:val="24"/>
          <w:lang w:val="en-US" w:eastAsia="zh-CN" w:bidi="ar"/>
        </w:rPr>
        <w:t>新疆维吾尔自治区</w:t>
      </w:r>
      <w:r>
        <w:rPr>
          <w:rFonts w:hint="default" w:ascii="Times New Roman" w:hAnsi="Times New Roman" w:eastAsia="宋体" w:cs="Times New Roman"/>
          <w:color w:val="auto"/>
          <w:kern w:val="0"/>
          <w:sz w:val="24"/>
          <w:szCs w:val="24"/>
          <w:lang w:val="en-US" w:eastAsia="zh-CN" w:bidi="ar"/>
        </w:rPr>
        <w:t>融入国家“一带一路”建设规划。完善克州综合交通运输，提升综合运输服务能力，是促进“双什一体化”发展和新疆打造成为中巴走廊经济带上重要交通枢纽、商贸物流和文化教育中心及沟通对外八</w:t>
      </w:r>
      <w:r>
        <w:rPr>
          <w:rFonts w:hint="default" w:ascii="Times New Roman" w:hAnsi="Times New Roman" w:cs="Times New Roman"/>
          <w:color w:val="auto"/>
          <w:kern w:val="0"/>
          <w:sz w:val="24"/>
          <w:szCs w:val="24"/>
          <w:lang w:val="en-US" w:eastAsia="zh-CN" w:bidi="ar"/>
        </w:rPr>
        <w:t>国的</w:t>
      </w:r>
      <w:r>
        <w:rPr>
          <w:rFonts w:hint="default" w:ascii="Times New Roman" w:hAnsi="Times New Roman" w:eastAsia="宋体" w:cs="Times New Roman"/>
          <w:color w:val="auto"/>
          <w:kern w:val="0"/>
          <w:sz w:val="24"/>
          <w:szCs w:val="24"/>
          <w:lang w:val="en-US" w:eastAsia="zh-CN" w:bidi="ar"/>
        </w:rPr>
        <w:t>重要交通枢纽，是支撑新疆融入国家“一带一路”等重大战略的先手棋。</w:t>
      </w:r>
    </w:p>
    <w:p w14:paraId="3C5160CF">
      <w:pPr>
        <w:keepNext w:val="0"/>
        <w:keepLines w:val="0"/>
        <w:pageBreakBefore w:val="0"/>
        <w:widowControl/>
        <w:suppressLineNumbers w:val="0"/>
        <w:kinsoku/>
        <w:wordWrap/>
        <w:overflowPunct/>
        <w:topLinePunct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本项目的建设可提升阿图什市与喀什市的道路通行能力和服务水平，促进当地经济发展。符合《新疆维吾尔自治区国民经济和社会发展第十四个五年规划和2035年远景目标纲要》。</w:t>
      </w:r>
    </w:p>
    <w:p w14:paraId="52D04D8F">
      <w:pPr>
        <w:pStyle w:val="5"/>
        <w:bidi w:val="0"/>
        <w:rPr>
          <w:rFonts w:hint="default" w:ascii="Times New Roman" w:hAnsi="Times New Roman" w:cs="Times New Roman"/>
          <w:color w:val="auto"/>
          <w:szCs w:val="24"/>
          <w:lang w:val="en-US"/>
        </w:rPr>
      </w:pPr>
      <w:r>
        <w:rPr>
          <w:rFonts w:hint="default" w:ascii="Times New Roman" w:hAnsi="Times New Roman" w:cs="Times New Roman"/>
          <w:color w:val="auto"/>
          <w:lang w:val="en-US" w:eastAsia="zh-CN"/>
        </w:rPr>
        <w:t>3.4.2.5 与《克孜勒苏柯尔克孜自治州国民经济和社会发展第十四个五年规划和2035年远景目标纲要》符合性分析</w:t>
      </w:r>
    </w:p>
    <w:p w14:paraId="49A8B7D2">
      <w:pPr>
        <w:keepNext w:val="0"/>
        <w:keepLines w:val="0"/>
        <w:pageBreakBefore w:val="0"/>
        <w:widowControl/>
        <w:suppressLineNumbers w:val="0"/>
        <w:kinsoku/>
        <w:wordWrap/>
        <w:overflowPunct/>
        <w:topLinePunct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纲要提出：充分发挥区位地缘优势、集群口岸优势和国际大通道的重要作用，抓住共建“一带一路”机遇，积极融入国家丝绸之路经济带建设和新疆建设丝绸之路经济带核心区及“一港、两区、五中心、口岸经济带”规划布局，以口岸经济为主要抓手，丰富对外开放载体，搭建向西开放的重要平台，创新开放型经济体制，构建更大范围、更宽领域、更深层次、更高水平的全面开放新格局。</w:t>
      </w:r>
    </w:p>
    <w:p w14:paraId="40DE214A">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推进落实交通枢纽中心建设。围绕新疆建设“丝绸之路经济带核心区”交通枢纽中心的目标任务，加快推进与周边国家综合交通互联互通。加强与周边地区合作发展。主动加强与喀什、阿克苏、和田等地区的紧密合作，创新区域合作体制机制，增强跨州域互动联系，协同推进基础设施、产业发展、环保生态、城市规划、对外开放、公共服务等融合发展，进一步完善区域基础设施共建共享、资源要素优化配置、产业分工协调互补、功能定位差异发展的区域协同发展新机制，形成内外联动、优势互补、相互支持、合作共赢的空间开放开发布局体系。</w:t>
      </w:r>
    </w:p>
    <w:p w14:paraId="5D0B37D2">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color w:val="auto"/>
          <w:kern w:val="0"/>
          <w:sz w:val="24"/>
          <w:szCs w:val="24"/>
          <w:lang w:val="en-US" w:eastAsia="zh-CN" w:bidi="ar"/>
        </w:rPr>
        <w:t>积极融入南疆城市群建设，强化县城规划建设，引领支撑各具特色县域经济发展。加快完善公路网建设，推进交通基础设施互联互通，畅通南疆向西开放的重要通道，逐步形成连接中亚和南亚国家的重要区域性陆地交通枢纽。全面建成以阿图什为中心、三面覆盖的铁路网，“一环七射”的骨架公路网、畅通完善的农村公路网，便捷连通的航空运输网，加快构建以“一横两纵”为主干，农村公路、国省道干线公路立体交叉，覆盖城乡的公路交通运输体系，形成“北进南出、西连东承、服务全面”的综合立体交通发展格局。</w:t>
      </w:r>
    </w:p>
    <w:p w14:paraId="3E043293">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本项目可大大改善当地居民出行条件，同时提高和改善乡村公路的通行能力。符合《</w:t>
      </w:r>
      <w:r>
        <w:rPr>
          <w:rFonts w:hint="default" w:ascii="Times New Roman" w:hAnsi="Times New Roman" w:eastAsia="宋体" w:cs="Times New Roman"/>
          <w:b w:val="0"/>
          <w:bCs w:val="0"/>
          <w:color w:val="auto"/>
          <w:kern w:val="0"/>
          <w:sz w:val="24"/>
          <w:szCs w:val="24"/>
          <w:lang w:val="en-US" w:eastAsia="zh-CN" w:bidi="ar"/>
        </w:rPr>
        <w:t>克孜勒苏柯尔克孜自治州国民经济和社会发展第十四个五年规划和2035年远景目标纲要</w:t>
      </w:r>
      <w:r>
        <w:rPr>
          <w:rFonts w:hint="default" w:ascii="Times New Roman" w:hAnsi="Times New Roman" w:eastAsia="宋体" w:cs="Times New Roman"/>
          <w:color w:val="auto"/>
          <w:kern w:val="0"/>
          <w:sz w:val="24"/>
          <w:szCs w:val="24"/>
          <w:lang w:val="en-US" w:eastAsia="zh-CN" w:bidi="ar"/>
        </w:rPr>
        <w:t>》。</w:t>
      </w:r>
    </w:p>
    <w:p w14:paraId="307EE0AE">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3.4.2.6 项目区域规划与拟建项目的关系</w:t>
      </w:r>
    </w:p>
    <w:p w14:paraId="500801A9">
      <w:pPr>
        <w:bidi w:val="0"/>
        <w:jc w:val="both"/>
        <w:rPr>
          <w:rFonts w:hint="default" w:ascii="Times New Roman" w:hAnsi="Times New Roman" w:cs="Times New Roman"/>
          <w:color w:val="auto"/>
        </w:rPr>
      </w:pPr>
      <w:r>
        <w:rPr>
          <w:rFonts w:hint="default" w:ascii="Times New Roman" w:hAnsi="Times New Roman" w:cs="Times New Roman"/>
          <w:color w:val="auto"/>
          <w:lang w:val="en-US" w:eastAsia="zh-CN"/>
        </w:rPr>
        <w:t>本项目途经阿图什市及阿图什工业园区。</w:t>
      </w:r>
    </w:p>
    <w:p w14:paraId="57D6C733">
      <w:pPr>
        <w:bidi w:val="0"/>
        <w:jc w:val="both"/>
        <w:rPr>
          <w:rFonts w:hint="default" w:ascii="Times New Roman" w:hAnsi="Times New Roman" w:cs="Times New Roman"/>
          <w:color w:val="auto"/>
        </w:rPr>
      </w:pPr>
      <w:r>
        <w:rPr>
          <w:rFonts w:hint="default" w:ascii="Times New Roman" w:hAnsi="Times New Roman" w:cs="Times New Roman"/>
          <w:color w:val="auto"/>
          <w:lang w:val="en-US" w:eastAsia="zh-CN"/>
        </w:rPr>
        <w:t>（1）阿图什市中心城区总体规划：</w:t>
      </w:r>
    </w:p>
    <w:p w14:paraId="6CD17195">
      <w:pPr>
        <w:bidi w:val="0"/>
        <w:jc w:val="both"/>
        <w:rPr>
          <w:rFonts w:hint="default" w:ascii="Times New Roman" w:hAnsi="Times New Roman" w:cs="Times New Roman"/>
          <w:color w:val="auto"/>
        </w:rPr>
      </w:pPr>
      <w:r>
        <w:rPr>
          <w:rFonts w:hint="default" w:ascii="Times New Roman" w:hAnsi="Times New Roman" w:cs="Times New Roman"/>
          <w:color w:val="auto"/>
          <w:lang w:val="en-US" w:eastAsia="zh-CN"/>
        </w:rPr>
        <w:t>阿图什市中心城区总体布局为：“一心、二轴、四区”的带状组团型城市布局结构。</w:t>
      </w:r>
    </w:p>
    <w:p w14:paraId="78381423">
      <w:pPr>
        <w:bidi w:val="0"/>
        <w:jc w:val="both"/>
        <w:rPr>
          <w:rFonts w:hint="default" w:ascii="Times New Roman" w:hAnsi="Times New Roman" w:cs="Times New Roman"/>
          <w:color w:val="auto"/>
        </w:rPr>
      </w:pPr>
      <w:r>
        <w:rPr>
          <w:rFonts w:hint="default" w:ascii="Times New Roman" w:hAnsi="Times New Roman" w:cs="Times New Roman"/>
          <w:color w:val="auto"/>
          <w:lang w:val="en-US" w:eastAsia="zh-CN"/>
        </w:rPr>
        <w:t>1）一心：由位于主城区中部的行政、文化、教育、金融等组成的市级中心。</w:t>
      </w:r>
    </w:p>
    <w:p w14:paraId="64D62BEC">
      <w:pPr>
        <w:bidi w:val="0"/>
        <w:jc w:val="both"/>
        <w:rPr>
          <w:rFonts w:hint="default" w:ascii="Times New Roman" w:hAnsi="Times New Roman" w:cs="Times New Roman"/>
          <w:color w:val="auto"/>
        </w:rPr>
      </w:pPr>
      <w:r>
        <w:rPr>
          <w:rFonts w:hint="default" w:ascii="Times New Roman" w:hAnsi="Times New Roman" w:cs="Times New Roman"/>
          <w:color w:val="auto"/>
          <w:lang w:val="en-US" w:eastAsia="zh-CN"/>
        </w:rPr>
        <w:t>2）二轴：由沿团结路贯穿中心城区的城市发展主轴和沿松他克路的城市发展次轴组成。</w:t>
      </w:r>
    </w:p>
    <w:p w14:paraId="57A894D4">
      <w:pPr>
        <w:bidi w:val="0"/>
        <w:jc w:val="both"/>
        <w:rPr>
          <w:rFonts w:hint="default" w:ascii="Times New Roman" w:hAnsi="Times New Roman" w:cs="Times New Roman"/>
          <w:color w:val="auto"/>
        </w:rPr>
      </w:pPr>
      <w:r>
        <w:rPr>
          <w:rFonts w:hint="default" w:ascii="Times New Roman" w:hAnsi="Times New Roman" w:cs="Times New Roman"/>
          <w:color w:val="auto"/>
          <w:lang w:val="en-US" w:eastAsia="zh-CN"/>
        </w:rPr>
        <w:t>3）四区：即主城区、商贸物流区、西部工业区和产城结合区。</w:t>
      </w:r>
    </w:p>
    <w:p w14:paraId="0D6931AD">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b w:val="0"/>
          <w:bCs w:val="0"/>
          <w:color w:val="auto"/>
          <w:kern w:val="0"/>
          <w:sz w:val="24"/>
          <w:szCs w:val="24"/>
          <w:lang w:val="en-US" w:eastAsia="zh-CN" w:bidi="ar"/>
        </w:rPr>
        <w:t>本项目位于城市东西发展轴及西部工业区组团，本项目在</w:t>
      </w:r>
      <w:r>
        <w:rPr>
          <w:rFonts w:hint="default" w:ascii="Times New Roman" w:hAnsi="Times New Roman" w:cs="Times New Roman"/>
          <w:b w:val="0"/>
          <w:bCs w:val="0"/>
          <w:color w:val="auto"/>
          <w:lang w:val="en-US" w:eastAsia="zh-CN"/>
        </w:rPr>
        <w:t>阿图什市城镇总体规划中的位置见图3.3-2，</w:t>
      </w:r>
      <w:r>
        <w:rPr>
          <w:rFonts w:hint="default" w:ascii="Times New Roman" w:hAnsi="Times New Roman" w:eastAsia="宋体" w:cs="Times New Roman"/>
          <w:b w:val="0"/>
          <w:bCs w:val="0"/>
          <w:color w:val="auto"/>
          <w:kern w:val="0"/>
          <w:sz w:val="24"/>
          <w:szCs w:val="24"/>
          <w:lang w:val="en-US" w:eastAsia="zh-CN" w:bidi="ar"/>
        </w:rPr>
        <w:t>项目建设符合阿图什市城市交通规划，有利于完善城镇路网，有利于</w:t>
      </w:r>
      <w:r>
        <w:rPr>
          <w:rFonts w:hint="eastAsia" w:cs="Times New Roman"/>
          <w:b w:val="0"/>
          <w:bCs w:val="0"/>
          <w:color w:val="auto"/>
          <w:kern w:val="0"/>
          <w:sz w:val="24"/>
          <w:szCs w:val="24"/>
          <w:lang w:val="en-US" w:eastAsia="zh-CN" w:bidi="ar"/>
        </w:rPr>
        <w:t>拉近</w:t>
      </w:r>
      <w:r>
        <w:rPr>
          <w:rFonts w:hint="default" w:ascii="Times New Roman" w:hAnsi="Times New Roman" w:eastAsia="宋体" w:cs="Times New Roman"/>
          <w:b w:val="0"/>
          <w:bCs w:val="0"/>
          <w:color w:val="auto"/>
          <w:kern w:val="0"/>
          <w:sz w:val="24"/>
          <w:szCs w:val="24"/>
          <w:lang w:val="en-US" w:eastAsia="zh-CN" w:bidi="ar"/>
        </w:rPr>
        <w:t>阿图什市与喀什市间的空间距离，促进地方经济发展。</w:t>
      </w:r>
    </w:p>
    <w:p w14:paraId="29BB3CAA">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（2）阿图什工业园区规划</w:t>
      </w:r>
    </w:p>
    <w:p w14:paraId="15FB82FC">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阿图什市工业园区位于阿图什市城东，城西两侧，314国道两旁，批准规划面积13.94km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，根据克州阿图什工业园区建设总体规划，园区统一设置为一园（克州阿图什市工业园）三区（即：一区、二区、三区）。</w:t>
      </w:r>
    </w:p>
    <w:p w14:paraId="04CA1DA6">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一区(重工业区)：位于阿图什中心城区西部，陆域宽阔，地势平坦，规划面积7.6km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。园区距阿图什市中心城区约18km，314国道从其南侧边缘穿过，交通便利。</w:t>
      </w:r>
    </w:p>
    <w:p w14:paraId="1FB1690B">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二区（轻工业区）：位于阿图什中心城区西部，距离中心城区约7km，规划面积3.98km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，314国道从其北侧边缘穿过，交通便利。</w:t>
      </w:r>
    </w:p>
    <w:p w14:paraId="18C2352E">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三区（皮革加工区）：三区位于阿图什中心城区西部，距中心城区约5km，距阿图什火车站约2km，紧邻北侧的314国道，交通便利，园区规划面积2.36km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w:t>
      </w:r>
    </w:p>
    <w:p w14:paraId="5E91D423">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阿图什市工业园区位于阿图什市城东，城西两侧，314国道两旁，批准规划面积13.94km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，根据克州阿图什工业园区建设总体规划，园区统一设置为一园（克州阿图什市工业园）三区（即：一区、二区、三区）。</w:t>
      </w:r>
    </w:p>
    <w:p w14:paraId="4B0FC410">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规划通过集中布置的原则，主城区西部集中规划产城结合区和西部工业区，形成组团布局、分片发展的工业格局，将老城区内工业企业进行转型或异地搬迁。</w:t>
      </w:r>
    </w:p>
    <w:p w14:paraId="00AC7B78">
      <w:pPr>
        <w:keepNext w:val="0"/>
        <w:keepLines w:val="0"/>
        <w:widowControl/>
        <w:suppressLineNumbers w:val="0"/>
        <w:jc w:val="both"/>
        <w:rPr>
          <w:rFonts w:hint="default" w:ascii="Times New Roman" w:hAnsi="Times New Roman" w:cs="Times New Roman"/>
          <w:color w:val="auto"/>
        </w:rPr>
      </w:pPr>
      <w:r>
        <w:rPr>
          <w:rFonts w:hint="eastAsia" w:ascii="Times New Roman" w:hAnsi="Times New Roman" w:cs="Times New Roman"/>
          <w:color w:val="auto"/>
          <w:kern w:val="0"/>
          <w:sz w:val="24"/>
          <w:szCs w:val="24"/>
          <w:lang w:val="en-US" w:eastAsia="zh-CN" w:bidi="ar"/>
        </w:rPr>
        <w:t>S227线</w:t>
      </w:r>
      <w:r>
        <w:rPr>
          <w:rFonts w:hint="default" w:ascii="Times New Roman" w:hAnsi="Times New Roman" w:eastAsia="宋体" w:cs="Times New Roman"/>
          <w:color w:val="auto"/>
          <w:kern w:val="0"/>
          <w:sz w:val="24"/>
          <w:szCs w:val="24"/>
          <w:lang w:val="en-US" w:eastAsia="zh-CN" w:bidi="ar"/>
        </w:rPr>
        <w:t>K0+000~K1+680段利用阿图什工业园区创业大道进行加宽改造，道路标准符合园区规划。</w:t>
      </w:r>
    </w:p>
    <w:p w14:paraId="06592EAD">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3.4.2.7 项目区域城镇现状布局与拟建项目的关系</w:t>
      </w:r>
    </w:p>
    <w:p w14:paraId="7232AB16">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（1）本项目与现状公路网关系</w:t>
      </w:r>
    </w:p>
    <w:p w14:paraId="54044ED4">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项目区域公路网干线公路主要为G3012</w:t>
      </w:r>
      <w:r>
        <w:rPr>
          <w:rFonts w:hint="eastAsia"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G314线，其余道路主要为县、乡、村级公路。目前，阿图什市与喀什市间的公路联系主要通过G3012高速公路和G314公路。</w:t>
      </w:r>
      <w:r>
        <w:rPr>
          <w:rFonts w:hint="eastAsia" w:ascii="Times New Roman" w:hAnsi="Times New Roman" w:cs="Times New Roman"/>
          <w:color w:val="auto"/>
          <w:kern w:val="0"/>
          <w:sz w:val="24"/>
          <w:szCs w:val="24"/>
          <w:lang w:val="en-US" w:eastAsia="zh-CN" w:bidi="ar"/>
        </w:rPr>
        <w:t>S227</w:t>
      </w:r>
      <w:r>
        <w:rPr>
          <w:rFonts w:hint="default" w:ascii="Times New Roman" w:hAnsi="Times New Roman" w:eastAsia="宋体" w:cs="Times New Roman"/>
          <w:color w:val="auto"/>
          <w:kern w:val="0"/>
          <w:sz w:val="24"/>
          <w:szCs w:val="24"/>
          <w:lang w:val="en-US" w:eastAsia="zh-CN" w:bidi="ar"/>
        </w:rPr>
        <w:t>起点在阿图什市阿扎克乡阿扎克互通南侧与G314公路平交，起点通过阿扎克互通衔接G3012高速公路。在项目终点附近上跨G3012高速公路，项目终点衔接喀什市城市路网，可经喀什城市路网在项目终点以西约700米处的城东互通实现与G3012高速公路的交通转换。</w:t>
      </w:r>
    </w:p>
    <w:p w14:paraId="66F6BE0B">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（2）本项目与城镇路网关系</w:t>
      </w:r>
    </w:p>
    <w:p w14:paraId="0C3C1323">
      <w:pPr>
        <w:keepNext w:val="0"/>
        <w:keepLines w:val="0"/>
        <w:widowControl/>
        <w:suppressLineNumbers w:val="0"/>
        <w:jc w:val="both"/>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S227起点K0+000至K1+680段利用阿图什工业园区创业大道进行加宽改造，通过创业大道向北可在阿扎克互通上下G3012高速公路，向东可通过G314、新城路、团结路通往阿图什市老城区，本项目建设有利于完善阿图什市城市路网、改善阿图什工业园区对外出行条件。</w:t>
      </w:r>
    </w:p>
    <w:p w14:paraId="0A659046">
      <w:pPr>
        <w:keepNext w:val="0"/>
        <w:keepLines w:val="0"/>
        <w:widowControl/>
        <w:suppressLineNumbers w:val="0"/>
        <w:jc w:val="both"/>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终点位于喀什市经济开发区城东大道与开发区规划的最北侧道路横一路交叉路口，城东大道为喀什市城东的主要干线道路，本项目的建设，在喀什城东区域增加一条对外快速通道，喀什市去往阿图什市、阿克苏等地交通，通过本项目通行，可大幅缩减通行时间。</w:t>
      </w:r>
    </w:p>
    <w:p w14:paraId="62CE0353">
      <w:pPr>
        <w:pStyle w:val="5"/>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3.4.2.8与《喀什地区国民经济和社会发展第十四个五年规划和2035年远景目标纲要》符合性分析</w:t>
      </w:r>
    </w:p>
    <w:p w14:paraId="14254043">
      <w:pPr>
        <w:keepNext w:val="0"/>
        <w:keepLines w:val="0"/>
        <w:widowControl/>
        <w:suppressLineNumbers w:val="0"/>
        <w:jc w:val="both"/>
        <w:rPr>
          <w:rFonts w:hint="default" w:cs="Times New Roman"/>
          <w:color w:val="auto"/>
          <w:kern w:val="0"/>
          <w:sz w:val="24"/>
          <w:szCs w:val="24"/>
          <w:lang w:val="en-US" w:eastAsia="zh-CN" w:bidi="ar"/>
        </w:rPr>
      </w:pPr>
      <w:r>
        <w:rPr>
          <w:rFonts w:hint="default" w:cs="Times New Roman"/>
          <w:color w:val="auto"/>
          <w:kern w:val="0"/>
          <w:sz w:val="24"/>
          <w:szCs w:val="24"/>
          <w:lang w:val="en-US" w:eastAsia="zh-CN" w:bidi="ar"/>
        </w:rPr>
        <w:t>纲要提出：依据国家综合立体交通网布局，加快推进国家综合立体交通网主骨架喀什组团和沿边通道重要节点建设，落实“疆内环起来、进出快起来”，着力解决喀什全国路网末端交通劣势，构建喀什连接内地市场的交通网络体系，构建安全、便捷、高效、绿色的现代化综合交通运输系统。</w:t>
      </w:r>
    </w:p>
    <w:p w14:paraId="3F7B1813">
      <w:pPr>
        <w:keepNext w:val="0"/>
        <w:keepLines w:val="0"/>
        <w:widowControl/>
        <w:suppressLineNumbers w:val="0"/>
        <w:jc w:val="both"/>
        <w:rPr>
          <w:rFonts w:hint="default" w:cs="Times New Roman"/>
          <w:color w:val="auto"/>
          <w:kern w:val="0"/>
          <w:sz w:val="24"/>
          <w:szCs w:val="24"/>
          <w:lang w:val="en-US" w:eastAsia="zh-CN" w:bidi="ar"/>
        </w:rPr>
      </w:pPr>
      <w:r>
        <w:rPr>
          <w:rFonts w:hint="default" w:cs="Times New Roman"/>
          <w:color w:val="auto"/>
          <w:kern w:val="0"/>
          <w:sz w:val="24"/>
          <w:szCs w:val="24"/>
          <w:lang w:val="en-US" w:eastAsia="zh-CN" w:bidi="ar"/>
        </w:rPr>
        <w:t>机场建设。加快航空事业发展，推进喀什机场改扩建，拓展喀什国际国内航线，加密南北疆串飞、环飞航线，形成辐射全疆各机场的支线航空运输网络。大力发展通用航空，加快通用机场建设，支持航空公司建设喀什航空基地，积极培育客货航线。推进喀什机场综合立体交通枢纽中心建设、塔什库尔干帕米尔机场临空示范区建设。铁路建设。优化铁路网络布局，加快库尔勒-阿克苏-喀什铁路提速扩能工程，提升进出喀什速度和运输能力。推动区域内铁路环线建设，扩大铁路覆盖范围。推进“一市两县”轨道交通前期工作，推动干线铁路与城市公交、机场高效衔接，提高便捷通行率。加快园区、矿区铁路专用线建设，提升铁路货运场站数字化、智能化水平，促进多式联运，发展快捷货运。到 2025 年，实现铁路全线联通，构建对内对外铁路运输大通道。公路建设。加快高速公路网贯通，推进连接各国省干线和高速公路建设，增强骨干通道运输能力。建设一批连接口岸、旅游景区、产业园区的国省道公路，大力实施过境公路、旅游公路、资源道路建设，开辟岳普湖县至莎车县公路通道，缓解物流压力，提升公路运输能力。实施“四好农村路”工程，加强自然村（组）公路建设，打通断头路，提高农村道路通达便捷性。推进边境公路大环线通道和国防公路建设，巩固提升边防能力。到 2025 年，形成以高速公路为骨干、国省干线公路为支撑、农村公路为基础、客货运枢纽为集散中心的现代化高效综合公路运输体系。</w:t>
      </w:r>
    </w:p>
    <w:p w14:paraId="6D0D2726">
      <w:pPr>
        <w:keepNext w:val="0"/>
        <w:keepLines w:val="0"/>
        <w:widowControl/>
        <w:suppressLineNumbers w:val="0"/>
        <w:jc w:val="both"/>
        <w:rPr>
          <w:rFonts w:hint="eastAsia" w:cs="Times New Roman"/>
          <w:color w:val="auto"/>
          <w:kern w:val="0"/>
          <w:sz w:val="24"/>
          <w:szCs w:val="24"/>
          <w:lang w:val="en-US" w:eastAsia="zh-CN" w:bidi="ar"/>
        </w:rPr>
      </w:pPr>
      <w:r>
        <w:rPr>
          <w:rFonts w:hint="eastAsia" w:cs="Times New Roman"/>
          <w:color w:val="auto"/>
          <w:kern w:val="0"/>
          <w:sz w:val="24"/>
          <w:szCs w:val="24"/>
          <w:lang w:val="en-US" w:eastAsia="zh-CN" w:bidi="ar"/>
        </w:rPr>
        <w:t>本项目属于公路建设项目，属于连接阿图什至喀什城市圈主要道路，符合规划要求。</w:t>
      </w:r>
    </w:p>
    <w:p w14:paraId="6ECB1E16">
      <w:pPr>
        <w:pStyle w:val="5"/>
        <w:bidi w:val="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3.4.2.9与《喀什中亚南亚工业园区国土空间专项规划(2024-2035年)》符合性分析</w:t>
      </w:r>
    </w:p>
    <w:p w14:paraId="5EE9A232">
      <w:pPr>
        <w:keepNext w:val="0"/>
        <w:keepLines w:val="0"/>
        <w:widowControl/>
        <w:suppressLineNumbers w:val="0"/>
        <w:jc w:val="both"/>
        <w:rPr>
          <w:rFonts w:hint="default" w:cs="Times New Roman"/>
          <w:color w:val="auto"/>
          <w:kern w:val="0"/>
          <w:sz w:val="24"/>
          <w:szCs w:val="24"/>
          <w:lang w:val="en-US" w:eastAsia="zh-CN" w:bidi="ar"/>
        </w:rPr>
      </w:pPr>
      <w:r>
        <w:rPr>
          <w:rFonts w:hint="eastAsia" w:cs="Times New Roman"/>
          <w:color w:val="auto"/>
          <w:kern w:val="0"/>
          <w:sz w:val="24"/>
          <w:szCs w:val="24"/>
          <w:lang w:val="en-US" w:eastAsia="zh-CN" w:bidi="ar"/>
        </w:rPr>
        <w:t>根据规划中道路系统规划公路方面的要求：通过城东大道、雄安大道、314国道、迎宾大道、绕城快速连接至疏勒县、疏附县、喀什市老城区、东城区、阿图什市。</w:t>
      </w:r>
    </w:p>
    <w:p w14:paraId="2F35EF59">
      <w:pPr>
        <w:keepNext w:val="0"/>
        <w:keepLines w:val="0"/>
        <w:widowControl/>
        <w:suppressLineNumbers w:val="0"/>
        <w:jc w:val="both"/>
        <w:rPr>
          <w:rFonts w:hint="default" w:cs="Times New Roman"/>
          <w:color w:val="auto"/>
          <w:kern w:val="0"/>
          <w:sz w:val="24"/>
          <w:szCs w:val="24"/>
          <w:lang w:val="en-US" w:eastAsia="zh-CN" w:bidi="ar"/>
        </w:rPr>
      </w:pPr>
      <w:r>
        <w:rPr>
          <w:rFonts w:hint="eastAsia" w:cs="Times New Roman"/>
          <w:color w:val="auto"/>
          <w:kern w:val="0"/>
          <w:sz w:val="24"/>
          <w:szCs w:val="24"/>
          <w:lang w:val="en-US" w:eastAsia="zh-CN" w:bidi="ar"/>
        </w:rPr>
        <w:t>本项目线路终点通过园区城东大道连接S227阿图什至喀什道路，符合国土空间规划要求。见图3.4-1。</w:t>
      </w:r>
    </w:p>
    <w:p w14:paraId="58A15C07">
      <w:pPr>
        <w:keepNext w:val="0"/>
        <w:keepLines w:val="0"/>
        <w:widowControl/>
        <w:suppressLineNumbers w:val="0"/>
        <w:ind w:left="0" w:leftChars="0" w:firstLine="0" w:firstLineChars="0"/>
        <w:jc w:val="both"/>
        <w:rPr>
          <w:rFonts w:hint="default" w:cs="Times New Roman"/>
          <w:color w:val="auto"/>
          <w:kern w:val="0"/>
          <w:sz w:val="24"/>
          <w:szCs w:val="24"/>
          <w:lang w:val="en-US" w:eastAsia="zh-CN" w:bidi="ar"/>
        </w:rPr>
      </w:pPr>
    </w:p>
    <w:p w14:paraId="59E83F8C">
      <w:pPr>
        <w:keepNext w:val="0"/>
        <w:keepLines w:val="0"/>
        <w:widowControl/>
        <w:suppressLineNumbers w:val="0"/>
        <w:jc w:val="both"/>
        <w:rPr>
          <w:rFonts w:hint="default" w:ascii="Times New Roman" w:hAnsi="Times New Roman" w:eastAsia="宋体" w:cs="Times New Roman"/>
          <w:color w:val="auto"/>
          <w:kern w:val="0"/>
          <w:sz w:val="24"/>
          <w:szCs w:val="24"/>
          <w:lang w:val="en-US" w:eastAsia="zh-CN" w:bidi="ar"/>
        </w:rPr>
      </w:pPr>
    </w:p>
    <w:p w14:paraId="10FB6506">
      <w:pPr>
        <w:keepNext w:val="0"/>
        <w:keepLines w:val="0"/>
        <w:widowControl/>
        <w:suppressLineNumbers w:val="0"/>
        <w:jc w:val="both"/>
        <w:rPr>
          <w:rFonts w:hint="default" w:ascii="Times New Roman" w:hAnsi="Times New Roman" w:eastAsia="宋体" w:cs="Times New Roman"/>
          <w:color w:val="auto"/>
          <w:kern w:val="0"/>
          <w:sz w:val="24"/>
          <w:szCs w:val="24"/>
          <w:lang w:val="en-US" w:eastAsia="zh-CN" w:bidi="ar"/>
        </w:rPr>
        <w:sectPr>
          <w:pgSz w:w="11907" w:h="16839"/>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0F8971FD">
      <w:pPr>
        <w:keepNext w:val="0"/>
        <w:keepLines w:val="0"/>
        <w:widowControl/>
        <w:suppressLineNumbers w:val="0"/>
        <w:ind w:left="0" w:leftChars="0" w:right="0" w:rightChars="0" w:firstLine="0" w:firstLineChars="0"/>
        <w:jc w:val="center"/>
        <w:rPr>
          <w:rFonts w:hint="default" w:ascii="Times New Roman" w:hAnsi="Times New Roman" w:eastAsia="宋体" w:cs="Times New Roman"/>
          <w:color w:val="auto"/>
          <w:kern w:val="0"/>
          <w:sz w:val="24"/>
          <w:szCs w:val="24"/>
          <w:lang w:val="en-US" w:eastAsia="zh-CN" w:bidi="ar"/>
        </w:rPr>
        <w:sectPr>
          <w:pgSz w:w="16839" w:h="11907"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color w:val="auto"/>
          <w:sz w:val="24"/>
        </w:rPr>
        <mc:AlternateContent>
          <mc:Choice Requires="wps">
            <w:drawing>
              <wp:anchor distT="0" distB="0" distL="114300" distR="114300" simplePos="0" relativeHeight="251678720" behindDoc="0" locked="0" layoutInCell="1" allowOverlap="1">
                <wp:simplePos x="0" y="0"/>
                <wp:positionH relativeFrom="column">
                  <wp:posOffset>3850005</wp:posOffset>
                </wp:positionH>
                <wp:positionV relativeFrom="paragraph">
                  <wp:posOffset>608965</wp:posOffset>
                </wp:positionV>
                <wp:extent cx="904875" cy="381000"/>
                <wp:effectExtent l="0" t="0" r="0" b="0"/>
                <wp:wrapNone/>
                <wp:docPr id="65" name="文本框 65"/>
                <wp:cNvGraphicFramePr/>
                <a:graphic xmlns:a="http://schemas.openxmlformats.org/drawingml/2006/main">
                  <a:graphicData uri="http://schemas.microsoft.com/office/word/2010/wordprocessingShape">
                    <wps:wsp>
                      <wps:cNvSpPr txBox="1"/>
                      <wps:spPr>
                        <a:xfrm>
                          <a:off x="2684145" y="1918970"/>
                          <a:ext cx="904875"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F249E3">
                            <w:pPr>
                              <w:ind w:left="0" w:leftChars="0" w:firstLine="0" w:firstLineChars="0"/>
                              <w:rPr>
                                <w:rFonts w:hint="default" w:eastAsia="宋体"/>
                                <w:lang w:val="en-US" w:eastAsia="zh-CN"/>
                              </w:rPr>
                            </w:pPr>
                            <w:r>
                              <w:rPr>
                                <w:rFonts w:hint="eastAsia"/>
                                <w:b/>
                                <w:bCs/>
                                <w:color w:val="FF0000"/>
                                <w:lang w:val="en-US" w:eastAsia="zh-CN"/>
                              </w:rPr>
                              <w:t>道路终点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3.15pt;margin-top:47.95pt;height:30pt;width:71.25pt;z-index:251678720;mso-width-relative:page;mso-height-relative:page;" filled="f" stroked="f" coordsize="21600,21600" o:gfxdata="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8G0OYtoAAAAKAQAADwAAAAAAAAAB&#10;ACAAAAAiAAAAZHJzL2Rvd25yZXYueG1sUEsBAhQAFAAAAAgAh07iQLCN4MlHAgAAcwQAAA4AAAAA&#10;AAAAAQAgAAAAKQEAAGRycy9lMm9Eb2MueG1sUEsFBgAAAAAGAAYAWQEAAOIFAAAAAA==&#10;">
                <v:fill on="f" focussize="0,0"/>
                <v:stroke on="f" weight="0.5pt"/>
                <v:imagedata o:title=""/>
                <o:lock v:ext="edit" aspectratio="f"/>
                <v:textbox>
                  <w:txbxContent>
                    <w:p w14:paraId="31F249E3">
                      <w:pPr>
                        <w:ind w:left="0" w:leftChars="0" w:firstLine="0" w:firstLineChars="0"/>
                        <w:rPr>
                          <w:rFonts w:hint="default" w:eastAsia="宋体"/>
                          <w:lang w:val="en-US" w:eastAsia="zh-CN"/>
                        </w:rPr>
                      </w:pPr>
                      <w:r>
                        <w:rPr>
                          <w:rFonts w:hint="eastAsia"/>
                          <w:b/>
                          <w:bCs/>
                          <w:color w:val="FF0000"/>
                          <w:lang w:val="en-US" w:eastAsia="zh-CN"/>
                        </w:rPr>
                        <w:t>道路终点</w:t>
                      </w:r>
                    </w:p>
                  </w:txbxContent>
                </v:textbox>
              </v:shape>
            </w:pict>
          </mc:Fallback>
        </mc:AlternateContent>
      </w:r>
      <w:r>
        <w:rPr>
          <w:color w:val="auto"/>
          <w:sz w:val="24"/>
        </w:rPr>
        <mc:AlternateContent>
          <mc:Choice Requires="wps">
            <w:drawing>
              <wp:anchor distT="0" distB="0" distL="114300" distR="114300" simplePos="0" relativeHeight="251677696" behindDoc="0" locked="0" layoutInCell="1" allowOverlap="1">
                <wp:simplePos x="0" y="0"/>
                <wp:positionH relativeFrom="column">
                  <wp:posOffset>4618990</wp:posOffset>
                </wp:positionH>
                <wp:positionV relativeFrom="paragraph">
                  <wp:posOffset>537845</wp:posOffset>
                </wp:positionV>
                <wp:extent cx="8255" cy="499745"/>
                <wp:effectExtent l="19050" t="0" r="29845" b="14605"/>
                <wp:wrapNone/>
                <wp:docPr id="64" name="直接连接符 64"/>
                <wp:cNvGraphicFramePr/>
                <a:graphic xmlns:a="http://schemas.openxmlformats.org/drawingml/2006/main">
                  <a:graphicData uri="http://schemas.microsoft.com/office/word/2010/wordprocessingShape">
                    <wps:wsp>
                      <wps:cNvCnPr/>
                      <wps:spPr>
                        <a:xfrm flipH="1">
                          <a:off x="5533390" y="1680845"/>
                          <a:ext cx="8255" cy="499745"/>
                        </a:xfrm>
                        <a:prstGeom prst="line">
                          <a:avLst/>
                        </a:prstGeom>
                        <a:ln w="38100">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363.7pt;margin-top:42.35pt;height:39.35pt;width:0.65pt;z-index:251677696;mso-width-relative:page;mso-height-relative:page;" filled="f" stroked="t" coordsize="21600,21600" o:gfxdata="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PNHLY9kAAAAKAQAADwAAAAAAAAABACAAAAAiAAAAZHJzL2Rvd25yZXYueG1sUEsB&#10;AhQAFAAAAAgAh07iQL3OpCn0AQAAtQMAAA4AAAAAAAAAAQAgAAAAKAEAAGRycy9lMm9Eb2MueG1s&#10;UEsFBgAAAAAGAAYAWQEAAI4FAAAAAA==&#10;">
                <v:fill on="f" focussize="0,0"/>
                <v:stroke weight="3pt" color="#FF0000 [3204]" joinstyle="round"/>
                <v:imagedata o:title=""/>
                <o:lock v:ext="edit" aspectratio="f"/>
              </v:line>
            </w:pict>
          </mc:Fallback>
        </mc:AlternateContent>
      </w:r>
      <w:r>
        <w:rPr>
          <w:color w:val="auto"/>
          <w:sz w:val="24"/>
        </w:rPr>
        <mc:AlternateContent>
          <mc:Choice Requires="wps">
            <w:drawing>
              <wp:anchor distT="0" distB="0" distL="114300" distR="114300" simplePos="0" relativeHeight="251676672" behindDoc="0" locked="0" layoutInCell="1" allowOverlap="1">
                <wp:simplePos x="0" y="0"/>
                <wp:positionH relativeFrom="column">
                  <wp:posOffset>2174875</wp:posOffset>
                </wp:positionH>
                <wp:positionV relativeFrom="paragraph">
                  <wp:posOffset>5227320</wp:posOffset>
                </wp:positionV>
                <wp:extent cx="4293235" cy="317500"/>
                <wp:effectExtent l="0" t="0" r="0" b="0"/>
                <wp:wrapNone/>
                <wp:docPr id="63" name="文本框 63"/>
                <wp:cNvGraphicFramePr/>
                <a:graphic xmlns:a="http://schemas.openxmlformats.org/drawingml/2006/main">
                  <a:graphicData uri="http://schemas.microsoft.com/office/word/2010/wordprocessingShape">
                    <wps:wsp>
                      <wps:cNvSpPr txBox="1"/>
                      <wps:spPr>
                        <a:xfrm>
                          <a:off x="4208145" y="6553200"/>
                          <a:ext cx="4293235" cy="317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2D5E5D">
                            <w:pPr>
                              <w:ind w:left="0" w:leftChars="0" w:right="0" w:rightChars="0" w:firstLine="0" w:firstLineChars="0"/>
                              <w:jc w:val="center"/>
                              <w:rPr>
                                <w:rFonts w:hint="default" w:eastAsia="宋体"/>
                                <w:lang w:val="en-US" w:eastAsia="zh-CN"/>
                              </w:rPr>
                            </w:pPr>
                            <w:r>
                              <w:rPr>
                                <w:rFonts w:hint="eastAsia"/>
                                <w:b/>
                                <w:bCs/>
                                <w:lang w:val="en-US" w:eastAsia="zh-CN"/>
                              </w:rPr>
                              <w:t>图3.4-1  本项目与喀什中亚南亚工业园区路网关系图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1.25pt;margin-top:411.6pt;height:25pt;width:338.05pt;z-index:251676672;mso-width-relative:page;mso-height-relative:page;" filled="f" stroked="f" coordsize="21600,21600" o:gfxdata="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T2pU32wAAAAwBAAAPAAAAAAAAAAEA&#10;IAAAACIAAABkcnMvZG93bnJldi54bWxQSwECFAAUAAAACACHTuJAubN8UEUCAAB0BAAADgAAAAAA&#10;AAABACAAAAAqAQAAZHJzL2Uyb0RvYy54bWxQSwUGAAAAAAYABgBZAQAA4QUAAAAA&#10;">
                <v:fill on="f" focussize="0,0"/>
                <v:stroke on="f" weight="0.5pt"/>
                <v:imagedata o:title=""/>
                <o:lock v:ext="edit" aspectratio="f"/>
                <v:textbox>
                  <w:txbxContent>
                    <w:p w14:paraId="7E2D5E5D">
                      <w:pPr>
                        <w:ind w:left="0" w:leftChars="0" w:right="0" w:rightChars="0" w:firstLine="0" w:firstLineChars="0"/>
                        <w:jc w:val="center"/>
                        <w:rPr>
                          <w:rFonts w:hint="default" w:eastAsia="宋体"/>
                          <w:lang w:val="en-US" w:eastAsia="zh-CN"/>
                        </w:rPr>
                      </w:pPr>
                      <w:r>
                        <w:rPr>
                          <w:rFonts w:hint="eastAsia"/>
                          <w:b/>
                          <w:bCs/>
                          <w:lang w:val="en-US" w:eastAsia="zh-CN"/>
                        </w:rPr>
                        <w:t>图3.4-1  本项目与喀什中亚南亚工业园区路网关系图</w:t>
                      </w:r>
                    </w:p>
                  </w:txbxContent>
                </v:textbox>
              </v:shape>
            </w:pict>
          </mc:Fallback>
        </mc:AlternateContent>
      </w:r>
      <w:r>
        <w:rPr>
          <w:color w:val="auto"/>
          <w:sz w:val="24"/>
        </w:rPr>
        <mc:AlternateContent>
          <mc:Choice Requires="wps">
            <w:drawing>
              <wp:anchor distT="0" distB="0" distL="114300" distR="114300" simplePos="0" relativeHeight="251675648" behindDoc="0" locked="0" layoutInCell="1" allowOverlap="1">
                <wp:simplePos x="0" y="0"/>
                <wp:positionH relativeFrom="column">
                  <wp:posOffset>3031490</wp:posOffset>
                </wp:positionH>
                <wp:positionV relativeFrom="paragraph">
                  <wp:posOffset>285750</wp:posOffset>
                </wp:positionV>
                <wp:extent cx="3516630" cy="1856740"/>
                <wp:effectExtent l="12700" t="12700" r="375920" b="16510"/>
                <wp:wrapNone/>
                <wp:docPr id="32" name="矩形标注 32"/>
                <wp:cNvGraphicFramePr/>
                <a:graphic xmlns:a="http://schemas.openxmlformats.org/drawingml/2006/main">
                  <a:graphicData uri="http://schemas.microsoft.com/office/word/2010/wordprocessingShape">
                    <wps:wsp>
                      <wps:cNvSpPr/>
                      <wps:spPr>
                        <a:xfrm>
                          <a:off x="5739765" y="1737995"/>
                          <a:ext cx="3516630" cy="1856740"/>
                        </a:xfrm>
                        <a:prstGeom prst="wedgeRectCallout">
                          <a:avLst>
                            <a:gd name="adj1" fmla="val 60323"/>
                            <a:gd name="adj2" fmla="val 6942"/>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26E9636">
                            <w:pPr>
                              <w:ind w:left="0" w:leftChars="0" w:firstLine="0" w:firstLineChars="0"/>
                              <w:jc w:val="both"/>
                            </w:pPr>
                            <w:r>
                              <w:drawing>
                                <wp:inline distT="0" distB="0" distL="114300" distR="114300">
                                  <wp:extent cx="3276600" cy="1883410"/>
                                  <wp:effectExtent l="0" t="0" r="0" b="2540"/>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40"/>
                                          <a:stretch>
                                            <a:fillRect/>
                                          </a:stretch>
                                        </pic:blipFill>
                                        <pic:spPr>
                                          <a:xfrm>
                                            <a:off x="0" y="0"/>
                                            <a:ext cx="3276600" cy="18834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38.7pt;margin-top:22.5pt;height:146.2pt;width:276.9pt;z-index:251675648;v-text-anchor:middle;mso-width-relative:page;mso-height-relative:page;" filled="f" stroked="t" coordsize="21600,21600" o:gfxdata="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Zh1ik9kAAAALAQAADwAAAAAAAAABACAAAAAiAAAAZHJzL2Rv&#10;d25yZXYueG1sUEsBAhQAFAAAAAgAh07iQC+EcR2rAgAAMAUAAA4AAAAAAAAAAQAgAAAAKAEAAGRy&#10;cy9lMm9Eb2MueG1sUEsFBgAAAAAGAAYAWQEAAEUGAAAAAA==&#10;" adj="23830,12299">
                <v:fill on="f" focussize="0,0"/>
                <v:stroke weight="2pt" color="#FF0000 [2404]" joinstyle="round"/>
                <v:imagedata o:title=""/>
                <o:lock v:ext="edit" aspectratio="f"/>
                <v:textbox>
                  <w:txbxContent>
                    <w:p w14:paraId="326E9636">
                      <w:pPr>
                        <w:ind w:left="0" w:leftChars="0" w:firstLine="0" w:firstLineChars="0"/>
                        <w:jc w:val="both"/>
                      </w:pPr>
                      <w:r>
                        <w:drawing>
                          <wp:inline distT="0" distB="0" distL="114300" distR="114300">
                            <wp:extent cx="3276600" cy="1883410"/>
                            <wp:effectExtent l="0" t="0" r="0" b="2540"/>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40"/>
                                    <a:stretch>
                                      <a:fillRect/>
                                    </a:stretch>
                                  </pic:blipFill>
                                  <pic:spPr>
                                    <a:xfrm>
                                      <a:off x="0" y="0"/>
                                      <a:ext cx="3276600" cy="1883410"/>
                                    </a:xfrm>
                                    <a:prstGeom prst="rect">
                                      <a:avLst/>
                                    </a:prstGeom>
                                    <a:noFill/>
                                    <a:ln>
                                      <a:noFill/>
                                    </a:ln>
                                  </pic:spPr>
                                </pic:pic>
                              </a:graphicData>
                            </a:graphic>
                          </wp:inline>
                        </w:drawing>
                      </w:r>
                    </w:p>
                  </w:txbxContent>
                </v:textbox>
              </v:shape>
            </w:pict>
          </mc:Fallback>
        </mc:AlternateContent>
      </w:r>
      <w:r>
        <w:rPr>
          <w:color w:val="auto"/>
        </w:rPr>
        <w:drawing>
          <wp:anchor distT="0" distB="0" distL="114300" distR="114300" simplePos="0" relativeHeight="251674624" behindDoc="0" locked="0" layoutInCell="1" allowOverlap="1">
            <wp:simplePos x="0" y="0"/>
            <wp:positionH relativeFrom="column">
              <wp:posOffset>574040</wp:posOffset>
            </wp:positionH>
            <wp:positionV relativeFrom="paragraph">
              <wp:posOffset>-293370</wp:posOffset>
            </wp:positionV>
            <wp:extent cx="7696835" cy="5466080"/>
            <wp:effectExtent l="0" t="0" r="18415" b="1270"/>
            <wp:wrapNone/>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41"/>
                    <a:stretch>
                      <a:fillRect/>
                    </a:stretch>
                  </pic:blipFill>
                  <pic:spPr>
                    <a:xfrm>
                      <a:off x="0" y="0"/>
                      <a:ext cx="7696835" cy="5466080"/>
                    </a:xfrm>
                    <a:prstGeom prst="rect">
                      <a:avLst/>
                    </a:prstGeom>
                    <a:noFill/>
                    <a:ln>
                      <a:noFill/>
                    </a:ln>
                  </pic:spPr>
                </pic:pic>
              </a:graphicData>
            </a:graphic>
          </wp:anchor>
        </w:drawing>
      </w:r>
    </w:p>
    <w:p w14:paraId="4D78791C">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3.4.3 与环境保护法律法规的符合性</w:t>
      </w:r>
    </w:p>
    <w:p w14:paraId="58384049">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3.4.3.1 与《新疆维吾尔自治区环境保护条例》符合性分析</w:t>
      </w:r>
    </w:p>
    <w:p w14:paraId="41D7F6F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《新疆维吾尔自治区环境保护条例》中与本项目相关的要求如下：</w:t>
      </w:r>
    </w:p>
    <w:p w14:paraId="35DBE9B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第十七条 各类开发和建设活动应当符合环境保护规划和生态功能区划的要求，严格遵守生态保护红线的规定；</w:t>
      </w:r>
    </w:p>
    <w:p w14:paraId="51E6B7E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第二十一条 建设对环境有影响的项目，应当依法进行环境影响评价。建设单位应当在开工建设前向有审批权的环境保护主管部门报批建设项目环境影响评价报告书、报告表。未依法进行环境影响评价的建设项目，不得开工建设。</w:t>
      </w:r>
    </w:p>
    <w:p w14:paraId="2C85855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第二十二条 建设单位对水利、交通、电力、化工、冶金、轻工、核与辐射和矿产资源开发等施工周期长、生态环境影响大的建设项目，以及环境影响评价批复文件要求开展环境监理的建设项目，应当自行或者委托具备相应技术条件的机构依法实施环境监理。</w:t>
      </w:r>
    </w:p>
    <w:p w14:paraId="60E8EFD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第四十九条 在城市居民区、医院等区域，夜间不得进行产生噪声污染的施工作业；因抢险、抢修作业等特殊需要或者生产工艺要求必须连续作业的，应当报经所在地县、市、区人民政府环境保护主管部门批准，并在施工作业产生噪声污染的范围内予以公告。</w:t>
      </w:r>
    </w:p>
    <w:p w14:paraId="55EF1A7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第五十条 建设项目的环境保护设施，应当与主体工程同时设计、同时施工、同时投入使用。建设单位在改建、扩建建设项目时，应当同时治理与建设项目有关的原有污染源。</w:t>
      </w:r>
    </w:p>
    <w:p w14:paraId="6E354FC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第五十三条 企业事业单位应当依法制定突发环境事件应急预案，报环境保护主管部门和其他相关部门备案，并定期进行演练。发生突发环境事件的，应当立即启动应急预案，采取应急措施，及时通报可能受到危害的单位和居民，并向所在地县级人民政府及其环境保护、安全生产监督等有关部门报告。</w:t>
      </w:r>
    </w:p>
    <w:p w14:paraId="31260D0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依法正在进行环境影响评价工作，符合环境保护规划和生态功能区划的要求；在项目实施过程中，在人员密集处夜间不进行施工作业，坚持“三同时”原则，根据环境影响评价批复文件要求实施环境监理，制定应急预案，降低突发环境事件的危害。综上所述，项目总体符合《新疆维吾尔自治区环境保护条例》相关要求。</w:t>
      </w:r>
    </w:p>
    <w:p w14:paraId="019C2F75">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3.4.3.2 与基本农田保护的相关要求符合性分析</w:t>
      </w:r>
    </w:p>
    <w:p w14:paraId="4E3D49E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按占地性质划分可分为工程永久占地和施工临时占地。本项目永久占地总面积</w:t>
      </w:r>
      <w:r>
        <w:rPr>
          <w:rFonts w:hint="default" w:ascii="Times New Roman" w:hAnsi="Times New Roman" w:cs="Times New Roman"/>
          <w:color w:val="auto"/>
          <w:kern w:val="0"/>
          <w:sz w:val="24"/>
          <w:szCs w:val="24"/>
          <w:highlight w:val="none"/>
          <w:lang w:val="en-US" w:eastAsia="zh-CN" w:bidi="ar"/>
        </w:rPr>
        <w:t>329923</w:t>
      </w:r>
      <w:r>
        <w:rPr>
          <w:rFonts w:hint="default" w:ascii="Times New Roman" w:hAnsi="Times New Roman" w:eastAsia="宋体" w:cs="Times New Roman"/>
          <w:color w:val="auto"/>
          <w:kern w:val="0"/>
          <w:sz w:val="24"/>
          <w:szCs w:val="24"/>
          <w:highlight w:val="none"/>
          <w:lang w:val="en-US" w:eastAsia="zh-CN" w:bidi="ar"/>
        </w:rPr>
        <w:t>m</w:t>
      </w:r>
      <w:r>
        <w:rPr>
          <w:rFonts w:hint="default" w:ascii="Times New Roman" w:hAnsi="Times New Roman" w:eastAsia="宋体" w:cs="Times New Roman"/>
          <w:color w:val="auto"/>
          <w:kern w:val="0"/>
          <w:sz w:val="24"/>
          <w:szCs w:val="24"/>
          <w:highlight w:val="none"/>
          <w:vertAlign w:val="super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lang w:val="en-US" w:eastAsia="zh-CN" w:bidi="ar"/>
        </w:rPr>
        <w:t>占地类型主要为其他土地—裸岩石砾地（裸岩石质地、戈壁）以及少量的建设用地及农用地。关于农用地占用的具体情况，依据阿图什市自然资源局出具的《S227阿图什至喀什公路新建工程（隧道）路线建设方案意见的回函》明确，项目收费站（与隧道管理站合建）涉及占用</w:t>
      </w:r>
      <w:r>
        <w:rPr>
          <w:rFonts w:hint="eastAsia" w:cs="Times New Roman"/>
          <w:color w:val="auto"/>
          <w:kern w:val="0"/>
          <w:sz w:val="24"/>
          <w:szCs w:val="24"/>
          <w:lang w:val="en-US" w:eastAsia="zh-CN" w:bidi="ar"/>
        </w:rPr>
        <w:t>园地</w:t>
      </w:r>
      <w:r>
        <w:rPr>
          <w:rFonts w:hint="default" w:ascii="Times New Roman" w:hAnsi="Times New Roman" w:eastAsia="宋体" w:cs="Times New Roman"/>
          <w:color w:val="auto"/>
          <w:kern w:val="0"/>
          <w:sz w:val="24"/>
          <w:szCs w:val="24"/>
          <w:lang w:val="en-US" w:eastAsia="zh-CN" w:bidi="ar"/>
        </w:rPr>
        <w:t>；涉及农用地补偿措施统一由阿图什市人民政府实施，项目与永久基本农田保护相关要求符合性分析见表3.</w:t>
      </w:r>
      <w:r>
        <w:rPr>
          <w:rFonts w:hint="eastAsia" w:ascii="Times New Roman" w:hAnsi="Times New Roman" w:cs="Times New Roman"/>
          <w:color w:val="auto"/>
          <w:kern w:val="0"/>
          <w:sz w:val="24"/>
          <w:szCs w:val="24"/>
          <w:lang w:val="en-US" w:eastAsia="zh-CN" w:bidi="ar"/>
        </w:rPr>
        <w:t>4</w:t>
      </w:r>
      <w:r>
        <w:rPr>
          <w:rFonts w:hint="default" w:ascii="Times New Roman" w:hAnsi="Times New Roman" w:eastAsia="宋体" w:cs="Times New Roman"/>
          <w:color w:val="auto"/>
          <w:kern w:val="0"/>
          <w:sz w:val="24"/>
          <w:szCs w:val="24"/>
          <w:lang w:val="en-US" w:eastAsia="zh-CN" w:bidi="ar"/>
        </w:rPr>
        <w:t>-</w:t>
      </w:r>
      <w:r>
        <w:rPr>
          <w:rFonts w:hint="eastAsia"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w:t>
      </w:r>
    </w:p>
    <w:p w14:paraId="45E34B4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
        </w:rPr>
        <w:t>表3.</w:t>
      </w:r>
      <w:r>
        <w:rPr>
          <w:rFonts w:hint="eastAsia" w:ascii="Times New Roman" w:hAnsi="Times New Roman" w:cs="Times New Roman"/>
          <w:b/>
          <w:bCs/>
          <w:color w:val="auto"/>
          <w:kern w:val="0"/>
          <w:sz w:val="21"/>
          <w:szCs w:val="21"/>
          <w:lang w:val="en-US" w:eastAsia="zh-CN" w:bidi="ar"/>
        </w:rPr>
        <w:t>4</w:t>
      </w:r>
      <w:r>
        <w:rPr>
          <w:rFonts w:hint="default" w:ascii="Times New Roman" w:hAnsi="Times New Roman" w:eastAsia="宋体" w:cs="Times New Roman"/>
          <w:b/>
          <w:bCs/>
          <w:color w:val="auto"/>
          <w:kern w:val="0"/>
          <w:sz w:val="21"/>
          <w:szCs w:val="21"/>
          <w:lang w:val="en-US" w:eastAsia="zh-CN" w:bidi="ar"/>
        </w:rPr>
        <w:t>-</w:t>
      </w:r>
      <w:r>
        <w:rPr>
          <w:rFonts w:hint="eastAsia" w:cs="Times New Roman"/>
          <w:b/>
          <w:bCs/>
          <w:color w:val="auto"/>
          <w:kern w:val="0"/>
          <w:sz w:val="21"/>
          <w:szCs w:val="21"/>
          <w:lang w:val="en-US" w:eastAsia="zh-CN" w:bidi="ar"/>
        </w:rPr>
        <w:t xml:space="preserve">2 </w:t>
      </w:r>
      <w:r>
        <w:rPr>
          <w:rFonts w:hint="default" w:ascii="Times New Roman" w:hAnsi="Times New Roman" w:eastAsia="宋体" w:cs="Times New Roman"/>
          <w:b/>
          <w:bCs/>
          <w:color w:val="auto"/>
          <w:kern w:val="0"/>
          <w:sz w:val="21"/>
          <w:szCs w:val="21"/>
          <w:lang w:val="en-US" w:eastAsia="zh-CN" w:bidi="ar"/>
        </w:rPr>
        <w:t>项目与基本农田保护的相关要求符合性分析</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6"/>
        <w:gridCol w:w="5254"/>
        <w:gridCol w:w="1290"/>
        <w:gridCol w:w="923"/>
      </w:tblGrid>
      <w:tr w14:paraId="0A218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8" w:type="dxa"/>
            <w:vAlign w:val="center"/>
          </w:tcPr>
          <w:p w14:paraId="4E6BDE5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文件</w:t>
            </w:r>
          </w:p>
        </w:tc>
        <w:tc>
          <w:tcPr>
            <w:tcW w:w="5321" w:type="dxa"/>
            <w:vAlign w:val="center"/>
          </w:tcPr>
          <w:p w14:paraId="4DE392E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永久基本农田保护要求</w:t>
            </w:r>
          </w:p>
        </w:tc>
        <w:tc>
          <w:tcPr>
            <w:tcW w:w="1300" w:type="dxa"/>
            <w:vAlign w:val="center"/>
          </w:tcPr>
          <w:p w14:paraId="4DFD4A1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符合性分析</w:t>
            </w:r>
          </w:p>
        </w:tc>
        <w:tc>
          <w:tcPr>
            <w:tcW w:w="931" w:type="dxa"/>
            <w:vAlign w:val="center"/>
          </w:tcPr>
          <w:p w14:paraId="5D89262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符合性</w:t>
            </w:r>
          </w:p>
        </w:tc>
      </w:tr>
      <w:tr w14:paraId="722C4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8" w:type="dxa"/>
            <w:vMerge w:val="restart"/>
            <w:vAlign w:val="center"/>
          </w:tcPr>
          <w:p w14:paraId="4AFACC6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《中华人民共和国基本农田保护条例》（中华人民共和国国务院令第257号）（2011年修订）</w:t>
            </w:r>
          </w:p>
        </w:tc>
        <w:tc>
          <w:tcPr>
            <w:tcW w:w="5321" w:type="dxa"/>
            <w:vAlign w:val="center"/>
          </w:tcPr>
          <w:p w14:paraId="25552E5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第十六条 基本农田保护区经依法划定后，任何单位和个人不得改变或者占用。国家能源、交通、水利、军事设施等重点建设项目选址确实无法避开基本农田保护区，需要占用基本农田，涉及农用地转用或者征用土地的，必须经国务院批准。......占用基本农田的单位应当按照县级以上地方人民政府的要求，将所占用基本农田耕作层的土壤用于新开垦耕地、劣质地或者其他耕地的土壤改良。</w:t>
            </w:r>
          </w:p>
        </w:tc>
        <w:tc>
          <w:tcPr>
            <w:tcW w:w="1300" w:type="dxa"/>
            <w:vAlign w:val="center"/>
          </w:tcPr>
          <w:p w14:paraId="1E33F06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拟建公路为克州交通重点建设项目，不占用基本农田</w:t>
            </w:r>
          </w:p>
        </w:tc>
        <w:tc>
          <w:tcPr>
            <w:tcW w:w="931" w:type="dxa"/>
            <w:vAlign w:val="center"/>
          </w:tcPr>
          <w:p w14:paraId="2D21CD8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61644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8" w:type="dxa"/>
            <w:vMerge w:val="continue"/>
            <w:vAlign w:val="center"/>
          </w:tcPr>
          <w:p w14:paraId="2FA9FDF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rPr>
            </w:pPr>
          </w:p>
        </w:tc>
        <w:tc>
          <w:tcPr>
            <w:tcW w:w="5321" w:type="dxa"/>
            <w:vAlign w:val="center"/>
          </w:tcPr>
          <w:p w14:paraId="7B4DEC1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第十七条 禁止任何单位和个人在基本农田保护区内建窑、建房、建坟、挖砂、采石、采矿、取土、堆放固体废弃物或者进行其他破坏基本农田的活动。</w:t>
            </w:r>
          </w:p>
        </w:tc>
        <w:tc>
          <w:tcPr>
            <w:tcW w:w="1300" w:type="dxa"/>
            <w:vAlign w:val="center"/>
          </w:tcPr>
          <w:p w14:paraId="5FEB474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本项目临建工程未设计在基本农田内，不在基本农田内取土弃渣</w:t>
            </w:r>
          </w:p>
        </w:tc>
        <w:tc>
          <w:tcPr>
            <w:tcW w:w="931" w:type="dxa"/>
            <w:vAlign w:val="center"/>
          </w:tcPr>
          <w:p w14:paraId="0288CBC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26F9D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8" w:type="dxa"/>
            <w:vMerge w:val="restart"/>
            <w:vAlign w:val="center"/>
          </w:tcPr>
          <w:p w14:paraId="7D834BD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《自然资源部农业农村部关于加强和改进永久基本农田保护工作的通知》（自然资规〔2019〕1号）</w:t>
            </w:r>
          </w:p>
        </w:tc>
        <w:tc>
          <w:tcPr>
            <w:tcW w:w="5321" w:type="dxa"/>
            <w:vAlign w:val="center"/>
          </w:tcPr>
          <w:p w14:paraId="063E71F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三、严控建设占用永久基本农田：一般建设项目不得占用永久基本农田；重大建设项目选址确实难以避让永久基本农田的，在可行性研究阶段，省级自然资源主管部门负责组织对占用的必要性、合理性和补划方案的可行性进行严格论证，报自然资源部用地预审。</w:t>
            </w:r>
          </w:p>
        </w:tc>
        <w:tc>
          <w:tcPr>
            <w:tcW w:w="1300" w:type="dxa"/>
            <w:vAlign w:val="center"/>
          </w:tcPr>
          <w:p w14:paraId="676F706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拟建公路为克州交通重点建设项目，不占用基本农田</w:t>
            </w:r>
          </w:p>
        </w:tc>
        <w:tc>
          <w:tcPr>
            <w:tcW w:w="931" w:type="dxa"/>
            <w:vAlign w:val="center"/>
          </w:tcPr>
          <w:p w14:paraId="33F16E7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5D248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8" w:type="dxa"/>
            <w:vMerge w:val="continue"/>
            <w:vAlign w:val="center"/>
          </w:tcPr>
          <w:p w14:paraId="6D869FE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rPr>
            </w:pPr>
          </w:p>
        </w:tc>
        <w:tc>
          <w:tcPr>
            <w:tcW w:w="5321" w:type="dxa"/>
            <w:vAlign w:val="center"/>
          </w:tcPr>
          <w:p w14:paraId="4B72FE7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临时用地一般不得占用永久基本农田，建设项目施工和地质勘查需要临时用地、选址确实难以避让永久基本农田的，在不修建永久性建（构）筑物、经复垦能恢复原种植条件的前提下，土地使用者按法定程序申请临时用地并编制土地复垦方案，经县级自然资源主管部门批准可临时占用，并在市级自然资源主管部门备案，一般不超过两年，同时，通过耕地耕作层土壤剥离再利用等工程技术措施，减少对耕作层的破坏。</w:t>
            </w:r>
          </w:p>
        </w:tc>
        <w:tc>
          <w:tcPr>
            <w:tcW w:w="1300" w:type="dxa"/>
            <w:vAlign w:val="center"/>
          </w:tcPr>
          <w:p w14:paraId="7AE9BE0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本项目临建工程未设计在基本农田内</w:t>
            </w:r>
          </w:p>
        </w:tc>
        <w:tc>
          <w:tcPr>
            <w:tcW w:w="931" w:type="dxa"/>
            <w:vAlign w:val="center"/>
          </w:tcPr>
          <w:p w14:paraId="365AED9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bl>
    <w:p w14:paraId="6C824011">
      <w:pPr>
        <w:pStyle w:val="5"/>
        <w:keepNext/>
        <w:keepLines/>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3.4.3.3 与河道保护的相关要求符合性分析</w:t>
      </w:r>
    </w:p>
    <w:p w14:paraId="7E12F03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项目与河道保护相关要求符合性分析见表3.</w:t>
      </w:r>
      <w:r>
        <w:rPr>
          <w:rFonts w:hint="default" w:ascii="Times New Roman" w:hAnsi="Times New Roman" w:cs="Times New Roman"/>
          <w:color w:val="auto"/>
          <w:kern w:val="0"/>
          <w:sz w:val="24"/>
          <w:szCs w:val="24"/>
          <w:lang w:val="en-US" w:eastAsia="zh-CN" w:bidi="ar"/>
        </w:rPr>
        <w:t>4</w:t>
      </w:r>
      <w:r>
        <w:rPr>
          <w:rFonts w:hint="default" w:ascii="Times New Roman" w:hAnsi="Times New Roman" w:eastAsia="宋体" w:cs="Times New Roman"/>
          <w:color w:val="auto"/>
          <w:kern w:val="0"/>
          <w:sz w:val="24"/>
          <w:szCs w:val="24"/>
          <w:lang w:val="en-US" w:eastAsia="zh-CN" w:bidi="ar"/>
        </w:rPr>
        <w:t>-</w:t>
      </w:r>
      <w:r>
        <w:rPr>
          <w:rFonts w:hint="eastAsia"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w:t>
      </w:r>
    </w:p>
    <w:p w14:paraId="1D52DCD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bCs/>
          <w:color w:val="auto"/>
          <w:kern w:val="0"/>
          <w:sz w:val="21"/>
          <w:szCs w:val="21"/>
          <w:lang w:val="en-US" w:eastAsia="zh-CN" w:bidi="ar"/>
        </w:rPr>
        <w:t>表3.</w:t>
      </w:r>
      <w:r>
        <w:rPr>
          <w:rFonts w:hint="default" w:ascii="Times New Roman" w:hAnsi="Times New Roman" w:cs="Times New Roman"/>
          <w:b/>
          <w:bCs/>
          <w:color w:val="auto"/>
          <w:kern w:val="0"/>
          <w:sz w:val="21"/>
          <w:szCs w:val="21"/>
          <w:lang w:val="en-US" w:eastAsia="zh-CN" w:bidi="ar"/>
        </w:rPr>
        <w:t>4</w:t>
      </w:r>
      <w:r>
        <w:rPr>
          <w:rFonts w:hint="default" w:ascii="Times New Roman" w:hAnsi="Times New Roman" w:eastAsia="宋体" w:cs="Times New Roman"/>
          <w:b/>
          <w:bCs/>
          <w:color w:val="auto"/>
          <w:kern w:val="0"/>
          <w:sz w:val="21"/>
          <w:szCs w:val="21"/>
          <w:lang w:val="en-US" w:eastAsia="zh-CN" w:bidi="ar"/>
        </w:rPr>
        <w:t>-</w:t>
      </w:r>
      <w:r>
        <w:rPr>
          <w:rFonts w:hint="eastAsia" w:cs="Times New Roman"/>
          <w:b/>
          <w:bCs/>
          <w:color w:val="auto"/>
          <w:kern w:val="0"/>
          <w:sz w:val="21"/>
          <w:szCs w:val="21"/>
          <w:lang w:val="en-US" w:eastAsia="zh-CN" w:bidi="ar"/>
        </w:rPr>
        <w:t>3</w:t>
      </w:r>
      <w:r>
        <w:rPr>
          <w:rFonts w:hint="default" w:ascii="Times New Roman" w:hAnsi="Times New Roman" w:eastAsia="宋体" w:cs="Times New Roman"/>
          <w:b/>
          <w:bCs/>
          <w:color w:val="auto"/>
          <w:kern w:val="0"/>
          <w:sz w:val="21"/>
          <w:szCs w:val="21"/>
          <w:lang w:val="en-US" w:eastAsia="zh-CN" w:bidi="ar"/>
        </w:rPr>
        <w:t xml:space="preserve"> 项目与河道保护的相关要求符合性分析</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5"/>
        <w:gridCol w:w="5064"/>
        <w:gridCol w:w="2203"/>
      </w:tblGrid>
      <w:tr w14:paraId="0660D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5" w:type="dxa"/>
            <w:vAlign w:val="center"/>
          </w:tcPr>
          <w:p w14:paraId="74B64CC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b/>
                <w:bCs/>
                <w:color w:val="auto"/>
                <w:kern w:val="0"/>
                <w:sz w:val="21"/>
                <w:szCs w:val="21"/>
                <w:lang w:val="en-US" w:eastAsia="zh-CN" w:bidi="ar"/>
              </w:rPr>
              <w:t>文件</w:t>
            </w:r>
          </w:p>
        </w:tc>
        <w:tc>
          <w:tcPr>
            <w:tcW w:w="5064" w:type="dxa"/>
            <w:vAlign w:val="center"/>
          </w:tcPr>
          <w:p w14:paraId="6802BDA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b/>
                <w:bCs/>
                <w:color w:val="auto"/>
                <w:kern w:val="0"/>
                <w:sz w:val="21"/>
                <w:szCs w:val="21"/>
                <w:lang w:val="en-US" w:eastAsia="zh-CN" w:bidi="ar"/>
              </w:rPr>
              <w:t>河道保护要求</w:t>
            </w:r>
          </w:p>
        </w:tc>
        <w:tc>
          <w:tcPr>
            <w:tcW w:w="2203" w:type="dxa"/>
            <w:vAlign w:val="center"/>
          </w:tcPr>
          <w:p w14:paraId="236B982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b/>
                <w:bCs/>
                <w:color w:val="auto"/>
                <w:kern w:val="0"/>
                <w:sz w:val="21"/>
                <w:szCs w:val="21"/>
                <w:lang w:val="en-US" w:eastAsia="zh-CN" w:bidi="ar"/>
              </w:rPr>
              <w:t>符合性分析</w:t>
            </w:r>
          </w:p>
        </w:tc>
      </w:tr>
      <w:tr w14:paraId="698AC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5" w:type="dxa"/>
            <w:vAlign w:val="center"/>
          </w:tcPr>
          <w:p w14:paraId="3FA9F7F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eastAsia" w:cs="Times New Roman"/>
                <w:color w:val="auto"/>
                <w:kern w:val="0"/>
                <w:sz w:val="21"/>
                <w:szCs w:val="21"/>
                <w:lang w:val="en-US" w:eastAsia="zh-CN" w:bidi="ar"/>
              </w:rPr>
              <w:t>《中华人民共和国河道管理条例》</w:t>
            </w:r>
            <w:r>
              <w:rPr>
                <w:rFonts w:hint="default" w:ascii="Times New Roman" w:hAnsi="Times New Roman" w:eastAsia="宋体" w:cs="Times New Roman"/>
                <w:color w:val="auto"/>
                <w:kern w:val="0"/>
                <w:sz w:val="21"/>
                <w:szCs w:val="21"/>
                <w:lang w:val="en-US" w:eastAsia="zh-CN" w:bidi="ar"/>
              </w:rPr>
              <w:t>（2018年3月19日）</w:t>
            </w:r>
          </w:p>
        </w:tc>
        <w:tc>
          <w:tcPr>
            <w:tcW w:w="5064" w:type="dxa"/>
            <w:vAlign w:val="center"/>
          </w:tcPr>
          <w:p w14:paraId="0910227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第十一条 修建开发水利、防治水害、整治河道的各类工程和跨河、穿河、穿堤、临河的桥梁、码头、道路、渡口、管道、缆线等建筑物及设施，建设单位必须按照河道管理权限，将工程建设方案报送河道主管机关审查同意后，方可按照基本建设程序履行审批手续。</w:t>
            </w:r>
          </w:p>
          <w:p w14:paraId="6EC638D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第十二条 修建桥梁、码头和其他设施，必须按照国家规定的防洪标准所确定的河宽进行，不得缩窄行洪通道。</w:t>
            </w:r>
          </w:p>
          <w:p w14:paraId="59E4BD4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第二十五条 在河道管理范围内进行采砂、取土，必须报经河道主管机关批准；涉及其他部门的，由河道主管机关会同有关部门批准。</w:t>
            </w:r>
          </w:p>
        </w:tc>
        <w:tc>
          <w:tcPr>
            <w:tcW w:w="2203" w:type="dxa"/>
            <w:vMerge w:val="restart"/>
            <w:vAlign w:val="center"/>
          </w:tcPr>
          <w:p w14:paraId="76C07DB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auto"/>
                <w:sz w:val="21"/>
                <w:szCs w:val="21"/>
                <w:vertAlign w:val="baseline"/>
              </w:rPr>
            </w:pPr>
            <w:r>
              <w:rPr>
                <w:rFonts w:hint="eastAsia" w:cs="Times New Roman"/>
                <w:color w:val="auto"/>
                <w:kern w:val="0"/>
                <w:sz w:val="21"/>
                <w:szCs w:val="21"/>
                <w:lang w:val="en-US" w:eastAsia="zh-CN" w:bidi="ar"/>
              </w:rPr>
              <w:t>S227</w:t>
            </w:r>
            <w:r>
              <w:rPr>
                <w:rFonts w:hint="default" w:ascii="Times New Roman" w:hAnsi="Times New Roman" w:eastAsia="宋体" w:cs="Times New Roman"/>
                <w:color w:val="auto"/>
                <w:kern w:val="0"/>
                <w:sz w:val="21"/>
                <w:szCs w:val="21"/>
                <w:lang w:val="en-US" w:eastAsia="zh-CN" w:bidi="ar"/>
              </w:rPr>
              <w:t>涉及河流为恰克马克河，线路以桥梁跨越方式敷设。</w:t>
            </w:r>
            <w:r>
              <w:rPr>
                <w:rFonts w:hint="eastAsia" w:cs="Times New Roman"/>
                <w:b/>
                <w:bCs/>
                <w:color w:val="auto"/>
                <w:kern w:val="0"/>
                <w:sz w:val="21"/>
                <w:szCs w:val="21"/>
                <w:lang w:val="en-US" w:eastAsia="zh-CN" w:bidi="ar"/>
              </w:rPr>
              <w:t>本项目线路不涉及跨越河流。</w:t>
            </w:r>
          </w:p>
        </w:tc>
      </w:tr>
      <w:tr w14:paraId="3E705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5" w:type="dxa"/>
            <w:vAlign w:val="center"/>
          </w:tcPr>
          <w:p w14:paraId="2EBE232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eastAsia" w:cs="Times New Roman"/>
                <w:color w:val="auto"/>
                <w:kern w:val="0"/>
                <w:sz w:val="21"/>
                <w:szCs w:val="21"/>
                <w:lang w:val="en-US" w:eastAsia="zh-CN" w:bidi="ar"/>
              </w:rPr>
              <w:t>《新疆维吾尔自治区河道管理条例》</w:t>
            </w:r>
            <w:r>
              <w:rPr>
                <w:rFonts w:hint="default" w:ascii="Times New Roman" w:hAnsi="Times New Roman" w:eastAsia="宋体" w:cs="Times New Roman"/>
                <w:color w:val="auto"/>
                <w:kern w:val="0"/>
                <w:sz w:val="21"/>
                <w:szCs w:val="21"/>
                <w:lang w:val="en-US" w:eastAsia="zh-CN" w:bidi="ar"/>
              </w:rPr>
              <w:t>（2012年修正）</w:t>
            </w:r>
          </w:p>
        </w:tc>
        <w:tc>
          <w:tcPr>
            <w:tcW w:w="5064" w:type="dxa"/>
            <w:vAlign w:val="center"/>
          </w:tcPr>
          <w:p w14:paraId="708A970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第十一条 修建开发水利、防治水害、整治河道的各类工程和跨河、穿河、穿堤、临河的桥梁、码头、道路、渡口、管道、缆线等建筑物及设施，建设单位必须按照河道管理权限，将工程建设方案报送河道主管机关审查同意后，方可按照基本建设程序履行审批手续。</w:t>
            </w:r>
          </w:p>
          <w:p w14:paraId="3B02526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第二十二条 在河道管理范围内（堤防和护堤地除外）进行采砂、取土、采石活动，必须报经河道主管机关批准；涉及其他部门的，由河道主管机关会同有关部门批准。</w:t>
            </w:r>
          </w:p>
        </w:tc>
        <w:tc>
          <w:tcPr>
            <w:tcW w:w="2203" w:type="dxa"/>
            <w:vMerge w:val="continue"/>
            <w:vAlign w:val="center"/>
          </w:tcPr>
          <w:p w14:paraId="375D684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r>
    </w:tbl>
    <w:p w14:paraId="15B60454">
      <w:pPr>
        <w:pStyle w:val="5"/>
        <w:keepNext/>
        <w:keepLines/>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lang w:val="en-US" w:eastAsia="zh-CN"/>
        </w:rPr>
      </w:pPr>
      <w:r>
        <w:rPr>
          <w:rFonts w:hint="eastAsia" w:cs="Times New Roman"/>
          <w:color w:val="auto"/>
          <w:lang w:val="en-US" w:eastAsia="zh-CN"/>
        </w:rPr>
        <w:t>3.4.3.4</w:t>
      </w:r>
      <w:r>
        <w:rPr>
          <w:rFonts w:hint="default" w:ascii="Times New Roman" w:hAnsi="Times New Roman" w:cs="Times New Roman"/>
          <w:color w:val="auto"/>
          <w:lang w:val="en-US" w:eastAsia="zh-CN"/>
        </w:rPr>
        <w:t>与《交通运输部办公厅生态环境部办公厅关于进一步加强公路规划建设和环评工作推动绿色低碳转型发展的通知》（交办规划函〔2025〕227号）符合性分析</w:t>
      </w:r>
    </w:p>
    <w:p w14:paraId="58CD6429">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本项目与《交通运输部办公厅 生态环境部办公厅关于进一步加强公路规划建设和环评工作推动绿色低碳转型发展的通知》（交办规划函〔2025〕227号）符合性分析见表3.4-</w:t>
      </w:r>
      <w:r>
        <w:rPr>
          <w:rFonts w:hint="eastAsia" w:cs="Times New Roman"/>
          <w:color w:val="auto"/>
          <w:lang w:val="en-US" w:eastAsia="zh-CN"/>
        </w:rPr>
        <w:t>4</w:t>
      </w:r>
      <w:r>
        <w:rPr>
          <w:rFonts w:hint="default" w:ascii="Times New Roman" w:hAnsi="Times New Roman" w:cs="Times New Roman"/>
          <w:color w:val="auto"/>
          <w:lang w:val="en-US" w:eastAsia="zh-CN"/>
        </w:rPr>
        <w:t>。</w:t>
      </w:r>
    </w:p>
    <w:p w14:paraId="2FC7EAC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lang w:val="en-US" w:eastAsia="zh-CN" w:bidi="ar"/>
        </w:rPr>
      </w:pPr>
      <w:r>
        <w:rPr>
          <w:rFonts w:hint="eastAsia" w:ascii="Times New Roman" w:hAnsi="Times New Roman" w:eastAsia="宋体" w:cs="Times New Roman"/>
          <w:b/>
          <w:bCs/>
          <w:color w:val="auto"/>
          <w:kern w:val="0"/>
          <w:sz w:val="21"/>
          <w:szCs w:val="21"/>
          <w:lang w:val="en-US" w:eastAsia="zh-CN" w:bidi="ar"/>
        </w:rPr>
        <w:t>表3.4-4</w:t>
      </w:r>
      <w:r>
        <w:rPr>
          <w:rFonts w:hint="eastAsia" w:cs="Times New Roman"/>
          <w:b/>
          <w:bCs/>
          <w:color w:val="auto"/>
          <w:kern w:val="0"/>
          <w:sz w:val="21"/>
          <w:szCs w:val="21"/>
          <w:lang w:val="en-US" w:eastAsia="zh-CN" w:bidi="ar"/>
        </w:rPr>
        <w:t xml:space="preserve">        与通知</w:t>
      </w:r>
      <w:r>
        <w:rPr>
          <w:rFonts w:hint="eastAsia" w:ascii="Times New Roman" w:hAnsi="Times New Roman" w:eastAsia="宋体" w:cs="Times New Roman"/>
          <w:b/>
          <w:bCs/>
          <w:color w:val="auto"/>
          <w:kern w:val="0"/>
          <w:sz w:val="21"/>
          <w:szCs w:val="21"/>
          <w:lang w:val="en-US" w:eastAsia="zh-CN" w:bidi="ar"/>
        </w:rPr>
        <w:t>符合性一览表</w:t>
      </w:r>
    </w:p>
    <w:tbl>
      <w:tblPr>
        <w:tblStyle w:val="31"/>
        <w:tblW w:w="488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6"/>
        <w:gridCol w:w="3975"/>
        <w:gridCol w:w="2676"/>
        <w:gridCol w:w="622"/>
      </w:tblGrid>
      <w:tr w14:paraId="6799F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33" w:type="pct"/>
            <w:tcBorders>
              <w:tl2br w:val="nil"/>
              <w:tr2bl w:val="nil"/>
            </w:tcBorders>
            <w:noWrap w:val="0"/>
            <w:vAlign w:val="center"/>
          </w:tcPr>
          <w:p w14:paraId="55152668">
            <w:pPr>
              <w:keepNext w:val="0"/>
              <w:keepLines w:val="0"/>
              <w:pageBreakBefore w:val="0"/>
              <w:widowControl/>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相关法律法规</w:t>
            </w:r>
          </w:p>
        </w:tc>
        <w:tc>
          <w:tcPr>
            <w:tcW w:w="2386" w:type="pct"/>
            <w:tcBorders>
              <w:tl2br w:val="nil"/>
              <w:tr2bl w:val="nil"/>
            </w:tcBorders>
            <w:noWrap w:val="0"/>
            <w:vAlign w:val="center"/>
          </w:tcPr>
          <w:p w14:paraId="3FAC45D7">
            <w:pPr>
              <w:keepNext w:val="0"/>
              <w:keepLines w:val="0"/>
              <w:pageBreakBefore w:val="0"/>
              <w:widowControl/>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相关条款</w:t>
            </w:r>
          </w:p>
        </w:tc>
        <w:tc>
          <w:tcPr>
            <w:tcW w:w="1606" w:type="pct"/>
            <w:tcBorders>
              <w:tl2br w:val="nil"/>
              <w:tr2bl w:val="nil"/>
            </w:tcBorders>
            <w:noWrap w:val="0"/>
            <w:vAlign w:val="center"/>
          </w:tcPr>
          <w:p w14:paraId="0F049338">
            <w:pPr>
              <w:keepNext w:val="0"/>
              <w:keepLines w:val="0"/>
              <w:pageBreakBefore w:val="0"/>
              <w:widowControl/>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本项目情况</w:t>
            </w:r>
          </w:p>
        </w:tc>
        <w:tc>
          <w:tcPr>
            <w:tcW w:w="373" w:type="pct"/>
            <w:tcBorders>
              <w:tl2br w:val="nil"/>
              <w:tr2bl w:val="nil"/>
            </w:tcBorders>
            <w:noWrap w:val="0"/>
            <w:vAlign w:val="center"/>
          </w:tcPr>
          <w:p w14:paraId="7DA83FA3">
            <w:pPr>
              <w:keepNext w:val="0"/>
              <w:keepLines w:val="0"/>
              <w:pageBreakBefore w:val="0"/>
              <w:widowControl/>
              <w:kinsoku/>
              <w:wordWrap/>
              <w:overflowPunct/>
              <w:topLinePunct w:val="0"/>
              <w:autoSpaceDE/>
              <w:autoSpaceDN/>
              <w:bidi w:val="0"/>
              <w:adjustRightInd/>
              <w:snapToGrid/>
              <w:spacing w:line="0" w:lineRule="atLeast"/>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符合性</w:t>
            </w:r>
          </w:p>
        </w:tc>
      </w:tr>
      <w:tr w14:paraId="0975E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3" w:type="pct"/>
            <w:vMerge w:val="restart"/>
            <w:tcBorders>
              <w:tl2br w:val="nil"/>
              <w:tr2bl w:val="nil"/>
            </w:tcBorders>
            <w:noWrap w:val="0"/>
            <w:vAlign w:val="center"/>
          </w:tcPr>
          <w:p w14:paraId="55E5901D">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Cs w:val="0"/>
                <w:color w:val="auto"/>
                <w:sz w:val="21"/>
                <w:szCs w:val="21"/>
                <w:highlight w:val="none"/>
                <w:vertAlign w:val="baseline"/>
                <w:lang w:val="en-US" w:eastAsia="zh-CN"/>
              </w:rPr>
            </w:pPr>
            <w:r>
              <w:rPr>
                <w:rFonts w:hint="default" w:ascii="Times New Roman" w:hAnsi="Times New Roman" w:eastAsia="宋体" w:cs="Times New Roman"/>
                <w:bCs w:val="0"/>
                <w:color w:val="auto"/>
                <w:sz w:val="21"/>
                <w:szCs w:val="21"/>
                <w:highlight w:val="none"/>
                <w:vertAlign w:val="baseline"/>
                <w:lang w:val="en-US" w:eastAsia="zh-CN"/>
              </w:rPr>
              <w:t>《交通运输部办公厅 生态环境部办公厅关于进一步加强公路规划建设和环评工作推动绿色低碳转型发展的通知》（交办规划函〔2025〕227号）</w:t>
            </w:r>
          </w:p>
          <w:p w14:paraId="390F642D">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Cs w:val="0"/>
                <w:color w:val="auto"/>
                <w:sz w:val="21"/>
                <w:szCs w:val="21"/>
                <w:highlight w:val="none"/>
                <w:vertAlign w:val="baseline"/>
                <w:lang w:val="en-US" w:eastAsia="zh-CN"/>
              </w:rPr>
            </w:pPr>
          </w:p>
          <w:p w14:paraId="571F3C32">
            <w:pPr>
              <w:keepNext w:val="0"/>
              <w:keepLines w:val="0"/>
              <w:pageBreakBefore w:val="0"/>
              <w:widowControl w:val="0"/>
              <w:kinsoku/>
              <w:wordWrap/>
              <w:overflowPunct/>
              <w:topLinePunct w:val="0"/>
              <w:autoSpaceDE/>
              <w:autoSpaceDN/>
              <w:bidi w:val="0"/>
              <w:adjustRightInd/>
              <w:snapToGrid/>
              <w:spacing w:after="0"/>
              <w:ind w:left="480" w:leftChars="200" w:firstLine="420" w:firstLineChars="200"/>
              <w:jc w:val="both"/>
              <w:textAlignment w:val="auto"/>
              <w:rPr>
                <w:rFonts w:hint="default" w:ascii="Times New Roman" w:hAnsi="Times New Roman" w:eastAsia="宋体" w:cs="Times New Roman"/>
                <w:color w:val="auto"/>
                <w:kern w:val="2"/>
                <w:sz w:val="21"/>
                <w:szCs w:val="21"/>
                <w:highlight w:val="none"/>
                <w:lang w:val="en-US" w:eastAsia="zh-CN" w:bidi="ar-SA"/>
              </w:rPr>
            </w:pPr>
          </w:p>
        </w:tc>
        <w:tc>
          <w:tcPr>
            <w:tcW w:w="2386" w:type="pct"/>
            <w:tcBorders>
              <w:tl2br w:val="nil"/>
              <w:tr2bl w:val="nil"/>
            </w:tcBorders>
            <w:noWrap w:val="0"/>
            <w:vAlign w:val="center"/>
          </w:tcPr>
          <w:p w14:paraId="044FE8D5">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Cs w:val="0"/>
                <w:color w:val="auto"/>
                <w:sz w:val="21"/>
                <w:szCs w:val="21"/>
                <w:highlight w:val="none"/>
                <w:vertAlign w:val="baseline"/>
                <w:lang w:val="en-US" w:eastAsia="zh-CN"/>
              </w:rPr>
            </w:pPr>
            <w:r>
              <w:rPr>
                <w:rFonts w:hint="default" w:ascii="Times New Roman" w:hAnsi="Times New Roman" w:eastAsia="宋体" w:cs="Times New Roman"/>
                <w:bCs w:val="0"/>
                <w:color w:val="auto"/>
                <w:sz w:val="21"/>
                <w:szCs w:val="21"/>
                <w:highlight w:val="none"/>
                <w:vertAlign w:val="baseline"/>
                <w:lang w:val="en-US" w:eastAsia="zh-CN"/>
              </w:rPr>
              <w:t>（四）选址选线避让环境敏感区。公路建设项目选址选线要合理避让饮用水水源保护区、生态保护红线、自然保护地以及其他野生动物重要栖息地、迁徙洄游通道等环境敏感区。涉及法定禁止穿越区域但确实无法避让的，应采取无害化穿（跨）越方式，或依法依规取得农业、林草等有关主管部门许可文件，并强化影响减缓和补偿措施。同时，公路选址选线应当尽量避开噪声敏感建筑物集中区域。</w:t>
            </w:r>
          </w:p>
        </w:tc>
        <w:tc>
          <w:tcPr>
            <w:tcW w:w="1606" w:type="pct"/>
            <w:tcBorders>
              <w:tl2br w:val="nil"/>
              <w:tr2bl w:val="nil"/>
            </w:tcBorders>
            <w:noWrap w:val="0"/>
            <w:vAlign w:val="center"/>
          </w:tcPr>
          <w:p w14:paraId="435A0F35">
            <w:pPr>
              <w:keepNext w:val="0"/>
              <w:keepLines w:val="0"/>
              <w:pageBreakBefore w:val="0"/>
              <w:widowControl w:val="0"/>
              <w:kinsoku/>
              <w:wordWrap/>
              <w:overflowPunct/>
              <w:topLinePunct w:val="0"/>
              <w:autoSpaceDE/>
              <w:autoSpaceDN/>
              <w:bidi w:val="0"/>
              <w:adjustRightInd/>
              <w:snapToGrid/>
              <w:spacing w:line="0" w:lineRule="atLeast"/>
              <w:ind w:firstLine="0" w:firstLineChars="0"/>
              <w:jc w:val="both"/>
              <w:textAlignment w:val="auto"/>
              <w:outlineLvl w:val="9"/>
              <w:rPr>
                <w:rFonts w:hint="default" w:ascii="Times New Roman" w:hAnsi="Times New Roman" w:eastAsia="宋体" w:cs="Times New Roman"/>
                <w:bCs w:val="0"/>
                <w:color w:val="auto"/>
                <w:sz w:val="21"/>
                <w:szCs w:val="21"/>
                <w:highlight w:val="none"/>
                <w:vertAlign w:val="baseline"/>
                <w:lang w:val="en-US" w:eastAsia="zh-CN"/>
              </w:rPr>
            </w:pPr>
            <w:r>
              <w:rPr>
                <w:rFonts w:hint="default" w:ascii="Times New Roman" w:hAnsi="Times New Roman" w:eastAsia="宋体" w:cs="Times New Roman"/>
                <w:bCs w:val="0"/>
                <w:color w:val="auto"/>
                <w:sz w:val="21"/>
                <w:szCs w:val="21"/>
                <w:highlight w:val="none"/>
                <w:vertAlign w:val="baseline"/>
                <w:lang w:val="en-US" w:eastAsia="zh-CN"/>
              </w:rPr>
              <w:t>本项目在工可和初设阶段线路进行了路线多方案比选，并征询了生态环境、自然资源等相关部门的意见，在选线阶段避让了自然保护区、基本农田</w:t>
            </w:r>
            <w:r>
              <w:rPr>
                <w:rFonts w:hint="eastAsia" w:ascii="Times New Roman" w:hAnsi="Times New Roman" w:eastAsia="宋体" w:cs="Times New Roman"/>
                <w:bCs w:val="0"/>
                <w:color w:val="auto"/>
                <w:sz w:val="21"/>
                <w:szCs w:val="21"/>
                <w:highlight w:val="none"/>
                <w:vertAlign w:val="baseline"/>
                <w:lang w:val="en-US" w:eastAsia="zh-CN"/>
              </w:rPr>
              <w:t>等环境敏感区</w:t>
            </w:r>
            <w:r>
              <w:rPr>
                <w:rFonts w:hint="default" w:ascii="Times New Roman" w:hAnsi="Times New Roman" w:eastAsia="宋体" w:cs="Times New Roman"/>
                <w:bCs w:val="0"/>
                <w:color w:val="auto"/>
                <w:sz w:val="21"/>
                <w:szCs w:val="21"/>
                <w:highlight w:val="none"/>
                <w:vertAlign w:val="baseline"/>
                <w:lang w:val="en-US" w:eastAsia="zh-CN"/>
              </w:rPr>
              <w:t>。施工期采用环保友好施工方式，采取生态、水环境、大气环境、噪声环境等相关保护措施，切实降低本项目对生态环境的不利影响。</w:t>
            </w:r>
          </w:p>
        </w:tc>
        <w:tc>
          <w:tcPr>
            <w:tcW w:w="373" w:type="pct"/>
            <w:tcBorders>
              <w:tl2br w:val="nil"/>
              <w:tr2bl w:val="nil"/>
            </w:tcBorders>
            <w:noWrap w:val="0"/>
            <w:vAlign w:val="center"/>
          </w:tcPr>
          <w:p w14:paraId="7345EE94">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Cs w:val="0"/>
                <w:color w:val="auto"/>
                <w:sz w:val="21"/>
                <w:szCs w:val="21"/>
                <w:highlight w:val="none"/>
                <w:vertAlign w:val="baseline"/>
                <w:lang w:val="en-US" w:eastAsia="zh-CN"/>
              </w:rPr>
            </w:pPr>
            <w:r>
              <w:rPr>
                <w:rFonts w:hint="default" w:ascii="Times New Roman" w:hAnsi="Times New Roman" w:eastAsia="宋体" w:cs="Times New Roman"/>
                <w:bCs w:val="0"/>
                <w:color w:val="auto"/>
                <w:sz w:val="21"/>
                <w:szCs w:val="21"/>
                <w:highlight w:val="none"/>
                <w:vertAlign w:val="baseline"/>
                <w:lang w:val="en-US" w:eastAsia="zh-CN"/>
              </w:rPr>
              <w:t>符合</w:t>
            </w:r>
          </w:p>
        </w:tc>
      </w:tr>
      <w:tr w14:paraId="2E65F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3" w:type="pct"/>
            <w:vMerge w:val="continue"/>
            <w:tcBorders>
              <w:tl2br w:val="nil"/>
              <w:tr2bl w:val="nil"/>
            </w:tcBorders>
            <w:noWrap w:val="0"/>
            <w:vAlign w:val="center"/>
          </w:tcPr>
          <w:p w14:paraId="2978DA82">
            <w:pPr>
              <w:keepNext w:val="0"/>
              <w:keepLines w:val="0"/>
              <w:pageBreakBefore w:val="0"/>
              <w:widowControl w:val="0"/>
              <w:kinsoku/>
              <w:wordWrap/>
              <w:overflowPunct/>
              <w:topLinePunct w:val="0"/>
              <w:autoSpaceDE/>
              <w:autoSpaceDN/>
              <w:bidi w:val="0"/>
              <w:adjustRightInd/>
              <w:snapToGrid/>
              <w:spacing w:after="0"/>
              <w:ind w:left="480" w:leftChars="200" w:firstLine="420" w:firstLineChars="200"/>
              <w:jc w:val="both"/>
              <w:textAlignment w:val="auto"/>
              <w:rPr>
                <w:rFonts w:hint="default" w:ascii="Times New Roman" w:hAnsi="Times New Roman" w:eastAsia="宋体" w:cs="Times New Roman"/>
                <w:color w:val="auto"/>
                <w:kern w:val="2"/>
                <w:sz w:val="21"/>
                <w:szCs w:val="21"/>
                <w:highlight w:val="none"/>
                <w:lang w:val="en-US" w:eastAsia="zh-CN" w:bidi="ar-SA"/>
              </w:rPr>
            </w:pPr>
          </w:p>
        </w:tc>
        <w:tc>
          <w:tcPr>
            <w:tcW w:w="2386" w:type="pct"/>
            <w:tcBorders>
              <w:tl2br w:val="nil"/>
              <w:tr2bl w:val="nil"/>
            </w:tcBorders>
            <w:noWrap w:val="0"/>
            <w:vAlign w:val="top"/>
          </w:tcPr>
          <w:p w14:paraId="6DCF7F9F">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Cs w:val="0"/>
                <w:color w:val="auto"/>
                <w:sz w:val="21"/>
                <w:szCs w:val="21"/>
                <w:highlight w:val="none"/>
                <w:vertAlign w:val="baseline"/>
                <w:lang w:val="en-US" w:eastAsia="zh-CN"/>
              </w:rPr>
            </w:pPr>
            <w:r>
              <w:rPr>
                <w:rFonts w:hint="default" w:ascii="Times New Roman" w:hAnsi="Times New Roman" w:eastAsia="宋体" w:cs="Times New Roman"/>
                <w:bCs w:val="0"/>
                <w:color w:val="auto"/>
                <w:sz w:val="21"/>
                <w:szCs w:val="21"/>
                <w:highlight w:val="none"/>
                <w:vertAlign w:val="baseline"/>
                <w:lang w:val="en-US" w:eastAsia="zh-CN"/>
              </w:rPr>
              <w:t>(八)强化规划环评与建设项目环评联动。公路网规划环评作为规划内公路建设项目环评的重要依据。对于属于《建设项目环境保护管理条例》不予审批情形的，依法不予审批项目环评文件公路网规划所包含公路建设项目的环评内容，应按照公路网规划环评结论和审查意见予以简化，并根据公路建设项目周边生态环境特征强化分析论证环境敏感区影响、声环境影响、生态影响、重要生态环境保护措施等评价内容。</w:t>
            </w:r>
          </w:p>
        </w:tc>
        <w:tc>
          <w:tcPr>
            <w:tcW w:w="1606" w:type="pct"/>
            <w:tcBorders>
              <w:tl2br w:val="nil"/>
              <w:tr2bl w:val="nil"/>
            </w:tcBorders>
            <w:noWrap w:val="0"/>
            <w:vAlign w:val="center"/>
          </w:tcPr>
          <w:p w14:paraId="439C785B">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Cs w:val="0"/>
                <w:color w:val="auto"/>
                <w:sz w:val="21"/>
                <w:szCs w:val="21"/>
                <w:highlight w:val="none"/>
                <w:vertAlign w:val="baseline"/>
                <w:lang w:val="en-US" w:eastAsia="zh-CN"/>
              </w:rPr>
            </w:pPr>
            <w:r>
              <w:rPr>
                <w:rFonts w:hint="default" w:ascii="Times New Roman" w:hAnsi="Times New Roman" w:eastAsia="宋体" w:cs="Times New Roman"/>
                <w:bCs w:val="0"/>
                <w:color w:val="auto"/>
                <w:sz w:val="21"/>
                <w:szCs w:val="21"/>
                <w:highlight w:val="none"/>
                <w:vertAlign w:val="baseline"/>
                <w:lang w:val="en-US" w:eastAsia="zh-CN"/>
              </w:rPr>
              <w:t>本项</w:t>
            </w:r>
            <w:r>
              <w:rPr>
                <w:rFonts w:hint="eastAsia" w:ascii="Times New Roman" w:hAnsi="Times New Roman" w:eastAsia="宋体" w:cs="Times New Roman"/>
                <w:bCs w:val="0"/>
                <w:color w:val="auto"/>
                <w:sz w:val="21"/>
                <w:szCs w:val="21"/>
                <w:highlight w:val="none"/>
                <w:vertAlign w:val="baseline"/>
                <w:lang w:val="en-US" w:eastAsia="zh-CN"/>
              </w:rPr>
              <w:t>目是重要基础设施建设项目，符合《国家公路网规划（2013年-2030年）》</w:t>
            </w:r>
            <w:r>
              <w:rPr>
                <w:rFonts w:hint="default" w:ascii="Times New Roman" w:hAnsi="Times New Roman" w:eastAsia="宋体" w:cs="Times New Roman"/>
                <w:bCs w:val="0"/>
                <w:color w:val="auto"/>
                <w:sz w:val="21"/>
                <w:szCs w:val="21"/>
                <w:highlight w:val="none"/>
                <w:vertAlign w:val="baseline"/>
                <w:lang w:val="en-US" w:eastAsia="zh-CN"/>
              </w:rPr>
              <w:t>，</w:t>
            </w:r>
            <w:r>
              <w:rPr>
                <w:rFonts w:hint="eastAsia" w:ascii="Times New Roman" w:hAnsi="Times New Roman" w:eastAsia="宋体" w:cs="Times New Roman"/>
                <w:bCs w:val="0"/>
                <w:color w:val="auto"/>
                <w:sz w:val="21"/>
                <w:szCs w:val="21"/>
                <w:highlight w:val="none"/>
                <w:vertAlign w:val="baseline"/>
                <w:lang w:val="en-US" w:eastAsia="zh-CN"/>
              </w:rPr>
              <w:t>项目无</w:t>
            </w:r>
            <w:r>
              <w:rPr>
                <w:rFonts w:hint="default" w:ascii="Times New Roman" w:hAnsi="Times New Roman" w:eastAsia="宋体" w:cs="Times New Roman"/>
                <w:bCs w:val="0"/>
                <w:color w:val="auto"/>
                <w:sz w:val="21"/>
                <w:szCs w:val="21"/>
                <w:highlight w:val="none"/>
                <w:vertAlign w:val="baseline"/>
                <w:lang w:val="en-US" w:eastAsia="zh-CN"/>
              </w:rPr>
              <w:t>《建设项目环境保护管理条例》不予审批情形</w:t>
            </w:r>
            <w:r>
              <w:rPr>
                <w:rFonts w:hint="eastAsia" w:ascii="Times New Roman" w:hAnsi="Times New Roman" w:eastAsia="宋体" w:cs="Times New Roman"/>
                <w:bCs w:val="0"/>
                <w:color w:val="auto"/>
                <w:sz w:val="21"/>
                <w:szCs w:val="21"/>
                <w:highlight w:val="none"/>
                <w:vertAlign w:val="baseline"/>
                <w:lang w:val="en-US" w:eastAsia="zh-CN"/>
              </w:rPr>
              <w:t>。本项目按照《国家公路网规划（2013年-2030年）》</w:t>
            </w:r>
            <w:r>
              <w:rPr>
                <w:rFonts w:hint="default" w:ascii="Times New Roman" w:hAnsi="Times New Roman" w:eastAsia="宋体" w:cs="Times New Roman"/>
                <w:bCs w:val="0"/>
                <w:color w:val="auto"/>
                <w:sz w:val="21"/>
                <w:szCs w:val="21"/>
                <w:highlight w:val="none"/>
                <w:vertAlign w:val="baseline"/>
                <w:lang w:val="en-US" w:eastAsia="zh-CN"/>
              </w:rPr>
              <w:t>及规划环评及审查意见</w:t>
            </w:r>
            <w:r>
              <w:rPr>
                <w:rFonts w:hint="eastAsia" w:ascii="Times New Roman" w:hAnsi="Times New Roman" w:eastAsia="宋体" w:cs="Times New Roman"/>
                <w:bCs w:val="0"/>
                <w:color w:val="auto"/>
                <w:sz w:val="21"/>
                <w:szCs w:val="21"/>
                <w:highlight w:val="none"/>
                <w:vertAlign w:val="baseline"/>
                <w:lang w:val="en-US" w:eastAsia="zh-CN"/>
              </w:rPr>
              <w:t>，结合项目</w:t>
            </w:r>
            <w:r>
              <w:rPr>
                <w:rFonts w:hint="default" w:ascii="Times New Roman" w:hAnsi="Times New Roman" w:eastAsia="宋体" w:cs="Times New Roman"/>
                <w:bCs w:val="0"/>
                <w:color w:val="auto"/>
                <w:sz w:val="21"/>
                <w:szCs w:val="21"/>
                <w:highlight w:val="none"/>
                <w:vertAlign w:val="baseline"/>
                <w:lang w:val="en-US" w:eastAsia="zh-CN"/>
              </w:rPr>
              <w:t>周边生态环境特征</w:t>
            </w:r>
            <w:r>
              <w:rPr>
                <w:rFonts w:hint="eastAsia" w:ascii="Times New Roman" w:hAnsi="Times New Roman" w:eastAsia="宋体" w:cs="Times New Roman"/>
                <w:bCs w:val="0"/>
                <w:color w:val="auto"/>
                <w:sz w:val="21"/>
                <w:szCs w:val="21"/>
                <w:highlight w:val="none"/>
                <w:vertAlign w:val="baseline"/>
                <w:lang w:val="en-US" w:eastAsia="zh-CN"/>
              </w:rPr>
              <w:t>，重点</w:t>
            </w:r>
            <w:r>
              <w:rPr>
                <w:rFonts w:hint="default" w:ascii="Times New Roman" w:hAnsi="Times New Roman" w:eastAsia="宋体" w:cs="Times New Roman"/>
                <w:bCs w:val="0"/>
                <w:color w:val="auto"/>
                <w:sz w:val="21"/>
                <w:szCs w:val="21"/>
                <w:highlight w:val="none"/>
                <w:vertAlign w:val="baseline"/>
                <w:lang w:val="en-US" w:eastAsia="zh-CN"/>
              </w:rPr>
              <w:t>分析论证</w:t>
            </w:r>
            <w:r>
              <w:rPr>
                <w:rFonts w:hint="eastAsia" w:ascii="Times New Roman" w:hAnsi="Times New Roman" w:eastAsia="宋体" w:cs="Times New Roman"/>
                <w:bCs w:val="0"/>
                <w:color w:val="auto"/>
                <w:sz w:val="21"/>
                <w:szCs w:val="21"/>
                <w:highlight w:val="none"/>
                <w:vertAlign w:val="baseline"/>
                <w:lang w:val="en-US" w:eastAsia="zh-CN"/>
              </w:rPr>
              <w:t>了</w:t>
            </w:r>
            <w:r>
              <w:rPr>
                <w:rFonts w:hint="default" w:ascii="Times New Roman" w:hAnsi="Times New Roman" w:eastAsia="宋体" w:cs="Times New Roman"/>
                <w:bCs w:val="0"/>
                <w:color w:val="auto"/>
                <w:sz w:val="21"/>
                <w:szCs w:val="21"/>
                <w:highlight w:val="none"/>
                <w:vertAlign w:val="baseline"/>
                <w:lang w:val="en-US" w:eastAsia="zh-CN"/>
              </w:rPr>
              <w:t>环境敏感区影响、声环境影响、生态影响、重要生态环境保护措施等评价内容</w:t>
            </w:r>
            <w:r>
              <w:rPr>
                <w:rFonts w:hint="eastAsia" w:ascii="Times New Roman" w:hAnsi="Times New Roman" w:eastAsia="宋体" w:cs="Times New Roman"/>
                <w:bCs w:val="0"/>
                <w:color w:val="auto"/>
                <w:sz w:val="21"/>
                <w:szCs w:val="21"/>
                <w:highlight w:val="none"/>
                <w:vertAlign w:val="baseline"/>
                <w:lang w:val="en-US" w:eastAsia="zh-CN"/>
              </w:rPr>
              <w:t>。</w:t>
            </w:r>
          </w:p>
        </w:tc>
        <w:tc>
          <w:tcPr>
            <w:tcW w:w="373" w:type="pct"/>
            <w:tcBorders>
              <w:tl2br w:val="nil"/>
              <w:tr2bl w:val="nil"/>
            </w:tcBorders>
            <w:noWrap w:val="0"/>
            <w:vAlign w:val="center"/>
          </w:tcPr>
          <w:p w14:paraId="32904912">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Cs w:val="0"/>
                <w:color w:val="auto"/>
                <w:sz w:val="21"/>
                <w:szCs w:val="21"/>
                <w:highlight w:val="none"/>
                <w:vertAlign w:val="baseline"/>
                <w:lang w:val="en-US" w:eastAsia="zh-CN"/>
              </w:rPr>
            </w:pPr>
            <w:r>
              <w:rPr>
                <w:rFonts w:hint="default" w:ascii="Times New Roman" w:hAnsi="Times New Roman" w:eastAsia="宋体" w:cs="Times New Roman"/>
                <w:bCs w:val="0"/>
                <w:color w:val="auto"/>
                <w:sz w:val="21"/>
                <w:szCs w:val="21"/>
                <w:highlight w:val="none"/>
                <w:vertAlign w:val="baseline"/>
                <w:lang w:val="en-US" w:eastAsia="zh-CN"/>
              </w:rPr>
              <w:t>符合</w:t>
            </w:r>
          </w:p>
        </w:tc>
      </w:tr>
      <w:tr w14:paraId="17DB5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3" w:type="pct"/>
            <w:vMerge w:val="continue"/>
            <w:tcBorders>
              <w:tl2br w:val="nil"/>
              <w:tr2bl w:val="nil"/>
            </w:tcBorders>
            <w:noWrap w:val="0"/>
            <w:vAlign w:val="center"/>
          </w:tcPr>
          <w:p w14:paraId="1664101C">
            <w:pPr>
              <w:keepNext w:val="0"/>
              <w:keepLines w:val="0"/>
              <w:pageBreakBefore w:val="0"/>
              <w:widowControl w:val="0"/>
              <w:kinsoku/>
              <w:wordWrap/>
              <w:overflowPunct/>
              <w:topLinePunct w:val="0"/>
              <w:autoSpaceDE/>
              <w:autoSpaceDN/>
              <w:bidi w:val="0"/>
              <w:adjustRightInd/>
              <w:snapToGrid/>
              <w:spacing w:after="0"/>
              <w:ind w:left="480" w:leftChars="200" w:firstLine="420" w:firstLineChars="200"/>
              <w:jc w:val="both"/>
              <w:textAlignment w:val="auto"/>
              <w:rPr>
                <w:rFonts w:hint="default" w:ascii="Times New Roman" w:hAnsi="Times New Roman" w:eastAsia="宋体" w:cs="Times New Roman"/>
                <w:color w:val="auto"/>
                <w:kern w:val="2"/>
                <w:sz w:val="21"/>
                <w:szCs w:val="21"/>
                <w:highlight w:val="none"/>
                <w:lang w:val="en-US" w:eastAsia="zh-CN" w:bidi="ar-SA"/>
              </w:rPr>
            </w:pPr>
          </w:p>
        </w:tc>
        <w:tc>
          <w:tcPr>
            <w:tcW w:w="2386" w:type="pct"/>
            <w:tcBorders>
              <w:tl2br w:val="nil"/>
              <w:tr2bl w:val="nil"/>
            </w:tcBorders>
            <w:noWrap w:val="0"/>
            <w:vAlign w:val="top"/>
          </w:tcPr>
          <w:p w14:paraId="50375220">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Cs w:val="0"/>
                <w:color w:val="auto"/>
                <w:sz w:val="21"/>
                <w:szCs w:val="21"/>
                <w:highlight w:val="none"/>
                <w:vertAlign w:val="baseline"/>
                <w:lang w:val="en-US" w:eastAsia="zh-CN"/>
              </w:rPr>
            </w:pPr>
            <w:r>
              <w:rPr>
                <w:rFonts w:hint="default" w:ascii="Times New Roman" w:hAnsi="Times New Roman" w:eastAsia="宋体" w:cs="Times New Roman"/>
                <w:bCs w:val="0"/>
                <w:color w:val="auto"/>
                <w:sz w:val="21"/>
                <w:szCs w:val="21"/>
                <w:highlight w:val="none"/>
                <w:vertAlign w:val="baseline"/>
                <w:lang w:val="en-US" w:eastAsia="zh-CN"/>
              </w:rPr>
              <w:t>(十一)强化生态环境保护。公路建设项目要参照《绿色公路建设技术指南》，节约、环境保护有关要求，尽量减少占用耕地、林地和草地，加强表土资源剥离和堆存管理，施工结束后用于复耕或生态修复。强化重点保护野生动物重要栖息地和迁徙洄游通道保护，必要时可采取修建野生动物通道等措施维护生境的连通性。尽量避让重点保护野生植物的天然集中分布区和古树名木，必要时进行异地保护。强化弃土弃渣场安全防护和生态保护修复，严禁随意弃土弃渣。</w:t>
            </w:r>
          </w:p>
        </w:tc>
        <w:tc>
          <w:tcPr>
            <w:tcW w:w="1606" w:type="pct"/>
            <w:tcBorders>
              <w:tl2br w:val="nil"/>
              <w:tr2bl w:val="nil"/>
            </w:tcBorders>
            <w:noWrap w:val="0"/>
            <w:vAlign w:val="center"/>
          </w:tcPr>
          <w:p w14:paraId="5E260FCA">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Cs w:val="0"/>
                <w:color w:val="auto"/>
                <w:sz w:val="21"/>
                <w:szCs w:val="21"/>
                <w:highlight w:val="none"/>
                <w:vertAlign w:val="baseline"/>
                <w:lang w:val="en-US" w:eastAsia="zh-CN"/>
              </w:rPr>
            </w:pPr>
            <w:r>
              <w:rPr>
                <w:rFonts w:hint="default" w:ascii="Times New Roman" w:hAnsi="Times New Roman" w:eastAsia="宋体" w:cs="Times New Roman"/>
                <w:bCs w:val="0"/>
                <w:color w:val="auto"/>
                <w:sz w:val="21"/>
                <w:szCs w:val="21"/>
                <w:highlight w:val="none"/>
                <w:vertAlign w:val="baseline"/>
                <w:lang w:val="en-US" w:eastAsia="zh-CN"/>
              </w:rPr>
              <w:t>本项目</w:t>
            </w:r>
            <w:r>
              <w:rPr>
                <w:rFonts w:hint="eastAsia" w:ascii="Times New Roman" w:hAnsi="Times New Roman" w:eastAsia="宋体" w:cs="Times New Roman"/>
                <w:bCs w:val="0"/>
                <w:color w:val="auto"/>
                <w:sz w:val="21"/>
                <w:szCs w:val="21"/>
                <w:highlight w:val="none"/>
                <w:vertAlign w:val="baseline"/>
                <w:lang w:val="en-US" w:eastAsia="zh-CN"/>
              </w:rPr>
              <w:t>主要</w:t>
            </w:r>
            <w:r>
              <w:rPr>
                <w:rFonts w:hint="default" w:ascii="Times New Roman" w:hAnsi="Times New Roman" w:eastAsia="宋体" w:cs="Times New Roman"/>
                <w:bCs w:val="0"/>
                <w:color w:val="auto"/>
                <w:sz w:val="21"/>
                <w:szCs w:val="21"/>
                <w:highlight w:val="none"/>
                <w:vertAlign w:val="baseline"/>
                <w:lang w:val="en-US" w:eastAsia="zh-CN"/>
              </w:rPr>
              <w:t>占用</w:t>
            </w:r>
            <w:r>
              <w:rPr>
                <w:rFonts w:hint="eastAsia" w:cs="Times New Roman"/>
                <w:bCs w:val="0"/>
                <w:color w:val="auto"/>
                <w:sz w:val="21"/>
                <w:szCs w:val="21"/>
                <w:highlight w:val="none"/>
                <w:vertAlign w:val="baseline"/>
                <w:lang w:val="en-US" w:eastAsia="zh-CN"/>
              </w:rPr>
              <w:t>裸岩石砾地、园地等</w:t>
            </w:r>
            <w:r>
              <w:rPr>
                <w:rFonts w:hint="eastAsia" w:ascii="Times New Roman" w:hAnsi="Times New Roman" w:eastAsia="宋体" w:cs="Times New Roman"/>
                <w:bCs w:val="0"/>
                <w:color w:val="auto"/>
                <w:sz w:val="21"/>
                <w:szCs w:val="21"/>
                <w:highlight w:val="none"/>
                <w:vertAlign w:val="baseline"/>
                <w:lang w:val="en-US" w:eastAsia="zh-CN"/>
              </w:rPr>
              <w:t>，不占用公益林，耕地，</w:t>
            </w:r>
            <w:r>
              <w:rPr>
                <w:rFonts w:hint="default" w:ascii="Times New Roman" w:hAnsi="Times New Roman" w:eastAsia="宋体" w:cs="Times New Roman"/>
                <w:bCs w:val="0"/>
                <w:color w:val="auto"/>
                <w:sz w:val="21"/>
                <w:szCs w:val="21"/>
                <w:highlight w:val="none"/>
                <w:vertAlign w:val="baseline"/>
                <w:lang w:val="en-US" w:eastAsia="zh-CN"/>
              </w:rPr>
              <w:t>对</w:t>
            </w:r>
            <w:r>
              <w:rPr>
                <w:rFonts w:hint="eastAsia" w:cs="Times New Roman"/>
                <w:bCs w:val="0"/>
                <w:color w:val="auto"/>
                <w:sz w:val="21"/>
                <w:szCs w:val="21"/>
                <w:highlight w:val="none"/>
                <w:vertAlign w:val="baseline"/>
                <w:lang w:val="en-US" w:eastAsia="zh-CN"/>
              </w:rPr>
              <w:t>园地</w:t>
            </w:r>
            <w:r>
              <w:rPr>
                <w:rFonts w:hint="default" w:ascii="Times New Roman" w:hAnsi="Times New Roman" w:eastAsia="宋体" w:cs="Times New Roman"/>
                <w:bCs w:val="0"/>
                <w:color w:val="auto"/>
                <w:sz w:val="21"/>
                <w:szCs w:val="21"/>
                <w:highlight w:val="none"/>
                <w:vertAlign w:val="baseline"/>
                <w:lang w:val="en-US" w:eastAsia="zh-CN"/>
              </w:rPr>
              <w:t>表土资源剥离和集中堆存，用于生态恢复</w:t>
            </w:r>
            <w:r>
              <w:rPr>
                <w:rFonts w:hint="eastAsia" w:ascii="Times New Roman" w:hAnsi="Times New Roman" w:eastAsia="宋体" w:cs="Times New Roman"/>
                <w:bCs w:val="0"/>
                <w:color w:val="auto"/>
                <w:sz w:val="21"/>
                <w:szCs w:val="21"/>
                <w:highlight w:val="none"/>
                <w:vertAlign w:val="baseline"/>
                <w:lang w:val="en-US" w:eastAsia="zh-CN"/>
              </w:rPr>
              <w:t>；未占用</w:t>
            </w:r>
            <w:r>
              <w:rPr>
                <w:rFonts w:hint="default" w:ascii="Times New Roman" w:hAnsi="Times New Roman" w:eastAsia="宋体" w:cs="Times New Roman"/>
                <w:bCs w:val="0"/>
                <w:color w:val="auto"/>
                <w:sz w:val="21"/>
                <w:szCs w:val="21"/>
                <w:highlight w:val="none"/>
                <w:vertAlign w:val="baseline"/>
                <w:lang w:val="en-US" w:eastAsia="zh-CN"/>
              </w:rPr>
              <w:t>重点保护野生动物重要栖息地</w:t>
            </w:r>
            <w:r>
              <w:rPr>
                <w:rFonts w:hint="eastAsia" w:cs="Times New Roman"/>
                <w:bCs w:val="0"/>
                <w:color w:val="auto"/>
                <w:sz w:val="21"/>
                <w:szCs w:val="21"/>
                <w:highlight w:val="none"/>
                <w:vertAlign w:val="baseline"/>
                <w:lang w:val="en-US" w:eastAsia="zh-CN"/>
              </w:rPr>
              <w:t>、</w:t>
            </w:r>
            <w:r>
              <w:rPr>
                <w:rFonts w:hint="default" w:ascii="Times New Roman" w:hAnsi="Times New Roman" w:eastAsia="宋体" w:cs="Times New Roman"/>
                <w:bCs w:val="0"/>
                <w:color w:val="auto"/>
                <w:sz w:val="21"/>
                <w:szCs w:val="21"/>
                <w:highlight w:val="none"/>
                <w:vertAlign w:val="baseline"/>
                <w:lang w:val="en-US" w:eastAsia="zh-CN"/>
              </w:rPr>
              <w:t>重点保护野生植物的集中分布区和古树名木，弃渣除综合利用部分，其余均按要求</w:t>
            </w:r>
            <w:r>
              <w:rPr>
                <w:rFonts w:hint="eastAsia" w:ascii="Times New Roman" w:hAnsi="Times New Roman" w:eastAsia="宋体" w:cs="Times New Roman"/>
                <w:bCs w:val="0"/>
                <w:color w:val="auto"/>
                <w:sz w:val="21"/>
                <w:szCs w:val="21"/>
                <w:highlight w:val="none"/>
                <w:vertAlign w:val="baseline"/>
                <w:lang w:val="en-US" w:eastAsia="zh-CN"/>
              </w:rPr>
              <w:t>拉运至指定</w:t>
            </w:r>
            <w:r>
              <w:rPr>
                <w:rFonts w:hint="default" w:ascii="Times New Roman" w:hAnsi="Times New Roman" w:eastAsia="宋体" w:cs="Times New Roman"/>
                <w:bCs w:val="0"/>
                <w:color w:val="auto"/>
                <w:sz w:val="21"/>
                <w:szCs w:val="21"/>
                <w:highlight w:val="none"/>
                <w:vertAlign w:val="baseline"/>
                <w:lang w:val="en-US" w:eastAsia="zh-CN"/>
              </w:rPr>
              <w:t>弃渣场处置。</w:t>
            </w:r>
          </w:p>
        </w:tc>
        <w:tc>
          <w:tcPr>
            <w:tcW w:w="373" w:type="pct"/>
            <w:tcBorders>
              <w:tl2br w:val="nil"/>
              <w:tr2bl w:val="nil"/>
            </w:tcBorders>
            <w:noWrap w:val="0"/>
            <w:vAlign w:val="center"/>
          </w:tcPr>
          <w:p w14:paraId="4732B7AB">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Cs w:val="0"/>
                <w:color w:val="auto"/>
                <w:sz w:val="21"/>
                <w:szCs w:val="21"/>
                <w:highlight w:val="none"/>
                <w:vertAlign w:val="baseline"/>
                <w:lang w:val="en-US" w:eastAsia="zh-CN"/>
              </w:rPr>
            </w:pPr>
            <w:r>
              <w:rPr>
                <w:rFonts w:hint="default" w:ascii="Times New Roman" w:hAnsi="Times New Roman" w:eastAsia="宋体" w:cs="Times New Roman"/>
                <w:bCs w:val="0"/>
                <w:color w:val="auto"/>
                <w:sz w:val="21"/>
                <w:szCs w:val="21"/>
                <w:highlight w:val="none"/>
                <w:vertAlign w:val="baseline"/>
                <w:lang w:val="en-US" w:eastAsia="zh-CN"/>
              </w:rPr>
              <w:t>符合</w:t>
            </w:r>
          </w:p>
        </w:tc>
      </w:tr>
      <w:tr w14:paraId="29942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3" w:type="pct"/>
            <w:vMerge w:val="continue"/>
            <w:tcBorders>
              <w:tl2br w:val="nil"/>
              <w:tr2bl w:val="nil"/>
            </w:tcBorders>
            <w:noWrap w:val="0"/>
            <w:vAlign w:val="center"/>
          </w:tcPr>
          <w:p w14:paraId="0C785C12">
            <w:pPr>
              <w:keepNext w:val="0"/>
              <w:keepLines w:val="0"/>
              <w:pageBreakBefore w:val="0"/>
              <w:widowControl w:val="0"/>
              <w:kinsoku/>
              <w:wordWrap/>
              <w:overflowPunct/>
              <w:topLinePunct w:val="0"/>
              <w:autoSpaceDE/>
              <w:autoSpaceDN/>
              <w:bidi w:val="0"/>
              <w:adjustRightInd/>
              <w:snapToGrid/>
              <w:spacing w:after="0"/>
              <w:ind w:left="480" w:leftChars="200" w:firstLine="420" w:firstLineChars="200"/>
              <w:jc w:val="both"/>
              <w:textAlignment w:val="auto"/>
              <w:rPr>
                <w:rFonts w:hint="default" w:ascii="Times New Roman" w:hAnsi="Times New Roman" w:eastAsia="宋体" w:cs="Times New Roman"/>
                <w:color w:val="auto"/>
                <w:kern w:val="2"/>
                <w:sz w:val="21"/>
                <w:szCs w:val="21"/>
                <w:highlight w:val="none"/>
                <w:lang w:val="en-US" w:eastAsia="zh-CN" w:bidi="ar-SA"/>
              </w:rPr>
            </w:pPr>
          </w:p>
        </w:tc>
        <w:tc>
          <w:tcPr>
            <w:tcW w:w="2386" w:type="pct"/>
            <w:tcBorders>
              <w:tl2br w:val="nil"/>
              <w:tr2bl w:val="nil"/>
            </w:tcBorders>
            <w:noWrap w:val="0"/>
            <w:vAlign w:val="top"/>
          </w:tcPr>
          <w:p w14:paraId="141991B6">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Cs w:val="0"/>
                <w:color w:val="auto"/>
                <w:sz w:val="21"/>
                <w:szCs w:val="21"/>
                <w:highlight w:val="none"/>
                <w:vertAlign w:val="baseline"/>
                <w:lang w:val="en-US" w:eastAsia="zh-CN"/>
              </w:rPr>
            </w:pPr>
            <w:r>
              <w:rPr>
                <w:rFonts w:hint="default" w:ascii="Times New Roman" w:hAnsi="Times New Roman" w:eastAsia="宋体" w:cs="Times New Roman"/>
                <w:bCs w:val="0"/>
                <w:color w:val="auto"/>
                <w:sz w:val="21"/>
                <w:szCs w:val="21"/>
                <w:highlight w:val="none"/>
                <w:vertAlign w:val="baseline"/>
                <w:lang w:val="en-US" w:eastAsia="zh-CN"/>
              </w:rPr>
              <w:t>(十二)加强水环境保护及风险防范。公路建设项目要重视对饮用水水源地的保护，依法绕避饮用水水源保护区。对涉及饮用水水源保护区、集中式饮用水水源取水口的路段，跨越Ⅱ类及以上水体的桥梁，在确保安全和技术可行的前提下，要按照依法批复的环境影响评价文件要求，采取设置桥（路）面径流水收集系统等环境风险防范措施。要对发生污染事故后的桥面径流等进行处理</w:t>
            </w:r>
          </w:p>
        </w:tc>
        <w:tc>
          <w:tcPr>
            <w:tcW w:w="1606" w:type="pct"/>
            <w:tcBorders>
              <w:tl2br w:val="nil"/>
              <w:tr2bl w:val="nil"/>
            </w:tcBorders>
            <w:noWrap w:val="0"/>
            <w:vAlign w:val="center"/>
          </w:tcPr>
          <w:p w14:paraId="52973240">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Cs w:val="0"/>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本项目</w:t>
            </w:r>
            <w:r>
              <w:rPr>
                <w:rFonts w:hint="eastAsia" w:cs="Times New Roman"/>
                <w:color w:val="auto"/>
                <w:sz w:val="21"/>
                <w:szCs w:val="21"/>
                <w:highlight w:val="none"/>
                <w:lang w:val="en-US" w:eastAsia="zh-CN"/>
              </w:rPr>
              <w:t>不跨越地表水体</w:t>
            </w:r>
            <w:r>
              <w:rPr>
                <w:rFonts w:hint="default" w:ascii="Times New Roman" w:hAnsi="Times New Roman" w:eastAsia="宋体" w:cs="Times New Roman"/>
                <w:color w:val="auto"/>
                <w:sz w:val="21"/>
                <w:szCs w:val="21"/>
                <w:highlight w:val="none"/>
                <w:lang w:eastAsia="zh-CN"/>
              </w:rPr>
              <w:t>。</w:t>
            </w:r>
          </w:p>
        </w:tc>
        <w:tc>
          <w:tcPr>
            <w:tcW w:w="373" w:type="pct"/>
            <w:tcBorders>
              <w:tl2br w:val="nil"/>
              <w:tr2bl w:val="nil"/>
            </w:tcBorders>
            <w:noWrap w:val="0"/>
            <w:vAlign w:val="center"/>
          </w:tcPr>
          <w:p w14:paraId="733788CE">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Cs w:val="0"/>
                <w:color w:val="auto"/>
                <w:sz w:val="21"/>
                <w:szCs w:val="21"/>
                <w:highlight w:val="none"/>
                <w:vertAlign w:val="baseline"/>
                <w:lang w:val="en-US" w:eastAsia="zh-CN"/>
              </w:rPr>
            </w:pPr>
            <w:r>
              <w:rPr>
                <w:rFonts w:hint="default" w:ascii="Times New Roman" w:hAnsi="Times New Roman" w:eastAsia="宋体" w:cs="Times New Roman"/>
                <w:bCs w:val="0"/>
                <w:color w:val="auto"/>
                <w:sz w:val="21"/>
                <w:szCs w:val="21"/>
                <w:highlight w:val="none"/>
                <w:vertAlign w:val="baseline"/>
                <w:lang w:val="en-US" w:eastAsia="zh-CN"/>
              </w:rPr>
              <w:t>符合</w:t>
            </w:r>
          </w:p>
        </w:tc>
      </w:tr>
      <w:tr w14:paraId="78EF7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3" w:type="pct"/>
            <w:tcBorders>
              <w:tl2br w:val="nil"/>
              <w:tr2bl w:val="nil"/>
            </w:tcBorders>
            <w:noWrap w:val="0"/>
            <w:vAlign w:val="center"/>
          </w:tcPr>
          <w:p w14:paraId="3A59DD2F">
            <w:pPr>
              <w:keepNext w:val="0"/>
              <w:keepLines w:val="0"/>
              <w:pageBreakBefore w:val="0"/>
              <w:widowControl w:val="0"/>
              <w:kinsoku/>
              <w:wordWrap/>
              <w:overflowPunct/>
              <w:topLinePunct w:val="0"/>
              <w:autoSpaceDE/>
              <w:autoSpaceDN/>
              <w:bidi w:val="0"/>
              <w:adjustRightInd/>
              <w:snapToGrid/>
              <w:spacing w:after="0"/>
              <w:ind w:left="480" w:leftChars="200" w:firstLine="420" w:firstLineChars="200"/>
              <w:jc w:val="both"/>
              <w:textAlignment w:val="auto"/>
              <w:rPr>
                <w:rFonts w:hint="default" w:ascii="Times New Roman" w:hAnsi="Times New Roman" w:eastAsia="宋体" w:cs="Times New Roman"/>
                <w:color w:val="auto"/>
                <w:kern w:val="2"/>
                <w:sz w:val="21"/>
                <w:szCs w:val="21"/>
                <w:highlight w:val="none"/>
                <w:lang w:val="en-US" w:eastAsia="zh-CN" w:bidi="ar-SA"/>
              </w:rPr>
            </w:pPr>
          </w:p>
        </w:tc>
        <w:tc>
          <w:tcPr>
            <w:tcW w:w="2386" w:type="pct"/>
            <w:tcBorders>
              <w:tl2br w:val="nil"/>
              <w:tr2bl w:val="nil"/>
            </w:tcBorders>
            <w:noWrap w:val="0"/>
            <w:vAlign w:val="top"/>
          </w:tcPr>
          <w:p w14:paraId="793B0B17">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Cs w:val="0"/>
                <w:color w:val="auto"/>
                <w:sz w:val="21"/>
                <w:szCs w:val="21"/>
                <w:highlight w:val="none"/>
                <w:vertAlign w:val="baseline"/>
                <w:lang w:val="en-US" w:eastAsia="zh-CN"/>
              </w:rPr>
            </w:pPr>
            <w:r>
              <w:rPr>
                <w:rFonts w:hint="default" w:ascii="Times New Roman" w:hAnsi="Times New Roman" w:eastAsia="宋体" w:cs="Times New Roman"/>
                <w:bCs w:val="0"/>
                <w:color w:val="auto"/>
                <w:sz w:val="21"/>
                <w:szCs w:val="21"/>
                <w:highlight w:val="none"/>
                <w:vertAlign w:val="baseline"/>
                <w:lang w:val="en-US" w:eastAsia="zh-CN"/>
              </w:rPr>
              <w:t>(十三)强化大气污染防治。公路建设项目应当采取有效防尘降尘措施，减少施工、运输、贮存过程扬尘污染，加强取弃土场、拌合站和料场等区域扬尘污染防治工作。确保施工车辆、非道路移动机械等符合排放标准，鼓励具备条件的项目推广使用新能源清洁能源车辆、机械。鼓励气候变化风险较高的区域探索开展公路项目适应气候变化评价，提高公路适应气候变化能力。</w:t>
            </w:r>
          </w:p>
        </w:tc>
        <w:tc>
          <w:tcPr>
            <w:tcW w:w="1606" w:type="pct"/>
            <w:tcBorders>
              <w:tl2br w:val="nil"/>
              <w:tr2bl w:val="nil"/>
            </w:tcBorders>
            <w:noWrap w:val="0"/>
            <w:vAlign w:val="center"/>
          </w:tcPr>
          <w:p w14:paraId="34226705">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Cs w:val="0"/>
                <w:color w:val="auto"/>
                <w:sz w:val="21"/>
                <w:szCs w:val="21"/>
                <w:highlight w:val="none"/>
                <w:vertAlign w:val="baseline"/>
                <w:lang w:val="en-US" w:eastAsia="zh-CN"/>
              </w:rPr>
            </w:pPr>
            <w:r>
              <w:rPr>
                <w:rFonts w:hint="eastAsia" w:ascii="宋体" w:hAnsi="宋体" w:eastAsia="宋体" w:cs="宋体"/>
                <w:bCs w:val="0"/>
                <w:color w:val="auto"/>
                <w:sz w:val="21"/>
                <w:szCs w:val="21"/>
                <w:highlight w:val="none"/>
                <w:vertAlign w:val="baseline"/>
                <w:lang w:val="en-US" w:eastAsia="zh-CN"/>
              </w:rPr>
              <w:t>本项目施工期施工场地严格落实</w:t>
            </w:r>
            <w:r>
              <w:rPr>
                <w:rFonts w:hint="eastAsia" w:ascii="宋体" w:hAnsi="宋体" w:cs="宋体"/>
                <w:bCs w:val="0"/>
                <w:color w:val="auto"/>
                <w:sz w:val="21"/>
                <w:szCs w:val="21"/>
                <w:highlight w:val="none"/>
                <w:vertAlign w:val="baseline"/>
                <w:lang w:val="en-US" w:eastAsia="zh-CN"/>
              </w:rPr>
              <w:t>各项防尘措施</w:t>
            </w:r>
            <w:r>
              <w:rPr>
                <w:rFonts w:hint="eastAsia" w:ascii="宋体" w:hAnsi="宋体" w:eastAsia="宋体" w:cs="宋体"/>
                <w:bCs w:val="0"/>
                <w:color w:val="auto"/>
                <w:sz w:val="21"/>
                <w:szCs w:val="21"/>
                <w:highlight w:val="none"/>
                <w:vertAlign w:val="baseline"/>
                <w:lang w:val="en-US" w:eastAsia="zh-CN"/>
              </w:rPr>
              <w:t>，施工车辆采用符合排放标准的车辆，施工场地定期洒水，有效防止扬尘污染。</w:t>
            </w:r>
          </w:p>
        </w:tc>
        <w:tc>
          <w:tcPr>
            <w:tcW w:w="373" w:type="pct"/>
            <w:tcBorders>
              <w:tl2br w:val="nil"/>
              <w:tr2bl w:val="nil"/>
            </w:tcBorders>
            <w:noWrap w:val="0"/>
            <w:vAlign w:val="center"/>
          </w:tcPr>
          <w:p w14:paraId="780D8B4D">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Cs w:val="0"/>
                <w:color w:val="auto"/>
                <w:sz w:val="21"/>
                <w:szCs w:val="21"/>
                <w:highlight w:val="none"/>
                <w:vertAlign w:val="baseline"/>
                <w:lang w:val="en-US" w:eastAsia="zh-CN"/>
              </w:rPr>
            </w:pPr>
            <w:r>
              <w:rPr>
                <w:rFonts w:hint="default" w:ascii="Times New Roman" w:hAnsi="Times New Roman" w:eastAsia="宋体" w:cs="Times New Roman"/>
                <w:bCs w:val="0"/>
                <w:color w:val="auto"/>
                <w:sz w:val="21"/>
                <w:szCs w:val="21"/>
                <w:highlight w:val="none"/>
                <w:vertAlign w:val="baseline"/>
                <w:lang w:val="en-US" w:eastAsia="zh-CN"/>
              </w:rPr>
              <w:t>符合</w:t>
            </w:r>
          </w:p>
        </w:tc>
      </w:tr>
    </w:tbl>
    <w:p w14:paraId="16A58DD4">
      <w:pPr>
        <w:rPr>
          <w:rFonts w:hint="default" w:ascii="Times New Roman" w:hAnsi="Times New Roman" w:cs="Times New Roman"/>
          <w:color w:val="auto"/>
          <w:lang w:val="en-US" w:eastAsia="zh-CN"/>
        </w:rPr>
      </w:pPr>
    </w:p>
    <w:p w14:paraId="07E1D527">
      <w:pPr>
        <w:keepNext/>
        <w:widowControl w:val="0"/>
        <w:bidi w:val="0"/>
        <w:adjustRightInd w:val="0"/>
        <w:snapToGrid w:val="0"/>
        <w:spacing w:line="360" w:lineRule="auto"/>
        <w:ind w:firstLine="0" w:firstLineChars="0"/>
        <w:jc w:val="left"/>
        <w:outlineLvl w:val="2"/>
        <w:rPr>
          <w:rFonts w:hint="default" w:ascii="Times New Roman" w:hAnsi="Times New Roman" w:eastAsia="宋体" w:cs="Times New Roman"/>
          <w:b/>
          <w:color w:val="auto"/>
          <w:kern w:val="2"/>
          <w:sz w:val="28"/>
          <w:szCs w:val="20"/>
          <w:lang w:val="en-US" w:eastAsia="zh-CN" w:bidi="ar-SA"/>
        </w:rPr>
      </w:pPr>
      <w:r>
        <w:rPr>
          <w:rFonts w:hint="default" w:ascii="Times New Roman" w:hAnsi="Times New Roman" w:eastAsia="宋体" w:cs="Times New Roman"/>
          <w:b/>
          <w:color w:val="auto"/>
          <w:kern w:val="2"/>
          <w:sz w:val="28"/>
          <w:szCs w:val="20"/>
          <w:lang w:val="en-US" w:eastAsia="zh-CN" w:bidi="ar-SA"/>
        </w:rPr>
        <w:t>3.4.</w:t>
      </w:r>
      <w:r>
        <w:rPr>
          <w:rFonts w:hint="eastAsia" w:cs="Times New Roman"/>
          <w:b/>
          <w:color w:val="auto"/>
          <w:kern w:val="2"/>
          <w:sz w:val="28"/>
          <w:szCs w:val="20"/>
          <w:lang w:val="en-US" w:eastAsia="zh-CN" w:bidi="ar-SA"/>
        </w:rPr>
        <w:t>4</w:t>
      </w:r>
      <w:r>
        <w:rPr>
          <w:rFonts w:hint="default" w:ascii="Times New Roman" w:hAnsi="Times New Roman" w:eastAsia="宋体" w:cs="Times New Roman"/>
          <w:b/>
          <w:color w:val="auto"/>
          <w:kern w:val="2"/>
          <w:sz w:val="28"/>
          <w:szCs w:val="20"/>
          <w:lang w:val="en-US" w:eastAsia="zh-CN" w:bidi="ar-SA"/>
        </w:rPr>
        <w:t xml:space="preserve"> 交通网规划符合性</w:t>
      </w:r>
    </w:p>
    <w:p w14:paraId="37B42CF8">
      <w:pPr>
        <w:keepNext/>
        <w:keepLines/>
        <w:widowControl w:val="0"/>
        <w:bidi w:val="0"/>
        <w:adjustRightInd w:val="0"/>
        <w:snapToGrid w:val="0"/>
        <w:spacing w:line="360" w:lineRule="auto"/>
        <w:ind w:firstLine="0" w:firstLineChars="0"/>
        <w:jc w:val="both"/>
        <w:outlineLvl w:val="3"/>
        <w:rPr>
          <w:rFonts w:hint="default" w:ascii="Times New Roman" w:hAnsi="Times New Roman" w:eastAsia="宋体" w:cs="Times New Roman"/>
          <w:b/>
          <w:bCs/>
          <w:color w:val="auto"/>
          <w:kern w:val="2"/>
          <w:sz w:val="24"/>
          <w:szCs w:val="28"/>
          <w:lang w:val="en-US" w:eastAsia="zh-CN" w:bidi="ar-SA"/>
        </w:rPr>
      </w:pPr>
      <w:r>
        <w:rPr>
          <w:rFonts w:hint="default" w:ascii="Times New Roman" w:hAnsi="Times New Roman" w:eastAsia="宋体" w:cs="Times New Roman"/>
          <w:b/>
          <w:bCs/>
          <w:color w:val="auto"/>
          <w:kern w:val="2"/>
          <w:sz w:val="24"/>
          <w:szCs w:val="28"/>
          <w:lang w:val="en-US" w:eastAsia="zh-CN" w:bidi="ar-SA"/>
        </w:rPr>
        <w:t>3.4.</w:t>
      </w:r>
      <w:r>
        <w:rPr>
          <w:rFonts w:hint="eastAsia" w:cs="Times New Roman"/>
          <w:b/>
          <w:bCs/>
          <w:color w:val="auto"/>
          <w:kern w:val="2"/>
          <w:sz w:val="24"/>
          <w:szCs w:val="28"/>
          <w:lang w:val="en-US" w:eastAsia="zh-CN" w:bidi="ar-SA"/>
        </w:rPr>
        <w:t>4</w:t>
      </w:r>
      <w:r>
        <w:rPr>
          <w:rFonts w:hint="default" w:ascii="Times New Roman" w:hAnsi="Times New Roman" w:eastAsia="宋体" w:cs="Times New Roman"/>
          <w:b/>
          <w:bCs/>
          <w:color w:val="auto"/>
          <w:kern w:val="2"/>
          <w:sz w:val="24"/>
          <w:szCs w:val="28"/>
          <w:lang w:val="en-US" w:eastAsia="zh-CN" w:bidi="ar-SA"/>
        </w:rPr>
        <w:t>.1 与国家公路网规划符合性分析</w:t>
      </w:r>
    </w:p>
    <w:p w14:paraId="780E0FC6">
      <w:pPr>
        <w:keepNext w:val="0"/>
        <w:keepLines w:val="0"/>
        <w:pageBreakBefore w:val="0"/>
        <w:widowControl w:val="0"/>
        <w:kinsoku/>
        <w:wordWrap/>
        <w:overflowPunct/>
        <w:topLinePunct w:val="0"/>
        <w:autoSpaceDE/>
        <w:autoSpaceDN/>
        <w:bidi w:val="0"/>
        <w:adjustRightInd w:val="0"/>
        <w:snapToGrid w:val="0"/>
        <w:ind w:right="0" w:rightChars="0" w:firstLine="480"/>
        <w:jc w:val="both"/>
        <w:textAlignment w:val="auto"/>
        <w:rPr>
          <w:rFonts w:hint="default" w:ascii="Times New Roman" w:hAnsi="Times New Roman" w:cs="Times New Roman" w:eastAsiaTheme="minorEastAsia"/>
          <w:color w:val="auto"/>
          <w:szCs w:val="22"/>
        </w:rPr>
      </w:pPr>
      <w:r>
        <w:rPr>
          <w:rFonts w:hint="default" w:ascii="Times New Roman" w:hAnsi="Times New Roman" w:cs="Times New Roman" w:eastAsiaTheme="minorEastAsia"/>
          <w:color w:val="auto"/>
          <w:szCs w:val="22"/>
        </w:rPr>
        <w:t>（1）《国家公路网规划（2013年~2030年）》符合性分析</w:t>
      </w:r>
    </w:p>
    <w:p w14:paraId="14709D61">
      <w:pPr>
        <w:keepNext w:val="0"/>
        <w:keepLines w:val="0"/>
        <w:pageBreakBefore w:val="0"/>
        <w:widowControl w:val="0"/>
        <w:tabs>
          <w:tab w:val="left" w:pos="2760"/>
        </w:tabs>
        <w:kinsoku/>
        <w:wordWrap/>
        <w:overflowPunct/>
        <w:topLinePunct w:val="0"/>
        <w:autoSpaceDE/>
        <w:autoSpaceDN/>
        <w:bidi w:val="0"/>
        <w:adjustRightInd w:val="0"/>
        <w:snapToGrid w:val="0"/>
        <w:ind w:right="0" w:rightChars="0" w:firstLine="480" w:firstLineChars="200"/>
        <w:jc w:val="both"/>
        <w:textAlignment w:val="auto"/>
        <w:rPr>
          <w:rFonts w:hint="default" w:ascii="Times New Roman" w:hAnsi="Times New Roman" w:cs="Times New Roman" w:eastAsiaTheme="minorEastAsia"/>
          <w:color w:val="auto"/>
          <w:kern w:val="0"/>
          <w:szCs w:val="20"/>
        </w:rPr>
      </w:pPr>
      <w:r>
        <w:rPr>
          <w:rFonts w:hint="default" w:ascii="Times New Roman" w:hAnsi="Times New Roman" w:cs="Times New Roman" w:eastAsiaTheme="minorEastAsia"/>
          <w:color w:val="auto"/>
          <w:kern w:val="0"/>
          <w:szCs w:val="20"/>
          <w:lang w:val="en-US" w:eastAsia="zh-CN"/>
        </w:rPr>
        <w:t>根据</w:t>
      </w:r>
      <w:r>
        <w:rPr>
          <w:rFonts w:hint="default" w:ascii="Times New Roman" w:hAnsi="Times New Roman" w:cs="Times New Roman" w:eastAsiaTheme="minorEastAsia"/>
          <w:color w:val="auto"/>
          <w:szCs w:val="22"/>
        </w:rPr>
        <w:t>《国家公路网规划（2013年~2030年）》</w:t>
      </w:r>
      <w:r>
        <w:rPr>
          <w:rFonts w:hint="default" w:ascii="Times New Roman" w:hAnsi="Times New Roman" w:cs="Times New Roman" w:eastAsiaTheme="minorEastAsia"/>
          <w:color w:val="auto"/>
          <w:szCs w:val="22"/>
          <w:lang w:val="en-US" w:eastAsia="zh-CN"/>
        </w:rPr>
        <w:t>要求</w:t>
      </w:r>
      <w:r>
        <w:rPr>
          <w:rFonts w:hint="default" w:ascii="Times New Roman" w:hAnsi="Times New Roman" w:cs="Times New Roman" w:eastAsiaTheme="minorEastAsia"/>
          <w:color w:val="auto"/>
          <w:kern w:val="0"/>
          <w:szCs w:val="20"/>
        </w:rPr>
        <w:t>“加快推进普通国道建设，以既有路线升级改造为主，着力提升技术等级、服务能力和水平”及“集约节约利用土地等资源，降低对环境的影响。尽可能利用既有设施扩能改造，必须新建的尽可能利用既有交通走廊，多方案比选、合理布线，少占土地、占补平衡；尽可能避免对具有重要生态功能的生态系统的分割，从严控制穿越禁止开发区域和城市建成区，严禁新建公路穿越自然保护区的核心区，减少对生态脆弱区、环境敏感区的影响，加强生态保护，逐步实现从事后治理向事前规划和保护的转变。”</w:t>
      </w:r>
    </w:p>
    <w:p w14:paraId="4D21FEB3">
      <w:pPr>
        <w:keepNext w:val="0"/>
        <w:keepLines w:val="0"/>
        <w:widowControl/>
        <w:suppressLineNumbers w:val="0"/>
        <w:jc w:val="left"/>
        <w:rPr>
          <w:rFonts w:hint="default" w:ascii="Times New Roman" w:hAnsi="Times New Roman" w:eastAsia="宋体" w:cs="Times New Roman"/>
          <w:color w:val="auto"/>
          <w:lang w:val="en-US"/>
        </w:rPr>
      </w:pPr>
      <w:r>
        <w:rPr>
          <w:rFonts w:hint="default" w:ascii="Times New Roman" w:hAnsi="Times New Roman" w:cs="Times New Roman" w:eastAsiaTheme="minorEastAsia"/>
          <w:color w:val="auto"/>
          <w:kern w:val="0"/>
          <w:szCs w:val="20"/>
          <w:lang w:val="en-US" w:eastAsia="zh-CN"/>
        </w:rPr>
        <w:t>S227阿图什至喀什公路新建工程（隧道）</w:t>
      </w:r>
      <w:r>
        <w:rPr>
          <w:rFonts w:hint="default" w:ascii="Times New Roman" w:hAnsi="Times New Roman" w:eastAsia="宋体" w:cs="Times New Roman"/>
          <w:color w:val="auto"/>
          <w:kern w:val="0"/>
          <w:sz w:val="24"/>
          <w:szCs w:val="24"/>
          <w:lang w:val="en-US" w:eastAsia="zh-CN" w:bidi="ar"/>
        </w:rPr>
        <w:t>起点位于G3012高速公路阿扎克互通收费站南侧与G314交叉路口，终点位于喀什市经济开发区城东大道与横一路路口，本项目的建设将有效解决阿图什市与喀什市路网结构不合理，通行效率低下，时常出行拥堵的交通问题，本项目建设有利于加快推进“南疆城市群”“双什一体化”发展格局，完善“双什”交通路网结构，缓解当前G3012及G314线的交通压力，有利于阿图什市依托喀什自贸试验区及自身区位优势打造西部重要边贸城市、加速经济发展。</w:t>
      </w:r>
    </w:p>
    <w:p w14:paraId="51DF94EF">
      <w:pPr>
        <w:keepNext w:val="0"/>
        <w:keepLines w:val="0"/>
        <w:pageBreakBefore w:val="0"/>
        <w:widowControl w:val="0"/>
        <w:tabs>
          <w:tab w:val="left" w:pos="2760"/>
        </w:tabs>
        <w:kinsoku/>
        <w:wordWrap/>
        <w:overflowPunct/>
        <w:topLinePunct w:val="0"/>
        <w:autoSpaceDE/>
        <w:autoSpaceDN/>
        <w:bidi w:val="0"/>
        <w:adjustRightInd w:val="0"/>
        <w:snapToGrid w:val="0"/>
        <w:ind w:right="0" w:rightChars="0" w:firstLine="480"/>
        <w:jc w:val="both"/>
        <w:textAlignment w:val="auto"/>
        <w:rPr>
          <w:rFonts w:hint="default" w:ascii="Times New Roman" w:hAnsi="Times New Roman" w:cs="Times New Roman" w:eastAsiaTheme="minorEastAsia"/>
          <w:color w:val="auto"/>
          <w:kern w:val="0"/>
          <w:szCs w:val="20"/>
        </w:rPr>
      </w:pPr>
      <w:r>
        <w:rPr>
          <w:rFonts w:hint="default" w:ascii="Times New Roman" w:hAnsi="Times New Roman" w:cs="Times New Roman" w:eastAsiaTheme="minorEastAsia"/>
          <w:color w:val="auto"/>
          <w:kern w:val="0"/>
          <w:szCs w:val="20"/>
        </w:rPr>
        <w:t>本</w:t>
      </w:r>
      <w:r>
        <w:rPr>
          <w:rFonts w:hint="default" w:ascii="Times New Roman" w:hAnsi="Times New Roman" w:cs="Times New Roman" w:eastAsiaTheme="minorEastAsia"/>
          <w:color w:val="auto"/>
          <w:kern w:val="0"/>
          <w:szCs w:val="20"/>
          <w:lang w:val="en-US" w:eastAsia="zh-CN"/>
        </w:rPr>
        <w:t>工程</w:t>
      </w:r>
      <w:r>
        <w:rPr>
          <w:rFonts w:hint="default" w:ascii="Times New Roman" w:hAnsi="Times New Roman" w:cs="Times New Roman" w:eastAsiaTheme="minorEastAsia"/>
          <w:color w:val="auto"/>
          <w:kern w:val="0"/>
          <w:szCs w:val="20"/>
        </w:rPr>
        <w:t>着力提升了公路技术等级、服务能力和水平，</w:t>
      </w:r>
      <w:r>
        <w:rPr>
          <w:rFonts w:hint="default" w:ascii="Times New Roman" w:hAnsi="Times New Roman" w:cs="Times New Roman" w:eastAsiaTheme="minorEastAsia"/>
          <w:color w:val="auto"/>
          <w:kern w:val="0"/>
          <w:szCs w:val="20"/>
          <w:lang w:val="en-US" w:eastAsia="zh-CN"/>
        </w:rPr>
        <w:t>对</w:t>
      </w:r>
      <w:r>
        <w:rPr>
          <w:rFonts w:hint="default" w:ascii="Times New Roman" w:hAnsi="Times New Roman" w:cs="Times New Roman" w:eastAsiaTheme="minorEastAsia"/>
          <w:color w:val="auto"/>
          <w:kern w:val="0"/>
          <w:szCs w:val="20"/>
        </w:rPr>
        <w:t>新建路段进行了多方案比选、合理布线，减少占地；沿线未穿越禁止开发区域和城市建成区、自然保护区核心区和缓冲区、饮用水水源保护区、世界文化与自然遗产地核心区等环境敏感区域，本项目</w:t>
      </w:r>
      <w:r>
        <w:rPr>
          <w:rFonts w:hint="eastAsia" w:cs="Times New Roman" w:eastAsiaTheme="minorEastAsia"/>
          <w:color w:val="auto"/>
          <w:kern w:val="0"/>
          <w:szCs w:val="20"/>
          <w:lang w:val="en-US" w:eastAsia="zh-CN"/>
        </w:rPr>
        <w:t>选线已</w:t>
      </w:r>
      <w:r>
        <w:rPr>
          <w:rFonts w:hint="default" w:ascii="Times New Roman" w:hAnsi="Times New Roman" w:cs="Times New Roman" w:eastAsiaTheme="minorEastAsia"/>
          <w:color w:val="auto"/>
          <w:kern w:val="0"/>
          <w:szCs w:val="20"/>
        </w:rPr>
        <w:t>避免</w:t>
      </w:r>
      <w:r>
        <w:rPr>
          <w:rFonts w:hint="eastAsia" w:cs="Times New Roman" w:eastAsiaTheme="minorEastAsia"/>
          <w:color w:val="auto"/>
          <w:kern w:val="0"/>
          <w:szCs w:val="20"/>
          <w:lang w:val="en-US" w:eastAsia="zh-CN"/>
        </w:rPr>
        <w:t>了</w:t>
      </w:r>
      <w:r>
        <w:rPr>
          <w:rFonts w:hint="default" w:ascii="Times New Roman" w:hAnsi="Times New Roman" w:cs="Times New Roman" w:eastAsiaTheme="minorEastAsia"/>
          <w:color w:val="auto"/>
          <w:kern w:val="0"/>
          <w:szCs w:val="20"/>
        </w:rPr>
        <w:t>公路建设对生态脆弱区、环境敏感区造成的不良影响。</w:t>
      </w:r>
    </w:p>
    <w:p w14:paraId="4BDAB2E0">
      <w:pPr>
        <w:keepNext w:val="0"/>
        <w:keepLines w:val="0"/>
        <w:pageBreakBefore w:val="0"/>
        <w:widowControl w:val="0"/>
        <w:kinsoku/>
        <w:wordWrap/>
        <w:overflowPunct/>
        <w:topLinePunct w:val="0"/>
        <w:autoSpaceDE/>
        <w:autoSpaceDN/>
        <w:bidi w:val="0"/>
        <w:adjustRightInd w:val="0"/>
        <w:snapToGrid w:val="0"/>
        <w:ind w:right="0" w:rightChars="0" w:firstLine="480"/>
        <w:jc w:val="both"/>
        <w:textAlignment w:val="auto"/>
        <w:rPr>
          <w:rFonts w:hint="default" w:ascii="Times New Roman" w:hAnsi="Times New Roman" w:cs="Times New Roman" w:eastAsiaTheme="minorEastAsia"/>
          <w:color w:val="auto"/>
          <w:kern w:val="0"/>
          <w:szCs w:val="20"/>
        </w:rPr>
      </w:pPr>
      <w:r>
        <w:rPr>
          <w:rFonts w:hint="default" w:ascii="Times New Roman" w:hAnsi="Times New Roman" w:cs="Times New Roman" w:eastAsiaTheme="minorEastAsia"/>
          <w:color w:val="auto"/>
          <w:kern w:val="0"/>
          <w:szCs w:val="20"/>
        </w:rPr>
        <w:t>（2）规划环评及其审查意见符合性分析</w:t>
      </w:r>
    </w:p>
    <w:p w14:paraId="7404D916">
      <w:pPr>
        <w:keepNext w:val="0"/>
        <w:keepLines w:val="0"/>
        <w:pageBreakBefore w:val="0"/>
        <w:widowControl w:val="0"/>
        <w:tabs>
          <w:tab w:val="left" w:pos="2760"/>
        </w:tabs>
        <w:kinsoku/>
        <w:wordWrap/>
        <w:overflowPunct/>
        <w:topLinePunct w:val="0"/>
        <w:autoSpaceDE/>
        <w:autoSpaceDN/>
        <w:bidi w:val="0"/>
        <w:adjustRightInd w:val="0"/>
        <w:snapToGrid w:val="0"/>
        <w:ind w:right="0" w:rightChars="0" w:firstLine="480"/>
        <w:jc w:val="both"/>
        <w:textAlignment w:val="auto"/>
        <w:rPr>
          <w:rFonts w:hint="default" w:ascii="Times New Roman" w:hAnsi="Times New Roman" w:cs="Times New Roman" w:eastAsiaTheme="minorEastAsia"/>
          <w:color w:val="auto"/>
          <w:kern w:val="0"/>
          <w:szCs w:val="20"/>
        </w:rPr>
      </w:pPr>
      <w:r>
        <w:rPr>
          <w:rFonts w:hint="default" w:ascii="Times New Roman" w:hAnsi="Times New Roman" w:cs="Times New Roman" w:eastAsiaTheme="minorEastAsia"/>
          <w:color w:val="auto"/>
          <w:kern w:val="0"/>
          <w:szCs w:val="20"/>
        </w:rPr>
        <w:t>《国家公路网规划环境影响报告书》进行环境影响评价，环境保护部以环审</w:t>
      </w:r>
      <w:r>
        <w:rPr>
          <w:rFonts w:hint="default" w:ascii="Times New Roman" w:hAnsi="Times New Roman" w:cs="Times New Roman" w:eastAsiaTheme="minorEastAsia"/>
          <w:color w:val="auto"/>
          <w:kern w:val="0"/>
          <w:szCs w:val="20"/>
          <w:lang w:eastAsia="zh-CN"/>
        </w:rPr>
        <w:t>〔2013〕3号</w:t>
      </w:r>
      <w:r>
        <w:rPr>
          <w:rFonts w:hint="default" w:ascii="Times New Roman" w:hAnsi="Times New Roman" w:cs="Times New Roman" w:eastAsiaTheme="minorEastAsia"/>
          <w:color w:val="auto"/>
          <w:kern w:val="0"/>
          <w:szCs w:val="20"/>
        </w:rPr>
        <w:t>文出具了关于《国家公路网规划环境影响报告书》的审查意见。本项目与《国家公路网规划环境影响报告书》审查意见符合性分析见表</w:t>
      </w:r>
      <w:r>
        <w:rPr>
          <w:rFonts w:hint="default" w:ascii="Times New Roman" w:hAnsi="Times New Roman" w:cs="Times New Roman" w:eastAsiaTheme="minorEastAsia"/>
          <w:color w:val="auto"/>
          <w:kern w:val="0"/>
          <w:szCs w:val="20"/>
          <w:lang w:val="en-US" w:eastAsia="zh-CN"/>
        </w:rPr>
        <w:t>3.</w:t>
      </w:r>
      <w:r>
        <w:rPr>
          <w:rFonts w:hint="eastAsia" w:ascii="Times New Roman" w:hAnsi="Times New Roman" w:cs="Times New Roman" w:eastAsiaTheme="minorEastAsia"/>
          <w:color w:val="auto"/>
          <w:kern w:val="0"/>
          <w:szCs w:val="20"/>
          <w:lang w:val="en-US" w:eastAsia="zh-CN"/>
        </w:rPr>
        <w:t>4</w:t>
      </w:r>
      <w:r>
        <w:rPr>
          <w:rFonts w:hint="default" w:ascii="Times New Roman" w:hAnsi="Times New Roman" w:cs="Times New Roman" w:eastAsiaTheme="minorEastAsia"/>
          <w:color w:val="auto"/>
          <w:kern w:val="0"/>
          <w:szCs w:val="20"/>
        </w:rPr>
        <w:t>-</w:t>
      </w:r>
      <w:r>
        <w:rPr>
          <w:rFonts w:hint="eastAsia" w:ascii="Times New Roman" w:hAnsi="Times New Roman" w:cs="Times New Roman" w:eastAsiaTheme="minorEastAsia"/>
          <w:color w:val="auto"/>
          <w:kern w:val="0"/>
          <w:szCs w:val="20"/>
          <w:lang w:val="en-US" w:eastAsia="zh-CN"/>
        </w:rPr>
        <w:t>3</w:t>
      </w:r>
      <w:r>
        <w:rPr>
          <w:rFonts w:hint="default" w:ascii="Times New Roman" w:hAnsi="Times New Roman" w:cs="Times New Roman" w:eastAsiaTheme="minorEastAsia"/>
          <w:color w:val="auto"/>
          <w:kern w:val="0"/>
          <w:szCs w:val="20"/>
        </w:rPr>
        <w:t>。</w:t>
      </w:r>
    </w:p>
    <w:p w14:paraId="63FFD338">
      <w:pPr>
        <w:widowControl/>
        <w:suppressAutoHyphens/>
        <w:topLinePunct/>
        <w:bidi w:val="0"/>
        <w:adjustRightInd w:val="0"/>
        <w:snapToGrid w:val="0"/>
        <w:spacing w:line="240" w:lineRule="auto"/>
        <w:ind w:firstLine="0" w:firstLineChars="0"/>
        <w:jc w:val="center"/>
        <w:rPr>
          <w:rFonts w:hint="default" w:ascii="Times New Roman" w:hAnsi="Times New Roman" w:cs="Times New Roman" w:eastAsiaTheme="minorEastAsia"/>
          <w:b/>
          <w:color w:val="auto"/>
          <w:kern w:val="0"/>
          <w:sz w:val="21"/>
          <w:szCs w:val="21"/>
          <w:lang w:val="en-US" w:eastAsia="zh-CN" w:bidi="ar-SA"/>
        </w:rPr>
      </w:pPr>
      <w:r>
        <w:rPr>
          <w:rFonts w:hint="default" w:ascii="Times New Roman" w:hAnsi="Times New Roman" w:eastAsia="宋体" w:cs="Times New Roman"/>
          <w:b/>
          <w:color w:val="auto"/>
          <w:kern w:val="0"/>
          <w:sz w:val="21"/>
          <w:szCs w:val="22"/>
          <w:lang w:val="en-US" w:eastAsia="zh-CN" w:bidi="ar-SA"/>
        </w:rPr>
        <w:t>表3.</w:t>
      </w:r>
      <w:r>
        <w:rPr>
          <w:rFonts w:hint="eastAsia" w:ascii="Times New Roman" w:hAnsi="Times New Roman" w:cs="Times New Roman"/>
          <w:b/>
          <w:color w:val="auto"/>
          <w:kern w:val="0"/>
          <w:sz w:val="21"/>
          <w:szCs w:val="22"/>
          <w:lang w:val="en-US" w:eastAsia="zh-CN" w:bidi="ar-SA"/>
        </w:rPr>
        <w:t>4</w:t>
      </w:r>
      <w:r>
        <w:rPr>
          <w:rFonts w:hint="default" w:ascii="Times New Roman" w:hAnsi="Times New Roman" w:eastAsia="宋体" w:cs="Times New Roman"/>
          <w:b/>
          <w:color w:val="auto"/>
          <w:kern w:val="0"/>
          <w:sz w:val="21"/>
          <w:szCs w:val="22"/>
          <w:lang w:val="en-US" w:eastAsia="zh-CN" w:bidi="ar-SA"/>
        </w:rPr>
        <w:t>-</w:t>
      </w:r>
      <w:r>
        <w:rPr>
          <w:rFonts w:hint="eastAsia" w:ascii="Times New Roman" w:hAnsi="Times New Roman" w:cs="Times New Roman"/>
          <w:b/>
          <w:color w:val="auto"/>
          <w:kern w:val="0"/>
          <w:sz w:val="21"/>
          <w:szCs w:val="22"/>
          <w:lang w:val="en-US" w:eastAsia="zh-CN" w:bidi="ar-SA"/>
        </w:rPr>
        <w:t>3</w:t>
      </w:r>
      <w:r>
        <w:rPr>
          <w:rFonts w:hint="default" w:ascii="Times New Roman" w:hAnsi="Times New Roman" w:eastAsia="宋体" w:cs="Times New Roman"/>
          <w:b/>
          <w:color w:val="auto"/>
          <w:kern w:val="0"/>
          <w:sz w:val="21"/>
          <w:szCs w:val="22"/>
          <w:lang w:val="en-US" w:eastAsia="zh-CN" w:bidi="ar-SA"/>
        </w:rPr>
        <w:t xml:space="preserve">  与国家公路网规划环评审查意见符合性分析表</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4"/>
        <w:gridCol w:w="4602"/>
        <w:gridCol w:w="2753"/>
        <w:gridCol w:w="683"/>
      </w:tblGrid>
      <w:tr w14:paraId="7A100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484" w:type="dxa"/>
            <w:vAlign w:val="center"/>
          </w:tcPr>
          <w:p w14:paraId="0D4B7D58">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序号</w:t>
            </w:r>
          </w:p>
        </w:tc>
        <w:tc>
          <w:tcPr>
            <w:tcW w:w="4602" w:type="dxa"/>
            <w:vAlign w:val="center"/>
          </w:tcPr>
          <w:p w14:paraId="5A04281C">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规划环评审查意见</w:t>
            </w:r>
          </w:p>
        </w:tc>
        <w:tc>
          <w:tcPr>
            <w:tcW w:w="2753" w:type="dxa"/>
            <w:vAlign w:val="center"/>
          </w:tcPr>
          <w:p w14:paraId="02D10DBB">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落实情况</w:t>
            </w:r>
          </w:p>
        </w:tc>
        <w:tc>
          <w:tcPr>
            <w:tcW w:w="683" w:type="dxa"/>
            <w:vAlign w:val="center"/>
          </w:tcPr>
          <w:p w14:paraId="6AE65A89">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符合性</w:t>
            </w:r>
          </w:p>
        </w:tc>
      </w:tr>
      <w:tr w14:paraId="581E3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84" w:type="dxa"/>
            <w:vAlign w:val="center"/>
          </w:tcPr>
          <w:p w14:paraId="18433E7F">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w:t>
            </w:r>
          </w:p>
        </w:tc>
        <w:tc>
          <w:tcPr>
            <w:tcW w:w="4602" w:type="dxa"/>
            <w:vAlign w:val="center"/>
          </w:tcPr>
          <w:p w14:paraId="7A7D760A">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规划实施应注意与沿线相关区域发展规划、土地利用规划、城市总体规划、城市综合交通规划等规划的协调衔接。综合考虑区域经济社会发展情况以及公路、铁路、航空、水运等交通运输体系的互补关系，按照“人口资源环境相均衡、经济社会生态效益相统一”的原则和“一次规划、分期建设”的要求，合理确定不同区域的路网布局方案、规模和建设时序，避免无序规划和建设而引发更严重的环境问题。在路网、水网、铁路网等较为密集的典型区域，应在科学论证的基础上进一步优化规划方案，严格控制近期建设规模。</w:t>
            </w:r>
          </w:p>
        </w:tc>
        <w:tc>
          <w:tcPr>
            <w:tcW w:w="2753" w:type="dxa"/>
            <w:vAlign w:val="center"/>
          </w:tcPr>
          <w:p w14:paraId="76B8959A">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本项目路线布设充分考虑了与沿线区域发展规划、土地利用规划、城市总体规划、城市综合交通规划</w:t>
            </w:r>
            <w:r>
              <w:rPr>
                <w:rFonts w:hint="eastAsia" w:cs="Times New Roman"/>
                <w:color w:val="auto"/>
                <w:kern w:val="2"/>
                <w:sz w:val="21"/>
                <w:szCs w:val="21"/>
                <w:lang w:val="en-US" w:eastAsia="zh-CN" w:bidi="ar-SA"/>
              </w:rPr>
              <w:t>等</w:t>
            </w:r>
            <w:r>
              <w:rPr>
                <w:rFonts w:hint="default" w:ascii="Times New Roman" w:hAnsi="Times New Roman" w:eastAsia="宋体" w:cs="Times New Roman"/>
                <w:color w:val="auto"/>
                <w:kern w:val="2"/>
                <w:sz w:val="21"/>
                <w:szCs w:val="21"/>
                <w:lang w:val="en-US" w:eastAsia="zh-CN" w:bidi="ar-SA"/>
              </w:rPr>
              <w:t>规划的协调性；根据各地方政府及部门的意见，结合项目实际及沿线路网、水网、铁路网的分布，对局部路线方案及建设规模进行了优化。</w:t>
            </w:r>
          </w:p>
        </w:tc>
        <w:tc>
          <w:tcPr>
            <w:tcW w:w="683" w:type="dxa"/>
            <w:vAlign w:val="center"/>
          </w:tcPr>
          <w:p w14:paraId="1780FC6B">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符合</w:t>
            </w:r>
          </w:p>
        </w:tc>
      </w:tr>
      <w:tr w14:paraId="0A62B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84" w:type="dxa"/>
            <w:vAlign w:val="center"/>
          </w:tcPr>
          <w:p w14:paraId="6B035DCD">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w:t>
            </w:r>
          </w:p>
        </w:tc>
        <w:tc>
          <w:tcPr>
            <w:tcW w:w="4602" w:type="dxa"/>
            <w:vAlign w:val="center"/>
          </w:tcPr>
          <w:p w14:paraId="5BCF2FEC">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坚持“保护优先，避让为主”的原则，加强对规划公路网沿线自然保护区、饮用水水源保护区、风景名胜区、世界文化与自然遗产地、森林公园、地质公园、重点生态功能区等重要生态保护区域和环境敏感区域的保护。通过采用低路堤和提高桥隧比例等方式，尽量避免和减缓公路建设可能对上述区域的不良影响，推进公路建设绿色发展、集约发展、低碳发展。</w:t>
            </w:r>
          </w:p>
        </w:tc>
        <w:tc>
          <w:tcPr>
            <w:tcW w:w="2753" w:type="dxa"/>
            <w:vAlign w:val="center"/>
          </w:tcPr>
          <w:p w14:paraId="240F38D0">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本项目选线不穿越自然保护区、风景名胜区、森林公园、地质公园、饮用水水源保护区、重点生态功能区等重要生态保护区域和环境敏感区域。</w:t>
            </w:r>
          </w:p>
        </w:tc>
        <w:tc>
          <w:tcPr>
            <w:tcW w:w="683" w:type="dxa"/>
            <w:vAlign w:val="center"/>
          </w:tcPr>
          <w:p w14:paraId="27A76BF8">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符合</w:t>
            </w:r>
          </w:p>
        </w:tc>
      </w:tr>
      <w:tr w14:paraId="0C63E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84" w:type="dxa"/>
            <w:vAlign w:val="center"/>
          </w:tcPr>
          <w:p w14:paraId="15097051">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w:t>
            </w:r>
          </w:p>
        </w:tc>
        <w:tc>
          <w:tcPr>
            <w:tcW w:w="4602" w:type="dxa"/>
            <w:vAlign w:val="center"/>
          </w:tcPr>
          <w:p w14:paraId="078C0839">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规划选线、选址应尽量避开基本农田保护区，不占或少占耕地。坚持节约集约利用土地资源，路网布局应尽量利用既有交通走廊。</w:t>
            </w:r>
          </w:p>
        </w:tc>
        <w:tc>
          <w:tcPr>
            <w:tcW w:w="2753" w:type="dxa"/>
            <w:vAlign w:val="center"/>
          </w:tcPr>
          <w:p w14:paraId="7B959566">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根据建设单位提供的资料，本项目不占用基本农田。</w:t>
            </w:r>
          </w:p>
        </w:tc>
        <w:tc>
          <w:tcPr>
            <w:tcW w:w="683" w:type="dxa"/>
            <w:vAlign w:val="center"/>
          </w:tcPr>
          <w:p w14:paraId="01437F4A">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符合</w:t>
            </w:r>
          </w:p>
        </w:tc>
      </w:tr>
      <w:tr w14:paraId="2B4E8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84" w:type="dxa"/>
            <w:vAlign w:val="center"/>
          </w:tcPr>
          <w:p w14:paraId="0B65A139">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w:t>
            </w:r>
          </w:p>
        </w:tc>
        <w:tc>
          <w:tcPr>
            <w:tcW w:w="4602" w:type="dxa"/>
            <w:vAlign w:val="center"/>
          </w:tcPr>
          <w:p w14:paraId="7E697598">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对新建公路以及通过环境敏感区的线路，应加强沿线生态治理和修复。</w:t>
            </w:r>
          </w:p>
        </w:tc>
        <w:tc>
          <w:tcPr>
            <w:tcW w:w="2753" w:type="dxa"/>
            <w:vAlign w:val="center"/>
          </w:tcPr>
          <w:p w14:paraId="18C64C8B">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本项目对路线建设对沿线跨越河流的影响进行了分析，并提出了相应的环境保护、生态治理及环境风险防范措施。</w:t>
            </w:r>
          </w:p>
        </w:tc>
        <w:tc>
          <w:tcPr>
            <w:tcW w:w="683" w:type="dxa"/>
            <w:vAlign w:val="center"/>
          </w:tcPr>
          <w:p w14:paraId="0668CB12">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符合</w:t>
            </w:r>
          </w:p>
        </w:tc>
      </w:tr>
    </w:tbl>
    <w:p w14:paraId="5B285BCD">
      <w:pPr>
        <w:keepNext w:val="0"/>
        <w:keepLines w:val="0"/>
        <w:pageBreakBefore w:val="0"/>
        <w:widowControl w:val="0"/>
        <w:tabs>
          <w:tab w:val="left" w:pos="2760"/>
        </w:tabs>
        <w:kinsoku/>
        <w:wordWrap/>
        <w:overflowPunct/>
        <w:topLinePunct w:val="0"/>
        <w:autoSpaceDE/>
        <w:autoSpaceDN/>
        <w:bidi w:val="0"/>
        <w:adjustRightInd w:val="0"/>
        <w:snapToGrid w:val="0"/>
        <w:spacing w:before="163" w:beforeLines="50"/>
        <w:ind w:right="14" w:rightChars="6" w:firstLine="480"/>
        <w:textAlignment w:val="auto"/>
        <w:rPr>
          <w:rFonts w:hint="default" w:ascii="Times New Roman" w:hAnsi="Times New Roman" w:cs="Times New Roman" w:eastAsiaTheme="minorEastAsia"/>
          <w:color w:val="auto"/>
          <w:szCs w:val="24"/>
        </w:rPr>
      </w:pPr>
      <w:r>
        <w:rPr>
          <w:rFonts w:hint="default" w:ascii="Times New Roman" w:hAnsi="Times New Roman" w:cs="Times New Roman" w:eastAsiaTheme="minorEastAsia"/>
          <w:color w:val="auto"/>
          <w:szCs w:val="24"/>
        </w:rPr>
        <w:t>根据《国家公路网规划环境影响报告书》审查意见的相关内容，认真落实上述规划环评报告书中提出的规划实施中可能产生的环境问题及相应的减缓措施，将对环境的影响降至最小，从环境保护的角度考虑，本项目与《国家公路网规划（2013-2030年）》是相符的。</w:t>
      </w:r>
    </w:p>
    <w:p w14:paraId="79222F77">
      <w:pPr>
        <w:keepNext/>
        <w:keepLines/>
        <w:widowControl w:val="0"/>
        <w:bidi w:val="0"/>
        <w:adjustRightInd w:val="0"/>
        <w:snapToGrid w:val="0"/>
        <w:spacing w:line="360" w:lineRule="auto"/>
        <w:ind w:firstLine="0" w:firstLineChars="0"/>
        <w:jc w:val="both"/>
        <w:outlineLvl w:val="3"/>
        <w:rPr>
          <w:rFonts w:hint="default" w:ascii="Times New Roman" w:hAnsi="Times New Roman" w:eastAsia="宋体" w:cs="Times New Roman"/>
          <w:b/>
          <w:bCs/>
          <w:color w:val="auto"/>
          <w:kern w:val="2"/>
          <w:sz w:val="24"/>
          <w:szCs w:val="28"/>
          <w:lang w:val="en-US" w:eastAsia="zh-CN" w:bidi="ar-SA"/>
        </w:rPr>
      </w:pPr>
      <w:r>
        <w:rPr>
          <w:rFonts w:hint="default" w:ascii="Times New Roman" w:hAnsi="Times New Roman" w:eastAsia="宋体" w:cs="Times New Roman"/>
          <w:b/>
          <w:bCs/>
          <w:color w:val="auto"/>
          <w:kern w:val="2"/>
          <w:sz w:val="24"/>
          <w:szCs w:val="28"/>
          <w:lang w:val="en-US" w:eastAsia="zh-CN" w:bidi="ar-SA"/>
        </w:rPr>
        <w:t>3.4.</w:t>
      </w:r>
      <w:r>
        <w:rPr>
          <w:rFonts w:hint="eastAsia" w:cs="Times New Roman"/>
          <w:b/>
          <w:bCs/>
          <w:color w:val="auto"/>
          <w:kern w:val="2"/>
          <w:sz w:val="24"/>
          <w:szCs w:val="28"/>
          <w:lang w:val="en-US" w:eastAsia="zh-CN" w:bidi="ar-SA"/>
        </w:rPr>
        <w:t>4</w:t>
      </w:r>
      <w:r>
        <w:rPr>
          <w:rFonts w:hint="default" w:ascii="Times New Roman" w:hAnsi="Times New Roman" w:eastAsia="宋体" w:cs="Times New Roman"/>
          <w:b/>
          <w:bCs/>
          <w:color w:val="auto"/>
          <w:kern w:val="2"/>
          <w:sz w:val="24"/>
          <w:szCs w:val="28"/>
          <w:lang w:val="en-US" w:eastAsia="zh-CN" w:bidi="ar-SA"/>
        </w:rPr>
        <w:t>.2 与《新疆维吾尔自治区公路网规划（2021-2050年）》及规划环评的符合性分析</w:t>
      </w:r>
    </w:p>
    <w:p w14:paraId="6D3D501C">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（1）与《新疆维吾尔自治区公路网规划（2021-2050年）》的符合性</w:t>
      </w:r>
    </w:p>
    <w:p w14:paraId="69C88F6A">
      <w:pPr>
        <w:tabs>
          <w:tab w:val="left" w:pos="2760"/>
        </w:tabs>
        <w:adjustRightInd w:val="0"/>
        <w:snapToGrid w:val="0"/>
        <w:ind w:right="14" w:rightChars="6" w:firstLine="480"/>
        <w:rPr>
          <w:rFonts w:hint="default" w:ascii="Times New Roman" w:hAnsi="Times New Roman" w:cs="Times New Roman" w:eastAsiaTheme="minorEastAsia"/>
          <w:color w:val="auto"/>
          <w:szCs w:val="24"/>
        </w:rPr>
      </w:pPr>
      <w:r>
        <w:rPr>
          <w:rFonts w:hint="default" w:ascii="Times New Roman" w:hAnsi="Times New Roman" w:cs="Times New Roman" w:eastAsiaTheme="minorEastAsia"/>
          <w:color w:val="auto"/>
          <w:szCs w:val="24"/>
        </w:rPr>
        <w:t>新疆的公路网的层次划分为快速公路网、干线公路网和基础公路网。干线公路网包括普通国道和普通省道。普通国道与国家高速公路共同构成全国性或区域性公路运输通道，主要承担</w:t>
      </w:r>
      <w:r>
        <w:rPr>
          <w:rFonts w:hint="eastAsia" w:cs="Times New Roman" w:eastAsiaTheme="minorEastAsia"/>
          <w:color w:val="auto"/>
          <w:szCs w:val="24"/>
          <w:lang w:eastAsia="zh-CN"/>
        </w:rPr>
        <w:t>国际</w:t>
      </w:r>
      <w:r>
        <w:rPr>
          <w:rFonts w:hint="default" w:ascii="Times New Roman" w:hAnsi="Times New Roman" w:cs="Times New Roman" w:eastAsiaTheme="minorEastAsia"/>
          <w:color w:val="auto"/>
          <w:szCs w:val="24"/>
        </w:rPr>
        <w:t>、区域间、省际间、城际间及通道沿线对出入便捷性要求较高的客货运输，主要联结首都与各省省会、自治区首府和直辖市，通达所有地级行政中心、城市和县城，</w:t>
      </w:r>
      <w:r>
        <w:rPr>
          <w:rFonts w:hint="default" w:ascii="Times New Roman" w:hAnsi="Times New Roman" w:cs="Times New Roman" w:eastAsiaTheme="minorEastAsia"/>
          <w:color w:val="auto"/>
          <w:szCs w:val="24"/>
          <w:lang w:eastAsia="zh-CN"/>
        </w:rPr>
        <w:t>覆盖</w:t>
      </w:r>
      <w:r>
        <w:rPr>
          <w:rFonts w:hint="default" w:ascii="Times New Roman" w:hAnsi="Times New Roman" w:cs="Times New Roman" w:eastAsiaTheme="minorEastAsia"/>
          <w:color w:val="auto"/>
          <w:szCs w:val="24"/>
        </w:rPr>
        <w:t>重要交通枢纽、口岸和战略要地，是全国普通干线公路网的主骨架，发挥干线作用，侧重于提供速度较快、可选择和应急替代的客货运输服务。普通省道主要承担省际间、城际间以及县城连通乡镇的运输需求，主要联结自治区首府、地级行政中心、城市、县城和重要乡镇，通达重要的经济开发区、交通枢纽及旅游景区，侧重于提供便捷、安全、普遍的客货运输服务。</w:t>
      </w:r>
    </w:p>
    <w:p w14:paraId="68DD8CAD">
      <w:pPr>
        <w:widowControl w:val="0"/>
        <w:adjustRightInd w:val="0"/>
        <w:snapToGrid w:val="0"/>
        <w:spacing w:line="360" w:lineRule="auto"/>
        <w:ind w:firstLine="480" w:firstLineChars="200"/>
        <w:jc w:val="both"/>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eastAsiaTheme="minorEastAsia"/>
          <w:color w:val="auto"/>
          <w:kern w:val="2"/>
          <w:sz w:val="24"/>
          <w:szCs w:val="24"/>
          <w:lang w:val="en-US" w:eastAsia="zh-CN" w:bidi="ar-SA"/>
        </w:rPr>
        <w:t>S227阿图什至喀什公路新建工程（隧道）属于《新疆维吾尔自治区公路网规划（2021-2050年）》中干线公路网（普通国省道）布局的重要组成部分，符合规划的相关要求。</w:t>
      </w:r>
    </w:p>
    <w:p w14:paraId="0401139D">
      <w:pPr>
        <w:keepNext w:val="0"/>
        <w:keepLines w:val="0"/>
        <w:widowControl/>
        <w:suppressLineNumbers w:val="0"/>
        <w:jc w:val="both"/>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（2）与规划环评及审查意见符合性</w:t>
      </w:r>
    </w:p>
    <w:p w14:paraId="573E701E">
      <w:pPr>
        <w:keepNext w:val="0"/>
        <w:keepLines w:val="0"/>
        <w:widowControl/>
        <w:suppressLineNumbers w:val="0"/>
        <w:jc w:val="both"/>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新疆盛源祥和环保工程有限公司于2020年10月承担了“新疆维吾尔自治区公路网规划（2021-2050年）环境影响报告书”的编制工作。2021年9月28日，新疆维吾尔自治区生态环境厅出具了《关于新疆维吾尔自治区公路网规划（2021-2050年）环境影响报告书的审查意见》（新环环评函〔2021〕880号）。</w:t>
      </w:r>
    </w:p>
    <w:p w14:paraId="5482EDB1">
      <w:pPr>
        <w:keepNext w:val="0"/>
        <w:keepLines w:val="0"/>
        <w:widowControl/>
        <w:suppressLineNumbers w:val="0"/>
        <w:jc w:val="both"/>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根据《新疆维吾尔自治区公路网规划（2021-2050年）环境影响报告书的审查意见》，结合该规划环评提出的主要环保措施，本项目与其符合性分析见表3.4-</w:t>
      </w:r>
      <w:r>
        <w:rPr>
          <w:rFonts w:hint="eastAsia" w:ascii="Times New Roman" w:hAnsi="Times New Roman" w:cs="Times New Roman"/>
          <w:color w:val="auto"/>
          <w:kern w:val="0"/>
          <w:sz w:val="24"/>
          <w:szCs w:val="24"/>
          <w:lang w:val="en-US" w:eastAsia="zh-CN" w:bidi="ar"/>
        </w:rPr>
        <w:t>4</w:t>
      </w:r>
      <w:r>
        <w:rPr>
          <w:rFonts w:hint="default" w:ascii="Times New Roman" w:hAnsi="Times New Roman" w:eastAsia="宋体" w:cs="Times New Roman"/>
          <w:color w:val="auto"/>
          <w:kern w:val="0"/>
          <w:sz w:val="24"/>
          <w:szCs w:val="24"/>
          <w:lang w:val="en-US" w:eastAsia="zh-CN" w:bidi="ar"/>
        </w:rPr>
        <w:t>。</w:t>
      </w:r>
    </w:p>
    <w:p w14:paraId="3E257C6A">
      <w:pPr>
        <w:widowControl/>
        <w:suppressAutoHyphens/>
        <w:topLinePunct/>
        <w:bidi w:val="0"/>
        <w:adjustRightInd w:val="0"/>
        <w:snapToGrid w:val="0"/>
        <w:spacing w:line="240" w:lineRule="auto"/>
        <w:ind w:firstLine="0" w:firstLineChars="0"/>
        <w:jc w:val="center"/>
        <w:rPr>
          <w:rFonts w:hint="default" w:ascii="Times New Roman" w:hAnsi="Times New Roman" w:eastAsia="宋体" w:cs="Times New Roman"/>
          <w:b/>
          <w:color w:val="auto"/>
          <w:kern w:val="0"/>
          <w:sz w:val="21"/>
          <w:szCs w:val="22"/>
          <w:lang w:val="en-US" w:eastAsia="zh-CN" w:bidi="ar-SA"/>
        </w:rPr>
      </w:pPr>
      <w:r>
        <w:rPr>
          <w:rFonts w:hint="default" w:ascii="Times New Roman" w:hAnsi="Times New Roman" w:eastAsia="宋体" w:cs="Times New Roman"/>
          <w:b/>
          <w:color w:val="auto"/>
          <w:kern w:val="0"/>
          <w:sz w:val="21"/>
          <w:szCs w:val="22"/>
          <w:lang w:val="en-US" w:eastAsia="zh-CN" w:bidi="ar-SA"/>
        </w:rPr>
        <w:t>表3.4</w:t>
      </w:r>
      <w:r>
        <w:rPr>
          <w:rFonts w:hint="default" w:ascii="Times New Roman" w:hAnsi="Times New Roman" w:eastAsia="宋体" w:cs="Times New Roman"/>
          <w:b/>
          <w:color w:val="auto"/>
          <w:kern w:val="0"/>
          <w:sz w:val="21"/>
          <w:szCs w:val="22"/>
          <w:highlight w:val="none"/>
          <w:lang w:val="en-US" w:eastAsia="zh-CN" w:bidi="ar-SA"/>
        </w:rPr>
        <w:t>-</w:t>
      </w:r>
      <w:r>
        <w:rPr>
          <w:rFonts w:hint="eastAsia" w:ascii="Times New Roman" w:hAnsi="Times New Roman" w:cs="Times New Roman"/>
          <w:b/>
          <w:color w:val="auto"/>
          <w:kern w:val="0"/>
          <w:sz w:val="21"/>
          <w:szCs w:val="22"/>
          <w:highlight w:val="none"/>
          <w:lang w:val="en-US" w:eastAsia="zh-CN" w:bidi="ar-SA"/>
        </w:rPr>
        <w:t>4</w:t>
      </w:r>
      <w:r>
        <w:rPr>
          <w:rFonts w:hint="default" w:ascii="Times New Roman" w:hAnsi="Times New Roman" w:eastAsia="宋体" w:cs="Times New Roman"/>
          <w:b/>
          <w:color w:val="auto"/>
          <w:kern w:val="0"/>
          <w:sz w:val="21"/>
          <w:szCs w:val="22"/>
          <w:highlight w:val="none"/>
          <w:lang w:val="en-US" w:eastAsia="zh-CN" w:bidi="ar-SA"/>
        </w:rPr>
        <w:t xml:space="preserve"> 项目与《新疆维</w:t>
      </w:r>
      <w:r>
        <w:rPr>
          <w:rFonts w:hint="default" w:ascii="Times New Roman" w:hAnsi="Times New Roman" w:eastAsia="宋体" w:cs="Times New Roman"/>
          <w:b/>
          <w:color w:val="auto"/>
          <w:kern w:val="0"/>
          <w:sz w:val="21"/>
          <w:szCs w:val="22"/>
          <w:lang w:val="en-US" w:eastAsia="zh-CN" w:bidi="ar-SA"/>
        </w:rPr>
        <w:t>吾尔自治区公路网规划环境影响报告书》及其审查意见符合性分析</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7"/>
        <w:gridCol w:w="3992"/>
        <w:gridCol w:w="864"/>
      </w:tblGrid>
      <w:tr w14:paraId="19587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67" w:type="dxa"/>
            <w:vAlign w:val="center"/>
          </w:tcPr>
          <w:p w14:paraId="66D4093F">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报告书及审查意见要求</w:t>
            </w:r>
          </w:p>
        </w:tc>
        <w:tc>
          <w:tcPr>
            <w:tcW w:w="3992" w:type="dxa"/>
            <w:vAlign w:val="center"/>
          </w:tcPr>
          <w:p w14:paraId="5A7836A8">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项目情况</w:t>
            </w:r>
          </w:p>
        </w:tc>
        <w:tc>
          <w:tcPr>
            <w:tcW w:w="864" w:type="dxa"/>
            <w:vAlign w:val="center"/>
          </w:tcPr>
          <w:p w14:paraId="1A1F4E49">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符合性</w:t>
            </w:r>
          </w:p>
        </w:tc>
      </w:tr>
      <w:tr w14:paraId="00C38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67" w:type="dxa"/>
            <w:vAlign w:val="top"/>
          </w:tcPr>
          <w:p w14:paraId="6C5A312C">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取土、弃渣场、施工场地等临时工程不得占用自然保护区、风景名胜区等特殊生态敏感区及基本农田保护区，尽量避免占用天然林地、重要湿地、耕地集中分布区域等生态脆弱区、地质灾害易发区。施工场地尽量利用永久占地，取、弃土场要求集中设置，不得占用河道等，弃渣场宜选择在荒地、劣质地、凹地等。严禁在风景名胜区、森林公园等环境敏感区内设置弃渣场，伴河路段产生的弃渣严禁随意堆弃，全部就近弃入附近指定的弃渣场内。取土、弃渣场等临时工程，尤其是弃渣场，应按照相关技术规范进行挡渣墙、截排水沟等设计，确保弃渣场稳定性，</w:t>
            </w:r>
            <w:r>
              <w:rPr>
                <w:rFonts w:hint="eastAsia" w:cs="Times New Roman"/>
                <w:color w:val="auto"/>
                <w:kern w:val="2"/>
                <w:sz w:val="21"/>
                <w:szCs w:val="21"/>
                <w:lang w:val="en-US" w:eastAsia="zh-CN" w:bidi="ar-SA"/>
              </w:rPr>
              <w:t>防止</w:t>
            </w:r>
            <w:r>
              <w:rPr>
                <w:rFonts w:hint="default" w:ascii="Times New Roman" w:hAnsi="Times New Roman" w:eastAsia="宋体" w:cs="Times New Roman"/>
                <w:color w:val="auto"/>
                <w:kern w:val="2"/>
                <w:sz w:val="21"/>
                <w:szCs w:val="21"/>
                <w:lang w:val="en-US" w:eastAsia="zh-CN" w:bidi="ar-SA"/>
              </w:rPr>
              <w:t>水土流失；取土深度不超过4m，首先应尽量利用弃方，取弃土相结合，减少取土量。</w:t>
            </w:r>
          </w:p>
        </w:tc>
        <w:tc>
          <w:tcPr>
            <w:tcW w:w="3992" w:type="dxa"/>
            <w:vAlign w:val="top"/>
          </w:tcPr>
          <w:p w14:paraId="5F746AD1">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本项目</w:t>
            </w:r>
            <w:r>
              <w:rPr>
                <w:rFonts w:hint="default" w:ascii="Times New Roman" w:hAnsi="Times New Roman" w:cs="Times New Roman"/>
                <w:color w:val="auto"/>
                <w:kern w:val="2"/>
                <w:sz w:val="21"/>
                <w:szCs w:val="21"/>
                <w:lang w:val="en-US" w:eastAsia="zh-CN" w:bidi="ar-SA"/>
              </w:rPr>
              <w:t>线路不涉及自然保护区、风景名胜区及基本农田保护区，不占用天然林地、重要湿地等生态脆弱区</w:t>
            </w:r>
            <w:r>
              <w:rPr>
                <w:rFonts w:hint="default" w:ascii="Times New Roman" w:hAnsi="Times New Roman" w:eastAsia="宋体" w:cs="Times New Roman"/>
                <w:color w:val="auto"/>
                <w:kern w:val="2"/>
                <w:sz w:val="21"/>
                <w:szCs w:val="21"/>
                <w:lang w:val="en-US" w:eastAsia="zh-CN" w:bidi="ar-SA"/>
              </w:rPr>
              <w:t>。临时工程未占用河道管理范围，施工过程中涉及路基工程开挖土石弃方、特殊路基处理挖方、桥梁基础出渣及清表土（其中腐殖质含量较低的清废土）等，对于弃方尽可能地使用于公路建设。</w:t>
            </w:r>
          </w:p>
        </w:tc>
        <w:tc>
          <w:tcPr>
            <w:tcW w:w="864" w:type="dxa"/>
            <w:vAlign w:val="center"/>
          </w:tcPr>
          <w:p w14:paraId="519EE427">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符合</w:t>
            </w:r>
          </w:p>
        </w:tc>
      </w:tr>
      <w:tr w14:paraId="07053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67" w:type="dxa"/>
            <w:vAlign w:val="top"/>
          </w:tcPr>
          <w:p w14:paraId="0966648D">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严格按照土地管理法的相关要求，避开基本农田和一般耕地，对确实难以避让的耕地应做好占补平衡，对基本农田应报送国务院审批，做好占一补一，占补平衡；没有条件开垦的，应缴纳相应的耕地开垦费，以保障耕地资源的总量平衡。</w:t>
            </w:r>
          </w:p>
        </w:tc>
        <w:tc>
          <w:tcPr>
            <w:tcW w:w="3992" w:type="dxa"/>
            <w:vAlign w:val="center"/>
          </w:tcPr>
          <w:p w14:paraId="20BB6CC1">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本项目不占用基本农田，项目占用土地的相关手续已办理完成。</w:t>
            </w:r>
          </w:p>
        </w:tc>
        <w:tc>
          <w:tcPr>
            <w:tcW w:w="864" w:type="dxa"/>
            <w:vAlign w:val="center"/>
          </w:tcPr>
          <w:p w14:paraId="0296D693">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符合</w:t>
            </w:r>
          </w:p>
        </w:tc>
      </w:tr>
      <w:tr w14:paraId="58BAB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67" w:type="dxa"/>
            <w:vAlign w:val="top"/>
          </w:tcPr>
          <w:p w14:paraId="70888B7E">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在公路项目路线跨越及临近Ⅰ、Ⅱ类水体等敏感路段设置警示牌，加强路线两侧防撞护栏的设计。对桥梁设置桥面径流收集系统，同时在桥梁两端设置沉淀池并</w:t>
            </w:r>
            <w:r>
              <w:rPr>
                <w:rFonts w:hint="eastAsia" w:cs="Times New Roman"/>
                <w:color w:val="auto"/>
                <w:kern w:val="2"/>
                <w:sz w:val="21"/>
                <w:szCs w:val="21"/>
                <w:lang w:val="en-US" w:eastAsia="zh-CN" w:bidi="ar-SA"/>
              </w:rPr>
              <w:t>做</w:t>
            </w:r>
            <w:r>
              <w:rPr>
                <w:rFonts w:hint="default" w:ascii="Times New Roman" w:hAnsi="Times New Roman" w:eastAsia="宋体" w:cs="Times New Roman"/>
                <w:color w:val="auto"/>
                <w:kern w:val="2"/>
                <w:sz w:val="21"/>
                <w:szCs w:val="21"/>
                <w:lang w:val="en-US" w:eastAsia="zh-CN" w:bidi="ar-SA"/>
              </w:rPr>
              <w:t>防渗处理，此外，应根据公路相关设计规范设计桥梁防撞护栏的相应防撞等级。</w:t>
            </w:r>
          </w:p>
        </w:tc>
        <w:tc>
          <w:tcPr>
            <w:tcW w:w="3992" w:type="dxa"/>
            <w:vAlign w:val="center"/>
          </w:tcPr>
          <w:p w14:paraId="68B805F8">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本项目</w:t>
            </w:r>
            <w:r>
              <w:rPr>
                <w:rFonts w:hint="default" w:ascii="Times New Roman" w:hAnsi="Times New Roman" w:cs="Times New Roman"/>
                <w:color w:val="auto"/>
                <w:kern w:val="2"/>
                <w:sz w:val="21"/>
                <w:szCs w:val="21"/>
                <w:lang w:val="en-US" w:eastAsia="zh-CN" w:bidi="ar-SA"/>
              </w:rPr>
              <w:t>不跨越自然水体</w:t>
            </w:r>
            <w:r>
              <w:rPr>
                <w:rFonts w:hint="default" w:ascii="Times New Roman" w:hAnsi="Times New Roman" w:eastAsia="宋体" w:cs="Times New Roman"/>
                <w:color w:val="auto"/>
                <w:kern w:val="2"/>
                <w:sz w:val="21"/>
                <w:szCs w:val="21"/>
                <w:lang w:val="en-US" w:eastAsia="zh-CN" w:bidi="ar-SA"/>
              </w:rPr>
              <w:t>。</w:t>
            </w:r>
          </w:p>
        </w:tc>
        <w:tc>
          <w:tcPr>
            <w:tcW w:w="864" w:type="dxa"/>
            <w:vAlign w:val="center"/>
          </w:tcPr>
          <w:p w14:paraId="0CB20A29">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符合</w:t>
            </w:r>
          </w:p>
        </w:tc>
      </w:tr>
      <w:tr w14:paraId="20E74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67" w:type="dxa"/>
            <w:vAlign w:val="top"/>
          </w:tcPr>
          <w:p w14:paraId="65393704">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若服务区、收费站等沿线设施附近无城市污水管网分布，应在服务区、收费站等沿线设施内设置地埋式一体化设备等污水处理设施，处理后回用服务区、收费站及高速公路沿线绿化，不外排。</w:t>
            </w:r>
          </w:p>
        </w:tc>
        <w:tc>
          <w:tcPr>
            <w:tcW w:w="3992" w:type="dxa"/>
            <w:vAlign w:val="center"/>
          </w:tcPr>
          <w:p w14:paraId="431AA527">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本项目运营期不设置服务区、加油站等附属设施。项目运营期</w:t>
            </w:r>
            <w:r>
              <w:rPr>
                <w:rFonts w:hint="default" w:ascii="Times New Roman" w:hAnsi="Times New Roman" w:cs="Times New Roman"/>
                <w:color w:val="auto"/>
                <w:kern w:val="2"/>
                <w:sz w:val="21"/>
                <w:szCs w:val="21"/>
                <w:lang w:val="en-US" w:eastAsia="zh-CN" w:bidi="ar-SA"/>
              </w:rPr>
              <w:t>收费站生活污水采用地埋式一体化污水处理设施处理后绿化</w:t>
            </w:r>
            <w:r>
              <w:rPr>
                <w:rFonts w:hint="default" w:ascii="Times New Roman" w:hAnsi="Times New Roman" w:eastAsia="宋体" w:cs="Times New Roman"/>
                <w:color w:val="auto"/>
                <w:kern w:val="2"/>
                <w:sz w:val="21"/>
                <w:szCs w:val="21"/>
                <w:lang w:val="en-US" w:eastAsia="zh-CN" w:bidi="ar-SA"/>
              </w:rPr>
              <w:t>。</w:t>
            </w:r>
          </w:p>
        </w:tc>
        <w:tc>
          <w:tcPr>
            <w:tcW w:w="864" w:type="dxa"/>
            <w:vAlign w:val="center"/>
          </w:tcPr>
          <w:p w14:paraId="280B4112">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符合</w:t>
            </w:r>
          </w:p>
        </w:tc>
      </w:tr>
      <w:tr w14:paraId="6BE2B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67" w:type="dxa"/>
            <w:vAlign w:val="top"/>
          </w:tcPr>
          <w:p w14:paraId="1887FC6D">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建立防噪声屏障，在公路边设置防噪声屏障是降噪的有效手段之一，在公路沿线附近的居民区、学校、医院等声环境敏感目标，当交通噪声对其有严重干扰时，应在相应的公路的路侧设置声屏障；对于高层住宅，优先设置全封闭或者半封闭声屏障，若无条件，需全部采取隔声窗措施；对于道路两侧零散住户，距离道路大于200m 以上住户，采取隔声窗措施。</w:t>
            </w:r>
          </w:p>
        </w:tc>
        <w:tc>
          <w:tcPr>
            <w:tcW w:w="3992" w:type="dxa"/>
            <w:vAlign w:val="center"/>
          </w:tcPr>
          <w:p w14:paraId="06802E8B">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本项目采取使用低噪路面结构，加强交通管控等措施减轻噪声污染。本项目沿线无声环境敏感目标。</w:t>
            </w:r>
          </w:p>
        </w:tc>
        <w:tc>
          <w:tcPr>
            <w:tcW w:w="864" w:type="dxa"/>
            <w:vAlign w:val="center"/>
          </w:tcPr>
          <w:p w14:paraId="5702092D">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符合</w:t>
            </w:r>
          </w:p>
        </w:tc>
      </w:tr>
      <w:tr w14:paraId="109E4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67" w:type="dxa"/>
            <w:vAlign w:val="top"/>
          </w:tcPr>
          <w:p w14:paraId="2EA0CEA4">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各施工场地须设置生活垃圾收集设施，施工人员产生的生活垃圾经垃圾桶收集后，统一运送到垃圾处理厂集中处理，不可就地填埋，避免对周围居民区环境空气和水环境质量造成潜在的影响。制定合理的施工方案，挖方尽量进行场地回填、平整，最大限度减少弃方量。如有多余的弃方，需外运至市政部门指定的弃土场。同时，项目拟通过合理安排施工工序，分段、逐片开挖，避开雨季施工，加强临时堆场，减少水土流失的影响；其次控制废弃土石和回填土临时堆放场的面积和堆放量，并在土石堆上覆盖塑料薄膜，以及在临时堆放场地周围设置导流明渠，避免雨水冲刷造成水土流失。</w:t>
            </w:r>
          </w:p>
        </w:tc>
        <w:tc>
          <w:tcPr>
            <w:tcW w:w="3992" w:type="dxa"/>
            <w:vAlign w:val="top"/>
          </w:tcPr>
          <w:p w14:paraId="6BF9C802">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项目施工过程中设置合适的临时生活垃圾收集桶，及时收集生活垃圾；</w:t>
            </w:r>
          </w:p>
          <w:p w14:paraId="41C92957">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本项目施工期间严格落实环境保护监理制度，施工期结束后在临时占地迹地恢复的过程中要加强固体废物处置。</w:t>
            </w:r>
          </w:p>
        </w:tc>
        <w:tc>
          <w:tcPr>
            <w:tcW w:w="864" w:type="dxa"/>
            <w:vAlign w:val="center"/>
          </w:tcPr>
          <w:p w14:paraId="5F4DE37F">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符合</w:t>
            </w:r>
          </w:p>
        </w:tc>
      </w:tr>
    </w:tbl>
    <w:p w14:paraId="377A625C">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综上所述，项目的建设符合《新疆维吾尔自治区公路网规划（2021-2050年）》及规划环评报告书和审查意见的相关要求。</w:t>
      </w:r>
    </w:p>
    <w:p w14:paraId="6C731D01">
      <w:pPr>
        <w:keepNext/>
        <w:keepLines/>
        <w:widowControl w:val="0"/>
        <w:bidi w:val="0"/>
        <w:adjustRightInd w:val="0"/>
        <w:snapToGrid w:val="0"/>
        <w:spacing w:line="360" w:lineRule="auto"/>
        <w:ind w:firstLine="0" w:firstLineChars="0"/>
        <w:jc w:val="both"/>
        <w:outlineLvl w:val="3"/>
        <w:rPr>
          <w:rFonts w:hint="default" w:ascii="Times New Roman" w:hAnsi="Times New Roman" w:eastAsia="宋体" w:cs="Times New Roman"/>
          <w:b/>
          <w:bCs/>
          <w:color w:val="auto"/>
          <w:kern w:val="2"/>
          <w:sz w:val="24"/>
          <w:szCs w:val="28"/>
          <w:lang w:val="en-US" w:eastAsia="zh-CN" w:bidi="ar-SA"/>
        </w:rPr>
      </w:pPr>
      <w:r>
        <w:rPr>
          <w:rFonts w:hint="default" w:ascii="Times New Roman" w:hAnsi="Times New Roman" w:eastAsia="宋体" w:cs="Times New Roman"/>
          <w:b/>
          <w:bCs/>
          <w:color w:val="auto"/>
          <w:kern w:val="2"/>
          <w:sz w:val="24"/>
          <w:szCs w:val="28"/>
          <w:lang w:val="en-US" w:eastAsia="zh-CN" w:bidi="ar-SA"/>
        </w:rPr>
        <w:t>3.4.</w:t>
      </w:r>
      <w:r>
        <w:rPr>
          <w:rFonts w:hint="eastAsia" w:cs="Times New Roman"/>
          <w:b/>
          <w:bCs/>
          <w:color w:val="auto"/>
          <w:kern w:val="2"/>
          <w:sz w:val="24"/>
          <w:szCs w:val="28"/>
          <w:lang w:val="en-US" w:eastAsia="zh-CN" w:bidi="ar-SA"/>
        </w:rPr>
        <w:t>4</w:t>
      </w:r>
      <w:r>
        <w:rPr>
          <w:rFonts w:hint="default" w:ascii="Times New Roman" w:hAnsi="Times New Roman" w:eastAsia="宋体" w:cs="Times New Roman"/>
          <w:b/>
          <w:bCs/>
          <w:color w:val="auto"/>
          <w:kern w:val="2"/>
          <w:sz w:val="24"/>
          <w:szCs w:val="28"/>
          <w:lang w:val="en-US" w:eastAsia="zh-CN" w:bidi="ar-SA"/>
        </w:rPr>
        <w:t>.3 与《新疆维吾尔自治区“十四五”综合交通规划》及规划环评的符合性分析</w:t>
      </w:r>
    </w:p>
    <w:p w14:paraId="0E4CDF31">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eastAsia="等线" w:cs="Times New Roman"/>
          <w:color w:val="auto"/>
          <w:kern w:val="0"/>
          <w:sz w:val="24"/>
          <w:szCs w:val="24"/>
          <w:lang w:val="en-US" w:eastAsia="zh-CN" w:bidi="ar"/>
        </w:rPr>
        <w:t>1</w:t>
      </w:r>
      <w:r>
        <w:rPr>
          <w:rFonts w:hint="default" w:ascii="Times New Roman" w:hAnsi="Times New Roman" w:eastAsia="宋体" w:cs="Times New Roman"/>
          <w:color w:val="auto"/>
          <w:kern w:val="0"/>
          <w:sz w:val="24"/>
          <w:szCs w:val="24"/>
          <w:lang w:val="en-US" w:eastAsia="zh-CN" w:bidi="ar"/>
        </w:rPr>
        <w:t>）与《新疆维吾尔自治区</w:t>
      </w:r>
      <w:r>
        <w:rPr>
          <w:rFonts w:hint="default" w:ascii="Times New Roman" w:hAnsi="Times New Roman" w:eastAsia="等线"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十四五</w:t>
      </w:r>
      <w:r>
        <w:rPr>
          <w:rFonts w:hint="default" w:ascii="Times New Roman" w:hAnsi="Times New Roman" w:eastAsia="等线"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综合交通规划》的符合性</w:t>
      </w:r>
    </w:p>
    <w:p w14:paraId="325C2BFF">
      <w:pPr>
        <w:keepNext w:val="0"/>
        <w:keepLines w:val="0"/>
        <w:pageBreakBefore w:val="0"/>
        <w:widowControl/>
        <w:suppressLineNumbers w:val="0"/>
        <w:kinsoku/>
        <w:wordWrap/>
        <w:overflowPunct/>
        <w:topLinePunct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根据《新疆维吾尔自治区“十四五”交通运输发展规划》</w:t>
      </w:r>
      <w:r>
        <w:rPr>
          <w:rFonts w:hint="default" w:ascii="Times New Roman" w:hAnsi="Times New Roman" w:eastAsia="宋体" w:cs="Times New Roman"/>
          <w:color w:val="auto"/>
          <w:lang w:val="en-US" w:eastAsia="zh-CN"/>
        </w:rPr>
        <w:t>（新交综〔2019〕10号）</w:t>
      </w:r>
      <w:r>
        <w:rPr>
          <w:rFonts w:hint="default" w:ascii="Times New Roman" w:hAnsi="Times New Roman" w:eastAsia="宋体" w:cs="Times New Roman"/>
          <w:color w:val="auto"/>
          <w:kern w:val="0"/>
          <w:sz w:val="24"/>
          <w:szCs w:val="24"/>
          <w:lang w:val="en-US" w:eastAsia="zh-CN" w:bidi="ar"/>
        </w:rPr>
        <w:t>：交通脱贫攻坚扎实推进，全面小康拖地目标提前实现。建设投资进一步向南疆四地州倾斜，交通基础设施网络进一步完善。</w:t>
      </w:r>
    </w:p>
    <w:p w14:paraId="78648CF1">
      <w:pPr>
        <w:keepNext w:val="0"/>
        <w:keepLines w:val="0"/>
        <w:pageBreakBefore w:val="0"/>
        <w:widowControl/>
        <w:suppressLineNumbers w:val="0"/>
        <w:kinsoku/>
        <w:wordWrap/>
        <w:overflowPunct/>
        <w:topLinePunct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项目处于丝绸之路经济带南通道的发展片区，对于构建完整的公路网络，打造丝绸之路经济带核心区交通枢纽中心具有重要的意义，本项目的建设可大大改善阿图什市与喀什市居民出行条件，同时提高和改善乡村公路的通行能力。</w:t>
      </w:r>
    </w:p>
    <w:p w14:paraId="3669CE0D">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因此本项目符合《新疆维吾尔自治区“十四五”交通运输发展规划》。</w:t>
      </w:r>
    </w:p>
    <w:p w14:paraId="162C6D0F">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（2）与规划环评及审查意见符合性</w:t>
      </w:r>
    </w:p>
    <w:p w14:paraId="71A8FA99">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新疆维吾尔自治区生态环境厅以新环环评函﹝2022﹞76号文出具了关于《新疆维吾尔自治区</w:t>
      </w:r>
      <w:r>
        <w:rPr>
          <w:rFonts w:hint="default" w:ascii="Times New Roman" w:hAnsi="Times New Roman" w:eastAsia="等线"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十四五</w:t>
      </w:r>
      <w:r>
        <w:rPr>
          <w:rFonts w:hint="default" w:ascii="Times New Roman" w:hAnsi="Times New Roman" w:eastAsia="等线"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综合交通规划环境影响报告书》的审查意见。</w:t>
      </w:r>
    </w:p>
    <w:p w14:paraId="1E36EDFA">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①环境影响报告书符合性</w:t>
      </w:r>
    </w:p>
    <w:p w14:paraId="00FD3FDC">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环境影响报告书中提出：“在建设项目环评阶段，应进一步详细调查沿线环境敏感区的分布情况，对于穿越生态保护红线和新设立自然保护区禁建区的项目，应优化线路方案，从环保角度进行多方案比选，采取避让措施，确实无法避让的应履行相关手续，集约利用交通廊道资源，采用共线设计、桥隧相连等方式，根据线路穿越生态保护红线区的长度，短路线可采用桥梁等无害化方式跨越，长线路可考虑避绕等措施，最大限度减少对生态敏感区的干扰，保护好原有的地形地貌，使工程项目与自然环境有机融合。”</w:t>
      </w:r>
    </w:p>
    <w:p w14:paraId="71CCF3E0">
      <w:pPr>
        <w:keepNext w:val="0"/>
        <w:keepLines w:val="0"/>
        <w:widowControl/>
        <w:suppressLineNumbers w:val="0"/>
        <w:jc w:val="left"/>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符合性分析：本项目的建设将有效解决阿图什市与喀什市路网结构不合理，通行效率低下，时常出行拥堵的交通问题，本项目建设有利于加快推进“南疆城市群”“双什一体化”发展格局，完善“双什”交通路网结构，缓解当前G3012及G314线的交通压力，有利于阿图什市依托喀什自贸试验区及自身区位优势打造西部重要边贸城市、加速经济发展。</w:t>
      </w:r>
    </w:p>
    <w:p w14:paraId="4C217773">
      <w:pPr>
        <w:keepNext w:val="0"/>
        <w:keepLines w:val="0"/>
        <w:widowControl/>
        <w:suppressLineNumbers w:val="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本工程着力提升了公路技术等级、服务能力和水平，对新建路段进行了多方案比选、合理布线，减少占地；沿线未穿越禁止开发区域和城市建成区、自然保护区核心区和缓冲区、饮用水水源保护区、世界文化与自然遗产地核心区等环境敏感区域，本项目选线已避免了公路建设对生态脆弱区、环境敏感区造成的不良影响。</w:t>
      </w:r>
    </w:p>
    <w:p w14:paraId="4FBD96E3">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②审查意见符合性</w:t>
      </w:r>
    </w:p>
    <w:p w14:paraId="590C718C">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本项目与《新疆维吾尔自治区“十四五”综合交通规划环境影响报告书》审查意见符合性分析见表3.</w:t>
      </w:r>
      <w:r>
        <w:rPr>
          <w:rFonts w:hint="eastAsia" w:cs="Times New Roman"/>
          <w:color w:val="auto"/>
          <w:kern w:val="0"/>
          <w:sz w:val="24"/>
          <w:szCs w:val="24"/>
          <w:lang w:val="en-US" w:eastAsia="zh-CN" w:bidi="ar"/>
        </w:rPr>
        <w:t>4</w:t>
      </w:r>
      <w:r>
        <w:rPr>
          <w:rFonts w:hint="default" w:ascii="Times New Roman" w:hAnsi="Times New Roman" w:eastAsia="宋体" w:cs="Times New Roman"/>
          <w:color w:val="auto"/>
          <w:kern w:val="0"/>
          <w:sz w:val="24"/>
          <w:szCs w:val="24"/>
          <w:lang w:val="en-US" w:eastAsia="zh-CN" w:bidi="ar"/>
        </w:rPr>
        <w:t>-</w:t>
      </w:r>
      <w:r>
        <w:rPr>
          <w:rFonts w:hint="eastAsia" w:cs="Times New Roman"/>
          <w:color w:val="auto"/>
          <w:kern w:val="0"/>
          <w:sz w:val="24"/>
          <w:szCs w:val="24"/>
          <w:lang w:val="en-US" w:eastAsia="zh-CN" w:bidi="ar"/>
        </w:rPr>
        <w:t>5</w:t>
      </w:r>
      <w:r>
        <w:rPr>
          <w:rFonts w:hint="default" w:ascii="Times New Roman" w:hAnsi="Times New Roman" w:eastAsia="宋体" w:cs="Times New Roman"/>
          <w:color w:val="auto"/>
          <w:kern w:val="0"/>
          <w:sz w:val="24"/>
          <w:szCs w:val="24"/>
          <w:lang w:val="en-US" w:eastAsia="zh-CN" w:bidi="ar"/>
        </w:rPr>
        <w:t>。</w:t>
      </w:r>
    </w:p>
    <w:p w14:paraId="268AEE7E">
      <w:pPr>
        <w:widowControl/>
        <w:suppressAutoHyphens/>
        <w:topLinePunct/>
        <w:bidi w:val="0"/>
        <w:adjustRightInd w:val="0"/>
        <w:snapToGrid w:val="0"/>
        <w:spacing w:line="240" w:lineRule="auto"/>
        <w:ind w:firstLine="0" w:firstLineChars="0"/>
        <w:jc w:val="center"/>
        <w:rPr>
          <w:rFonts w:hint="default" w:ascii="Times New Roman" w:hAnsi="Times New Roman" w:eastAsia="宋体" w:cs="Times New Roman"/>
          <w:b/>
          <w:color w:val="auto"/>
          <w:kern w:val="0"/>
          <w:sz w:val="21"/>
          <w:szCs w:val="22"/>
          <w:lang w:val="en-US" w:eastAsia="zh-CN" w:bidi="ar-SA"/>
        </w:rPr>
      </w:pPr>
      <w:r>
        <w:rPr>
          <w:rFonts w:hint="default" w:ascii="Times New Roman" w:hAnsi="Times New Roman" w:eastAsia="宋体" w:cs="Times New Roman"/>
          <w:b/>
          <w:color w:val="auto"/>
          <w:kern w:val="0"/>
          <w:sz w:val="21"/>
          <w:szCs w:val="22"/>
          <w:lang w:val="en-US" w:eastAsia="zh-CN" w:bidi="ar-SA"/>
        </w:rPr>
        <w:t>表3.</w:t>
      </w:r>
      <w:r>
        <w:rPr>
          <w:rFonts w:hint="eastAsia" w:cs="Times New Roman"/>
          <w:b/>
          <w:color w:val="auto"/>
          <w:kern w:val="0"/>
          <w:sz w:val="21"/>
          <w:szCs w:val="22"/>
          <w:lang w:val="en-US" w:eastAsia="zh-CN" w:bidi="ar-SA"/>
        </w:rPr>
        <w:t>4</w:t>
      </w:r>
      <w:r>
        <w:rPr>
          <w:rFonts w:hint="default" w:ascii="Times New Roman" w:hAnsi="Times New Roman" w:eastAsia="宋体" w:cs="Times New Roman"/>
          <w:b/>
          <w:color w:val="auto"/>
          <w:kern w:val="0"/>
          <w:sz w:val="21"/>
          <w:szCs w:val="22"/>
          <w:lang w:val="en-US" w:eastAsia="zh-CN" w:bidi="ar-SA"/>
        </w:rPr>
        <w:t>-</w:t>
      </w:r>
      <w:r>
        <w:rPr>
          <w:rFonts w:hint="eastAsia" w:cs="Times New Roman"/>
          <w:b/>
          <w:color w:val="auto"/>
          <w:kern w:val="0"/>
          <w:sz w:val="21"/>
          <w:szCs w:val="22"/>
          <w:lang w:val="en-US" w:eastAsia="zh-CN" w:bidi="ar-SA"/>
        </w:rPr>
        <w:t>5</w:t>
      </w:r>
      <w:r>
        <w:rPr>
          <w:rFonts w:hint="default" w:ascii="Times New Roman" w:hAnsi="Times New Roman" w:eastAsia="宋体" w:cs="Times New Roman"/>
          <w:b/>
          <w:color w:val="auto"/>
          <w:kern w:val="0"/>
          <w:sz w:val="21"/>
          <w:szCs w:val="22"/>
          <w:lang w:val="en-US" w:eastAsia="zh-CN" w:bidi="ar-SA"/>
        </w:rPr>
        <w:t>项目与</w:t>
      </w:r>
      <w:r>
        <w:rPr>
          <w:rFonts w:hint="default" w:ascii="Times New Roman" w:hAnsi="Times New Roman" w:eastAsia="宋体" w:cs="Times New Roman"/>
          <w:b/>
          <w:color w:val="auto"/>
          <w:kern w:val="0"/>
          <w:sz w:val="21"/>
          <w:szCs w:val="22"/>
          <w:highlight w:val="none"/>
          <w:lang w:val="en-US" w:eastAsia="zh-CN" w:bidi="ar-SA"/>
        </w:rPr>
        <w:t>新疆“十四五”综合交通</w:t>
      </w:r>
      <w:r>
        <w:rPr>
          <w:rFonts w:hint="default" w:ascii="Times New Roman" w:hAnsi="Times New Roman" w:eastAsia="宋体" w:cs="Times New Roman"/>
          <w:b/>
          <w:color w:val="auto"/>
          <w:kern w:val="0"/>
          <w:sz w:val="21"/>
          <w:szCs w:val="22"/>
          <w:lang w:val="en-US" w:eastAsia="zh-CN" w:bidi="ar-SA"/>
        </w:rPr>
        <w:t>规划环评审查意见符合性分析</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40"/>
        <w:gridCol w:w="4004"/>
        <w:gridCol w:w="979"/>
      </w:tblGrid>
      <w:tr w14:paraId="502C6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0" w:type="dxa"/>
            <w:vAlign w:val="center"/>
          </w:tcPr>
          <w:p w14:paraId="22E63893">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审查意见要求</w:t>
            </w:r>
          </w:p>
        </w:tc>
        <w:tc>
          <w:tcPr>
            <w:tcW w:w="4004" w:type="dxa"/>
            <w:vAlign w:val="center"/>
          </w:tcPr>
          <w:p w14:paraId="7D3C88ED">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项目情况</w:t>
            </w:r>
          </w:p>
        </w:tc>
        <w:tc>
          <w:tcPr>
            <w:tcW w:w="979" w:type="dxa"/>
            <w:vAlign w:val="center"/>
          </w:tcPr>
          <w:p w14:paraId="6FE516A9">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符合性</w:t>
            </w:r>
          </w:p>
        </w:tc>
      </w:tr>
      <w:tr w14:paraId="52FFD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0" w:type="dxa"/>
          </w:tcPr>
          <w:p w14:paraId="51EFA3A3">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坚持生态优先、绿色发展。根据区域发展战略和主体功能定位，坚持生态保护优先，从顶层设计和源头控制着手，防范环境污染和生态破坏。针对规划涉及区域较为突出的生态环境问题，进一步完善生态环境目标和“三线一单”管控要求。统筹考虑环境敏感区、生态脆弱区、重要物种生境的分布等情况，切实落实各项生态环境保护要求，协同推进生态环境高水平保护和经济高质量发展。</w:t>
            </w:r>
          </w:p>
        </w:tc>
        <w:tc>
          <w:tcPr>
            <w:tcW w:w="4004" w:type="dxa"/>
            <w:vAlign w:val="center"/>
          </w:tcPr>
          <w:p w14:paraId="2F276EA8">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本项目</w:t>
            </w:r>
            <w:r>
              <w:rPr>
                <w:rFonts w:hint="default" w:ascii="Times New Roman" w:hAnsi="Times New Roman" w:cs="Times New Roman"/>
                <w:color w:val="auto"/>
                <w:kern w:val="2"/>
                <w:sz w:val="21"/>
                <w:szCs w:val="21"/>
                <w:lang w:val="en-US" w:eastAsia="zh-CN" w:bidi="ar-SA"/>
              </w:rPr>
              <w:t>线路不涉及自然保护区、风景名胜区等生态脆弱区，</w:t>
            </w:r>
            <w:r>
              <w:rPr>
                <w:rFonts w:hint="default" w:ascii="Times New Roman" w:hAnsi="Times New Roman" w:eastAsia="宋体" w:cs="Times New Roman"/>
                <w:color w:val="auto"/>
                <w:kern w:val="2"/>
                <w:sz w:val="21"/>
                <w:szCs w:val="21"/>
                <w:lang w:val="en-US" w:eastAsia="zh-CN" w:bidi="ar-SA"/>
              </w:rPr>
              <w:t>报告提出了严格的环境保护措施，建设单位在切实落实各项生态环境保护措施后，本项目所产生的负面影响是可以得到有效控制的，并基本能为环境所接受。</w:t>
            </w:r>
          </w:p>
        </w:tc>
        <w:tc>
          <w:tcPr>
            <w:tcW w:w="979" w:type="dxa"/>
            <w:vAlign w:val="center"/>
          </w:tcPr>
          <w:p w14:paraId="1F1D4672">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符合</w:t>
            </w:r>
          </w:p>
        </w:tc>
      </w:tr>
      <w:tr w14:paraId="0CB9D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0" w:type="dxa"/>
          </w:tcPr>
          <w:p w14:paraId="070A2C22">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严格保护生态空间，优化规划布局。主动对接国家、自治区国土空间规划，加强与“三线一单”分区管控等有关要求的衔接，确保符合相关管控和保护要求，实现综合交通与生态环境保护、人居环境安全相协调。进一步优化运输通道和枢纽空间布局，坚持“绕避”优先原则，严格按照自然保护地、饮用水源保护区等管控要求进行交通开发建设活动。</w:t>
            </w:r>
          </w:p>
        </w:tc>
        <w:tc>
          <w:tcPr>
            <w:tcW w:w="4004" w:type="dxa"/>
            <w:vAlign w:val="center"/>
          </w:tcPr>
          <w:p w14:paraId="67933537">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本项目在设计阶段充分考虑了国土空间总体规划，并加强了与“三线一单”分区管控等有关要求的衔接，确保项目建设符合相关管控和保护要求，实现综合交通与生态环境保护、人居环境安全相协调。设计阶段进一步优化了路线方案，并提出了严格环境保护措施。</w:t>
            </w:r>
          </w:p>
        </w:tc>
        <w:tc>
          <w:tcPr>
            <w:tcW w:w="979" w:type="dxa"/>
            <w:vAlign w:val="center"/>
          </w:tcPr>
          <w:p w14:paraId="0AA3F040">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符合</w:t>
            </w:r>
          </w:p>
        </w:tc>
      </w:tr>
      <w:tr w14:paraId="69EFD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0" w:type="dxa"/>
          </w:tcPr>
          <w:p w14:paraId="76AAB7CD">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合理确定开发时序和规模，强化环境管理。优化调整规划开发时序和规模时，应充分考虑对生态环境的累积影响和长期影响。总结凝练综合交通规划开发过程中的主要经验与教训，加强对在建和已建项目事中事后监管，及时整治开发过程产生的环境问题。</w:t>
            </w:r>
          </w:p>
        </w:tc>
        <w:tc>
          <w:tcPr>
            <w:tcW w:w="4004" w:type="dxa"/>
            <w:vAlign w:val="center"/>
          </w:tcPr>
          <w:p w14:paraId="75691A25">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本项目充分考虑了项目建设对生态环境的累积影响和长期影响，提出了严格的环境保护措施和风险防范措施，特别是运营期对生态环境的减缓措施。</w:t>
            </w:r>
          </w:p>
        </w:tc>
        <w:tc>
          <w:tcPr>
            <w:tcW w:w="979" w:type="dxa"/>
            <w:vAlign w:val="center"/>
          </w:tcPr>
          <w:p w14:paraId="35C9305A">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符合</w:t>
            </w:r>
          </w:p>
        </w:tc>
      </w:tr>
      <w:tr w14:paraId="0D593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0" w:type="dxa"/>
          </w:tcPr>
          <w:p w14:paraId="28D09F64">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建立健全长期稳定的环境监测体系。根据规划实施状况、环境敏感目标的分布等，建立和完善生态、大气、声环境等环境要素监控体系。根据监测结果并结合环境影响适时优化、调整规划。</w:t>
            </w:r>
          </w:p>
        </w:tc>
        <w:tc>
          <w:tcPr>
            <w:tcW w:w="4004" w:type="dxa"/>
            <w:vAlign w:val="center"/>
          </w:tcPr>
          <w:p w14:paraId="493093ED">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本项目充分考虑了沿线环境敏感目标的分布情况，提出了严格的生态、大气、水、声环境等环境要素的环境监测计划，根据监测结果采取相应的保护措施。</w:t>
            </w:r>
          </w:p>
        </w:tc>
        <w:tc>
          <w:tcPr>
            <w:tcW w:w="979" w:type="dxa"/>
            <w:vAlign w:val="center"/>
          </w:tcPr>
          <w:p w14:paraId="4127F760">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符合</w:t>
            </w:r>
          </w:p>
        </w:tc>
      </w:tr>
      <w:tr w14:paraId="772D5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0" w:type="dxa"/>
          </w:tcPr>
          <w:p w14:paraId="1607A615">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加强开发过程的环境风险防控。强化风险防控意识，坚持事前防范和事中监管，按照“属地为主、分级响应、区域联动”原则，建立完善各区域环境管理制度、环境风险防控和应急管理体系，健全突发环境事故预警和应急管理机制，制定细化环境风险防控方案和措施，落实主体责任，明晰防控流程，确保环境风险可控。</w:t>
            </w:r>
          </w:p>
        </w:tc>
        <w:tc>
          <w:tcPr>
            <w:tcW w:w="4004" w:type="dxa"/>
            <w:vAlign w:val="center"/>
          </w:tcPr>
          <w:p w14:paraId="7B30BD56">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本项目</w:t>
            </w:r>
            <w:r>
              <w:rPr>
                <w:rFonts w:hint="default" w:ascii="Times New Roman" w:hAnsi="Times New Roman" w:cs="Times New Roman"/>
                <w:color w:val="auto"/>
                <w:kern w:val="2"/>
                <w:sz w:val="21"/>
                <w:szCs w:val="21"/>
                <w:lang w:val="en-US" w:eastAsia="zh-CN" w:bidi="ar-SA"/>
              </w:rPr>
              <w:t>不跨越地表水体</w:t>
            </w:r>
            <w:r>
              <w:rPr>
                <w:rFonts w:hint="default" w:ascii="Times New Roman" w:hAnsi="Times New Roman" w:eastAsia="宋体" w:cs="Times New Roman"/>
                <w:color w:val="auto"/>
                <w:kern w:val="2"/>
                <w:sz w:val="21"/>
                <w:szCs w:val="21"/>
                <w:lang w:val="en-US" w:eastAsia="zh-CN" w:bidi="ar-SA"/>
              </w:rPr>
              <w:t>，并制定细化的环境风险防控方案和措施，落实了主体责任，确保本项目环境风险可控。</w:t>
            </w:r>
          </w:p>
        </w:tc>
        <w:tc>
          <w:tcPr>
            <w:tcW w:w="979" w:type="dxa"/>
            <w:vAlign w:val="center"/>
          </w:tcPr>
          <w:p w14:paraId="0B62FF68">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符合</w:t>
            </w:r>
          </w:p>
        </w:tc>
      </w:tr>
    </w:tbl>
    <w:p w14:paraId="175F4C8B">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综上所述，本项目在认真落实上述环境影响报告书及审查意见中提出的相应减缓措施后，可将对环境的影响降至最小，因此从环境保护角度考虑，本项目与《新疆维吾尔自治区“十四五”综合交通规划环境影响报告书》及审查意见是相符的。</w:t>
      </w:r>
    </w:p>
    <w:p w14:paraId="70ADFE1B">
      <w:pPr>
        <w:keepNext/>
        <w:keepLines/>
        <w:widowControl w:val="0"/>
        <w:bidi w:val="0"/>
        <w:adjustRightInd w:val="0"/>
        <w:snapToGrid w:val="0"/>
        <w:spacing w:line="360" w:lineRule="auto"/>
        <w:ind w:firstLine="0" w:firstLineChars="0"/>
        <w:jc w:val="both"/>
        <w:outlineLvl w:val="3"/>
        <w:rPr>
          <w:rFonts w:hint="default" w:ascii="Times New Roman" w:hAnsi="Times New Roman" w:eastAsia="宋体" w:cs="Times New Roman"/>
          <w:b/>
          <w:bCs/>
          <w:color w:val="auto"/>
          <w:kern w:val="2"/>
          <w:sz w:val="24"/>
          <w:szCs w:val="28"/>
          <w:lang w:val="en-US" w:eastAsia="zh-CN" w:bidi="ar-SA"/>
        </w:rPr>
      </w:pPr>
      <w:r>
        <w:rPr>
          <w:rFonts w:hint="default" w:ascii="Times New Roman" w:hAnsi="Times New Roman" w:eastAsia="宋体" w:cs="Times New Roman"/>
          <w:b/>
          <w:bCs/>
          <w:color w:val="auto"/>
          <w:kern w:val="2"/>
          <w:sz w:val="24"/>
          <w:szCs w:val="28"/>
          <w:lang w:val="en-US" w:eastAsia="zh-CN" w:bidi="ar-SA"/>
        </w:rPr>
        <w:t>3.4.</w:t>
      </w:r>
      <w:r>
        <w:rPr>
          <w:rFonts w:hint="eastAsia" w:cs="Times New Roman"/>
          <w:b/>
          <w:bCs/>
          <w:color w:val="auto"/>
          <w:kern w:val="2"/>
          <w:sz w:val="24"/>
          <w:szCs w:val="28"/>
          <w:lang w:val="en-US" w:eastAsia="zh-CN" w:bidi="ar-SA"/>
        </w:rPr>
        <w:t>4</w:t>
      </w:r>
      <w:r>
        <w:rPr>
          <w:rFonts w:hint="default" w:ascii="Times New Roman" w:hAnsi="Times New Roman" w:eastAsia="宋体" w:cs="Times New Roman"/>
          <w:b/>
          <w:bCs/>
          <w:color w:val="auto"/>
          <w:kern w:val="2"/>
          <w:sz w:val="24"/>
          <w:szCs w:val="28"/>
          <w:lang w:val="en-US" w:eastAsia="zh-CN" w:bidi="ar-SA"/>
        </w:rPr>
        <w:t>.4 与《关于印发〈新疆维吾尔自治区省道网规划（2022-2035年）〉的通知》（新交发〔2024〕67号）符合性分析</w:t>
      </w:r>
    </w:p>
    <w:p w14:paraId="1B81A1A6">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4"/>
          <w:szCs w:val="24"/>
          <w:lang w:val="en-US" w:eastAsia="zh-CN" w:bidi="ar"/>
        </w:rPr>
        <w:t>根据</w:t>
      </w:r>
      <w:r>
        <w:rPr>
          <w:rFonts w:hint="default" w:ascii="Times New Roman" w:hAnsi="Times New Roman" w:eastAsia="宋体" w:cs="Times New Roman"/>
          <w:color w:val="auto"/>
          <w:lang w:val="en-US" w:eastAsia="zh-CN"/>
        </w:rPr>
        <w:t>《关于印发〈新疆维吾尔自治区省道网规划（2022-2035年）〉的通知》：综合考虑国省干线公路实现“市县便捷联系、乡镇普遍覆盖、重要节点有效连接、兵地路网深度融合”的目标，本次规划调增普通省道51段、路线局部调整8段、调减路线10段、实施主体移交兵团10段。本轮调整后，自治区普通省道共布局4条首府放射线、63条北南纵线、51条东西横线，规划里程约1.6万公里。本次环评报告中S227阿图什至喀什公路位于该规划中需修建的普通省道之一。因此，本项目的建设符合《关于印发〈新疆维吾尔自治区省道网规划（2022-2035年）〉的通知》要求。</w:t>
      </w:r>
    </w:p>
    <w:p w14:paraId="37D7D954">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3.4.</w:t>
      </w:r>
      <w:r>
        <w:rPr>
          <w:rFonts w:hint="eastAsia" w:cs="Times New Roman"/>
          <w:color w:val="auto"/>
          <w:lang w:val="en-US" w:eastAsia="zh-CN"/>
        </w:rPr>
        <w:t>4</w:t>
      </w:r>
      <w:r>
        <w:rPr>
          <w:rFonts w:hint="default" w:ascii="Times New Roman" w:hAnsi="Times New Roman" w:cs="Times New Roman"/>
          <w:color w:val="auto"/>
          <w:lang w:val="en-US" w:eastAsia="zh-CN"/>
        </w:rPr>
        <w:t>.5 《克孜勒苏柯尔克孜自治州“十四五”综合交通运输发展规划及2035年远景规划》</w:t>
      </w:r>
    </w:p>
    <w:p w14:paraId="29253C0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本项目已纳入《克孜勒苏柯尔克孜自治州“十四五”综合交通运输发展规划及2035年远景规划》，规划指出：</w:t>
      </w:r>
    </w:p>
    <w:p w14:paraId="4FA65246">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构建完善的干线公路网，国省干线的新建、升级改造是加快克州兴边发展、促进新型</w:t>
      </w:r>
      <w:r>
        <w:rPr>
          <w:rFonts w:hint="eastAsia" w:cs="Times New Roman"/>
          <w:color w:val="auto"/>
          <w:lang w:val="en-US" w:eastAsia="zh-CN"/>
        </w:rPr>
        <w:t>城镇化</w:t>
      </w:r>
      <w:r>
        <w:rPr>
          <w:rFonts w:hint="default" w:ascii="Times New Roman" w:hAnsi="Times New Roman" w:cs="Times New Roman"/>
          <w:color w:val="auto"/>
          <w:lang w:val="en-US" w:eastAsia="zh-CN"/>
        </w:rPr>
        <w:t>建设的需求，是加快克州地区境内与周边的快速联系，是高速公路的重要补充。加强国省干线的建设，有助于全面提升普通国省道的保障能力和服务品质。本项目作为克州“十四五”综合交通规划中的国省干线公路网重点建设任务之一，项目的建设是为适应克州经济建设、对外开放、旅游开发及城镇发展要求，加大建设一批连接交通枢纽、产业园区、城镇乡村的国省道项目，实现重点乡镇、重要园区及以上公路覆盖。加强克州地区与喀什地区的交通连通。</w:t>
      </w:r>
    </w:p>
    <w:p w14:paraId="0EC22C1F">
      <w:pPr>
        <w:pStyle w:val="4"/>
        <w:keepNext/>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3.4.</w:t>
      </w:r>
      <w:r>
        <w:rPr>
          <w:rFonts w:hint="eastAsia" w:cs="Times New Roman"/>
          <w:color w:val="auto"/>
          <w:lang w:val="en-US" w:eastAsia="zh-CN"/>
        </w:rPr>
        <w:t>5</w:t>
      </w:r>
      <w:r>
        <w:rPr>
          <w:rFonts w:hint="default" w:ascii="Times New Roman" w:hAnsi="Times New Roman" w:cs="Times New Roman"/>
          <w:color w:val="auto"/>
          <w:lang w:val="en-US" w:eastAsia="zh-CN"/>
        </w:rPr>
        <w:t xml:space="preserve"> 分区管控符合性分析</w:t>
      </w:r>
    </w:p>
    <w:p w14:paraId="0F35157D">
      <w:pPr>
        <w:pStyle w:val="5"/>
        <w:bidi w:val="0"/>
        <w:rPr>
          <w:rFonts w:hint="default" w:ascii="Times New Roman" w:hAnsi="Times New Roman" w:eastAsia="宋体" w:cs="Times New Roman"/>
          <w:b w:val="0"/>
          <w:bCs w:val="0"/>
          <w:color w:val="auto"/>
          <w:kern w:val="0"/>
          <w:szCs w:val="24"/>
        </w:rPr>
      </w:pPr>
      <w:r>
        <w:rPr>
          <w:rFonts w:hint="default" w:ascii="Times New Roman" w:hAnsi="Times New Roman" w:cs="Times New Roman"/>
          <w:color w:val="auto"/>
          <w:lang w:val="en-US" w:eastAsia="zh-CN"/>
        </w:rPr>
        <w:t>3.4.</w:t>
      </w:r>
      <w:r>
        <w:rPr>
          <w:rFonts w:hint="eastAsia" w:cs="Times New Roman"/>
          <w:color w:val="auto"/>
          <w:lang w:val="en-US" w:eastAsia="zh-CN"/>
        </w:rPr>
        <w:t>5</w:t>
      </w:r>
      <w:r>
        <w:rPr>
          <w:rFonts w:hint="default" w:ascii="Times New Roman" w:hAnsi="Times New Roman" w:cs="Times New Roman"/>
          <w:color w:val="auto"/>
          <w:lang w:val="en-US" w:eastAsia="zh-CN"/>
        </w:rPr>
        <w:t xml:space="preserve">.1 </w:t>
      </w:r>
      <w:r>
        <w:rPr>
          <w:rFonts w:hint="default" w:ascii="Times New Roman" w:hAnsi="Times New Roman" w:cs="Times New Roman"/>
          <w:color w:val="auto"/>
        </w:rPr>
        <w:t>与</w:t>
      </w:r>
      <w:r>
        <w:rPr>
          <w:rFonts w:hint="default" w:ascii="Times New Roman" w:hAnsi="Times New Roman" w:cs="Times New Roman"/>
          <w:color w:val="auto"/>
          <w:highlight w:val="none"/>
        </w:rPr>
        <w:t>《关于印发</w:t>
      </w:r>
      <w:r>
        <w:rPr>
          <w:rFonts w:hint="default" w:ascii="Times New Roman" w:hAnsi="Times New Roman" w:eastAsia="楷体" w:cs="Times New Roman"/>
          <w:i w:val="0"/>
          <w:iCs w:val="0"/>
          <w:caps w:val="0"/>
          <w:color w:val="auto"/>
          <w:spacing w:val="0"/>
          <w:sz w:val="18"/>
          <w:szCs w:val="18"/>
          <w:highlight w:val="none"/>
          <w:shd w:val="clear" w:fill="FFFFFF"/>
        </w:rPr>
        <w:t>〈</w:t>
      </w:r>
      <w:r>
        <w:rPr>
          <w:rFonts w:hint="default" w:ascii="Times New Roman" w:hAnsi="Times New Roman" w:cs="Times New Roman"/>
          <w:color w:val="auto"/>
          <w:highlight w:val="none"/>
        </w:rPr>
        <w:t>新疆维吾尔自治区生态环境分区管控动态更新成果</w:t>
      </w:r>
      <w:r>
        <w:rPr>
          <w:rFonts w:hint="default" w:ascii="Times New Roman" w:hAnsi="Times New Roman" w:eastAsia="楷体" w:cs="Times New Roman"/>
          <w:i w:val="0"/>
          <w:iCs w:val="0"/>
          <w:caps w:val="0"/>
          <w:color w:val="auto"/>
          <w:spacing w:val="0"/>
          <w:sz w:val="18"/>
          <w:szCs w:val="18"/>
          <w:highlight w:val="none"/>
          <w:shd w:val="clear" w:fill="FFFFFF"/>
        </w:rPr>
        <w:t>〉</w:t>
      </w:r>
      <w:r>
        <w:rPr>
          <w:rFonts w:hint="default" w:ascii="Times New Roman" w:hAnsi="Times New Roman" w:cs="Times New Roman"/>
          <w:color w:val="auto"/>
          <w:highlight w:val="none"/>
        </w:rPr>
        <w:t>的通知》（新政发〔202</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157</w:t>
      </w:r>
      <w:r>
        <w:rPr>
          <w:rFonts w:hint="default" w:ascii="Times New Roman" w:hAnsi="Times New Roman" w:cs="Times New Roman"/>
          <w:color w:val="auto"/>
          <w:highlight w:val="none"/>
        </w:rPr>
        <w:t>号）</w:t>
      </w:r>
      <w:r>
        <w:rPr>
          <w:rFonts w:hint="default" w:ascii="Times New Roman" w:hAnsi="Times New Roman" w:cs="Times New Roman"/>
          <w:color w:val="auto"/>
        </w:rPr>
        <w:t>符合项分析</w:t>
      </w:r>
    </w:p>
    <w:p w14:paraId="4817B63B">
      <w:pPr>
        <w:pStyle w:val="16"/>
        <w:adjustRightInd w:val="0"/>
        <w:snapToGrid w:val="0"/>
        <w:spacing w:line="360" w:lineRule="auto"/>
        <w:ind w:firstLine="480" w:firstLineChars="200"/>
        <w:jc w:val="left"/>
        <w:rPr>
          <w:rFonts w:hint="default" w:ascii="Times New Roman" w:hAnsi="Times New Roman" w:cs="Times New Roman" w:eastAsiaTheme="minorEastAsia"/>
          <w:color w:val="auto"/>
          <w:sz w:val="24"/>
          <w:highlight w:val="none"/>
        </w:rPr>
      </w:pPr>
      <w:r>
        <w:rPr>
          <w:rFonts w:hint="default" w:ascii="Times New Roman" w:hAnsi="Times New Roman" w:cs="Times New Roman"/>
          <w:color w:val="auto"/>
        </w:rPr>
        <w:t>根据《关于印发〈新疆维吾尔自治区生态环境分区管控动态更新成果〉的通知》</w:t>
      </w:r>
      <w:r>
        <w:rPr>
          <w:rFonts w:hint="default" w:ascii="Times New Roman" w:hAnsi="Times New Roman" w:cs="Times New Roman"/>
          <w:color w:val="auto"/>
          <w:lang w:val="en-US" w:eastAsia="zh-CN"/>
        </w:rPr>
        <w:t>（新政发〔2024〕157号）</w:t>
      </w:r>
      <w:r>
        <w:rPr>
          <w:rFonts w:hint="default" w:ascii="Times New Roman" w:hAnsi="Times New Roman" w:cs="Times New Roman" w:eastAsiaTheme="minorEastAsia"/>
          <w:color w:val="auto"/>
          <w:sz w:val="24"/>
          <w:highlight w:val="none"/>
          <w:lang w:val="en-US" w:eastAsia="zh-CN"/>
        </w:rPr>
        <w:t>，</w:t>
      </w:r>
      <w:r>
        <w:rPr>
          <w:rFonts w:hint="default" w:ascii="Times New Roman" w:hAnsi="Times New Roman" w:cs="Times New Roman" w:eastAsiaTheme="minorEastAsia"/>
          <w:color w:val="auto"/>
          <w:sz w:val="24"/>
          <w:highlight w:val="none"/>
        </w:rPr>
        <w:t>自治区共划定</w:t>
      </w:r>
      <w:r>
        <w:rPr>
          <w:rFonts w:hint="default" w:ascii="Times New Roman" w:hAnsi="Times New Roman" w:cs="Times New Roman" w:eastAsiaTheme="minorEastAsia"/>
          <w:color w:val="auto"/>
          <w:sz w:val="24"/>
          <w:highlight w:val="none"/>
          <w:lang w:val="en-US" w:eastAsia="zh-CN"/>
        </w:rPr>
        <w:t>1777</w:t>
      </w:r>
      <w:r>
        <w:rPr>
          <w:rFonts w:hint="default" w:ascii="Times New Roman" w:hAnsi="Times New Roman" w:cs="Times New Roman" w:eastAsiaTheme="minorEastAsia"/>
          <w:color w:val="auto"/>
          <w:sz w:val="24"/>
          <w:highlight w:val="none"/>
        </w:rPr>
        <w:t>个环境管控单元</w:t>
      </w:r>
      <w:r>
        <w:rPr>
          <w:rFonts w:hint="default" w:ascii="Times New Roman" w:hAnsi="Times New Roman" w:cs="Times New Roman" w:eastAsiaTheme="minorEastAsia"/>
          <w:color w:val="auto"/>
          <w:sz w:val="24"/>
          <w:highlight w:val="none"/>
          <w:lang w:eastAsia="zh-CN"/>
        </w:rPr>
        <w:t>，</w:t>
      </w:r>
      <w:r>
        <w:rPr>
          <w:rFonts w:hint="default" w:ascii="Times New Roman" w:hAnsi="Times New Roman" w:cs="Times New Roman" w:eastAsiaTheme="minorEastAsia"/>
          <w:color w:val="auto"/>
          <w:sz w:val="24"/>
          <w:highlight w:val="none"/>
        </w:rPr>
        <w:t>分为优先保护单元、重点管控单元和一般管控单元三类</w:t>
      </w:r>
      <w:r>
        <w:rPr>
          <w:rFonts w:hint="default" w:ascii="Times New Roman" w:hAnsi="Times New Roman" w:cs="Times New Roman" w:eastAsiaTheme="minorEastAsia"/>
          <w:color w:val="auto"/>
          <w:sz w:val="24"/>
          <w:highlight w:val="none"/>
          <w:lang w:eastAsia="zh-CN"/>
        </w:rPr>
        <w:t>，</w:t>
      </w:r>
      <w:r>
        <w:rPr>
          <w:rFonts w:hint="default" w:ascii="Times New Roman" w:hAnsi="Times New Roman" w:cs="Times New Roman" w:eastAsiaTheme="minorEastAsia"/>
          <w:color w:val="auto"/>
          <w:sz w:val="24"/>
          <w:highlight w:val="none"/>
        </w:rPr>
        <w:t>实施分类管控。</w:t>
      </w:r>
    </w:p>
    <w:p w14:paraId="7A82E054">
      <w:pPr>
        <w:keepNext w:val="0"/>
        <w:keepLines w:val="0"/>
        <w:pageBreakBefore w:val="0"/>
        <w:widowControl w:val="0"/>
        <w:kinsoku/>
        <w:wordWrap w:val="0"/>
        <w:overflowPunct/>
        <w:topLinePunct/>
        <w:autoSpaceDE/>
        <w:autoSpaceDN/>
        <w:bidi w:val="0"/>
        <w:adjustRightInd w:val="0"/>
        <w:snapToGrid w:val="0"/>
        <w:spacing w:line="360" w:lineRule="auto"/>
        <w:ind w:firstLine="480" w:firstLineChars="200"/>
        <w:rPr>
          <w:rFonts w:hint="default" w:ascii="Times New Roman" w:hAnsi="Times New Roman" w:cs="Times New Roman" w:eastAsiaTheme="minorEastAsia"/>
          <w:color w:val="auto"/>
          <w:sz w:val="24"/>
          <w:highlight w:val="none"/>
        </w:rPr>
      </w:pPr>
      <w:r>
        <w:rPr>
          <w:rFonts w:hint="default" w:ascii="Times New Roman" w:hAnsi="Times New Roman" w:cs="Times New Roman" w:eastAsiaTheme="minorEastAsia"/>
          <w:color w:val="auto"/>
          <w:sz w:val="24"/>
          <w:highlight w:val="none"/>
        </w:rPr>
        <w:t>优先保护单元</w:t>
      </w:r>
      <w:r>
        <w:rPr>
          <w:rFonts w:hint="default" w:ascii="Times New Roman" w:hAnsi="Times New Roman" w:cs="Times New Roman" w:eastAsiaTheme="minorEastAsia"/>
          <w:color w:val="auto"/>
          <w:sz w:val="24"/>
          <w:highlight w:val="none"/>
          <w:lang w:val="en-US" w:eastAsia="zh-CN"/>
        </w:rPr>
        <w:t>925</w:t>
      </w:r>
      <w:r>
        <w:rPr>
          <w:rFonts w:hint="default" w:ascii="Times New Roman" w:hAnsi="Times New Roman" w:cs="Times New Roman" w:eastAsiaTheme="minorEastAsia"/>
          <w:color w:val="auto"/>
          <w:sz w:val="24"/>
          <w:highlight w:val="none"/>
        </w:rPr>
        <w:t>个</w:t>
      </w:r>
      <w:r>
        <w:rPr>
          <w:rFonts w:hint="default" w:ascii="Times New Roman" w:hAnsi="Times New Roman" w:cs="Times New Roman" w:eastAsiaTheme="minorEastAsia"/>
          <w:color w:val="auto"/>
          <w:sz w:val="24"/>
          <w:highlight w:val="none"/>
          <w:lang w:eastAsia="zh-CN"/>
        </w:rPr>
        <w:t>，</w:t>
      </w:r>
      <w:r>
        <w:rPr>
          <w:rFonts w:hint="default" w:ascii="Times New Roman" w:hAnsi="Times New Roman" w:cs="Times New Roman" w:eastAsiaTheme="minorEastAsia"/>
          <w:color w:val="auto"/>
          <w:sz w:val="24"/>
          <w:highlight w:val="none"/>
        </w:rPr>
        <w:t>主要包括生态保护红线区和生态保护红线区以外的饮用水水源保护区、水源涵养区、防风固沙区、土地沙化防控区、水土流失防控区等一般生态空间管控区。生态保护红线区执行生态保护红线管理办法的有关要求；一般生态空间管控区应以生态环境保护优先为原则</w:t>
      </w:r>
      <w:r>
        <w:rPr>
          <w:rFonts w:hint="default" w:ascii="Times New Roman" w:hAnsi="Times New Roman" w:cs="Times New Roman" w:eastAsiaTheme="minorEastAsia"/>
          <w:color w:val="auto"/>
          <w:sz w:val="24"/>
          <w:highlight w:val="none"/>
          <w:lang w:eastAsia="zh-CN"/>
        </w:rPr>
        <w:t>，</w:t>
      </w:r>
      <w:r>
        <w:rPr>
          <w:rFonts w:hint="default" w:ascii="Times New Roman" w:hAnsi="Times New Roman" w:cs="Times New Roman" w:eastAsiaTheme="minorEastAsia"/>
          <w:color w:val="auto"/>
          <w:sz w:val="24"/>
          <w:highlight w:val="none"/>
        </w:rPr>
        <w:t>开发建设活动应严格执行相关</w:t>
      </w:r>
      <w:r>
        <w:rPr>
          <w:rFonts w:hint="default" w:ascii="Times New Roman" w:hAnsi="Times New Roman" w:cs="Times New Roman" w:eastAsiaTheme="minorEastAsia"/>
          <w:color w:val="auto"/>
          <w:sz w:val="24"/>
          <w:highlight w:val="none"/>
          <w:lang w:eastAsia="zh-CN"/>
        </w:rPr>
        <w:t>法律法规</w:t>
      </w:r>
      <w:r>
        <w:rPr>
          <w:rFonts w:hint="default" w:ascii="Times New Roman" w:hAnsi="Times New Roman" w:cs="Times New Roman" w:eastAsiaTheme="minorEastAsia"/>
          <w:color w:val="auto"/>
          <w:sz w:val="24"/>
          <w:highlight w:val="none"/>
        </w:rPr>
        <w:t>要求，严守生态环境质量底线</w:t>
      </w:r>
      <w:r>
        <w:rPr>
          <w:rFonts w:hint="default" w:ascii="Times New Roman" w:hAnsi="Times New Roman" w:cs="Times New Roman" w:eastAsiaTheme="minorEastAsia"/>
          <w:color w:val="auto"/>
          <w:sz w:val="24"/>
          <w:highlight w:val="none"/>
          <w:lang w:eastAsia="zh-CN"/>
        </w:rPr>
        <w:t>，</w:t>
      </w:r>
      <w:r>
        <w:rPr>
          <w:rFonts w:hint="default" w:ascii="Times New Roman" w:hAnsi="Times New Roman" w:cs="Times New Roman" w:eastAsiaTheme="minorEastAsia"/>
          <w:color w:val="auto"/>
          <w:sz w:val="24"/>
          <w:highlight w:val="none"/>
        </w:rPr>
        <w:t>确保生态功能不降低。</w:t>
      </w:r>
    </w:p>
    <w:p w14:paraId="453A84C4">
      <w:pPr>
        <w:keepNext w:val="0"/>
        <w:keepLines w:val="0"/>
        <w:pageBreakBefore w:val="0"/>
        <w:widowControl w:val="0"/>
        <w:kinsoku/>
        <w:wordWrap w:val="0"/>
        <w:overflowPunct/>
        <w:topLinePunct/>
        <w:autoSpaceDE/>
        <w:autoSpaceDN/>
        <w:bidi w:val="0"/>
        <w:adjustRightInd w:val="0"/>
        <w:snapToGrid w:val="0"/>
        <w:spacing w:line="360" w:lineRule="auto"/>
        <w:ind w:firstLine="480" w:firstLineChars="200"/>
        <w:rPr>
          <w:rFonts w:hint="default" w:ascii="Times New Roman" w:hAnsi="Times New Roman" w:cs="Times New Roman" w:eastAsiaTheme="minorEastAsia"/>
          <w:color w:val="auto"/>
          <w:sz w:val="24"/>
          <w:highlight w:val="none"/>
        </w:rPr>
      </w:pPr>
      <w:r>
        <w:rPr>
          <w:rFonts w:hint="default" w:ascii="Times New Roman" w:hAnsi="Times New Roman" w:cs="Times New Roman" w:eastAsiaTheme="minorEastAsia"/>
          <w:color w:val="auto"/>
          <w:sz w:val="24"/>
          <w:highlight w:val="none"/>
        </w:rPr>
        <w:t>重点管控单元</w:t>
      </w:r>
      <w:r>
        <w:rPr>
          <w:rFonts w:hint="default" w:ascii="Times New Roman" w:hAnsi="Times New Roman" w:cs="Times New Roman" w:eastAsiaTheme="minorEastAsia"/>
          <w:color w:val="auto"/>
          <w:sz w:val="24"/>
          <w:highlight w:val="none"/>
          <w:lang w:val="en-US" w:eastAsia="zh-CN"/>
        </w:rPr>
        <w:t>713</w:t>
      </w:r>
      <w:r>
        <w:rPr>
          <w:rFonts w:hint="default" w:ascii="Times New Roman" w:hAnsi="Times New Roman" w:cs="Times New Roman" w:eastAsiaTheme="minorEastAsia"/>
          <w:color w:val="auto"/>
          <w:sz w:val="24"/>
          <w:highlight w:val="none"/>
        </w:rPr>
        <w:t>个，主要包括城镇建成区、工业园区和开发强度大、污染物排放强度高的工业聚集区等。重点管控单元要着力优化空间布局</w:t>
      </w:r>
      <w:r>
        <w:rPr>
          <w:rFonts w:hint="default" w:ascii="Times New Roman" w:hAnsi="Times New Roman" w:cs="Times New Roman" w:eastAsiaTheme="minorEastAsia"/>
          <w:color w:val="auto"/>
          <w:sz w:val="24"/>
          <w:highlight w:val="none"/>
          <w:lang w:eastAsia="zh-CN"/>
        </w:rPr>
        <w:t>，</w:t>
      </w:r>
      <w:r>
        <w:rPr>
          <w:rFonts w:hint="default" w:ascii="Times New Roman" w:hAnsi="Times New Roman" w:cs="Times New Roman" w:eastAsiaTheme="minorEastAsia"/>
          <w:color w:val="auto"/>
          <w:sz w:val="24"/>
          <w:highlight w:val="none"/>
        </w:rPr>
        <w:t>不断提升资源利用效率</w:t>
      </w:r>
      <w:r>
        <w:rPr>
          <w:rFonts w:hint="default" w:ascii="Times New Roman" w:hAnsi="Times New Roman" w:cs="Times New Roman" w:eastAsiaTheme="minorEastAsia"/>
          <w:color w:val="auto"/>
          <w:sz w:val="24"/>
          <w:highlight w:val="none"/>
          <w:lang w:eastAsia="zh-CN"/>
        </w:rPr>
        <w:t>，</w:t>
      </w:r>
      <w:r>
        <w:rPr>
          <w:rFonts w:hint="default" w:ascii="Times New Roman" w:hAnsi="Times New Roman" w:cs="Times New Roman" w:eastAsiaTheme="minorEastAsia"/>
          <w:color w:val="auto"/>
          <w:sz w:val="24"/>
          <w:highlight w:val="none"/>
        </w:rPr>
        <w:t>有针对性地加强污染物排放管控和环境风险防控</w:t>
      </w:r>
      <w:r>
        <w:rPr>
          <w:rFonts w:hint="default" w:ascii="Times New Roman" w:hAnsi="Times New Roman" w:cs="Times New Roman" w:eastAsiaTheme="minorEastAsia"/>
          <w:color w:val="auto"/>
          <w:sz w:val="24"/>
          <w:highlight w:val="none"/>
          <w:lang w:eastAsia="zh-CN"/>
        </w:rPr>
        <w:t>，</w:t>
      </w:r>
      <w:r>
        <w:rPr>
          <w:rFonts w:hint="default" w:ascii="Times New Roman" w:hAnsi="Times New Roman" w:cs="Times New Roman" w:eastAsiaTheme="minorEastAsia"/>
          <w:color w:val="auto"/>
          <w:sz w:val="24"/>
          <w:highlight w:val="none"/>
        </w:rPr>
        <w:t>解决生态环境质量不达标、生态环境风险高等问题。</w:t>
      </w:r>
    </w:p>
    <w:p w14:paraId="7F09FC30">
      <w:pPr>
        <w:rPr>
          <w:rFonts w:hint="default" w:ascii="Times New Roman" w:hAnsi="Times New Roman" w:cs="Times New Roman"/>
          <w:color w:val="auto"/>
        </w:rPr>
      </w:pPr>
      <w:r>
        <w:rPr>
          <w:rFonts w:hint="default" w:ascii="Times New Roman" w:hAnsi="Times New Roman" w:cs="Times New Roman" w:eastAsiaTheme="minorEastAsia"/>
          <w:color w:val="auto"/>
          <w:sz w:val="24"/>
          <w:highlight w:val="none"/>
        </w:rPr>
        <w:t>一般管控单元</w:t>
      </w:r>
      <w:r>
        <w:rPr>
          <w:rFonts w:hint="default" w:ascii="Times New Roman" w:hAnsi="Times New Roman" w:cs="Times New Roman" w:eastAsiaTheme="minorEastAsia"/>
          <w:color w:val="auto"/>
          <w:sz w:val="24"/>
          <w:highlight w:val="none"/>
          <w:lang w:val="en-US" w:eastAsia="zh-CN"/>
        </w:rPr>
        <w:t>139</w:t>
      </w:r>
      <w:r>
        <w:rPr>
          <w:rFonts w:hint="default" w:ascii="Times New Roman" w:hAnsi="Times New Roman" w:cs="Times New Roman" w:eastAsiaTheme="minorEastAsia"/>
          <w:color w:val="auto"/>
          <w:sz w:val="24"/>
          <w:highlight w:val="none"/>
        </w:rPr>
        <w:t>个，主要包括优先保护单元和重点管控单元之外的</w:t>
      </w:r>
      <w:r>
        <w:rPr>
          <w:rFonts w:hint="default" w:ascii="Times New Roman" w:hAnsi="Times New Roman" w:cs="Times New Roman" w:eastAsiaTheme="minorEastAsia"/>
          <w:color w:val="auto"/>
          <w:sz w:val="24"/>
          <w:highlight w:val="none"/>
          <w:lang w:eastAsia="zh-CN"/>
        </w:rPr>
        <w:t>其他</w:t>
      </w:r>
      <w:r>
        <w:rPr>
          <w:rFonts w:hint="default" w:ascii="Times New Roman" w:hAnsi="Times New Roman" w:cs="Times New Roman" w:eastAsiaTheme="minorEastAsia"/>
          <w:color w:val="auto"/>
          <w:sz w:val="24"/>
          <w:highlight w:val="none"/>
        </w:rPr>
        <w:t>区域。一般管控单元主要落实生态环境保护基本要求，推动区域环境质量持续改善。</w:t>
      </w:r>
    </w:p>
    <w:p w14:paraId="47EB7D6C">
      <w:pPr>
        <w:bidi w:val="0"/>
        <w:rPr>
          <w:rFonts w:hint="default" w:ascii="Times New Roman" w:hAnsi="Times New Roman" w:cs="Times New Roman"/>
          <w:color w:val="auto"/>
        </w:rPr>
      </w:pPr>
      <w:r>
        <w:rPr>
          <w:rFonts w:hint="default" w:ascii="Times New Roman" w:hAnsi="Times New Roman" w:eastAsia="宋体" w:cs="Times New Roman"/>
          <w:color w:val="auto"/>
          <w:highlight w:val="none"/>
        </w:rPr>
        <w:t>本项目为道路线性工程，非大气污染型重化工项目。项目在设计过程中尽量减少占地，施工过程中减少地表扰动，并完善沿河路段危险品运输风险管控措施，建成运营后对区域旅游业资源开发等具有积极促进作用，因此项目建设符合新疆维吾尔自治区生态环境分区管控要求。</w:t>
      </w:r>
    </w:p>
    <w:p w14:paraId="737837E7">
      <w:pPr>
        <w:bidi w:val="0"/>
        <w:rPr>
          <w:rFonts w:hint="default" w:ascii="Times New Roman" w:hAnsi="Times New Roman" w:cs="Times New Roman"/>
          <w:color w:val="auto"/>
        </w:rPr>
      </w:pPr>
      <w:r>
        <w:rPr>
          <w:rFonts w:hint="default" w:ascii="Times New Roman" w:hAnsi="Times New Roman" w:eastAsia="宋体" w:cs="Times New Roman"/>
          <w:b w:val="0"/>
          <w:bCs w:val="0"/>
          <w:color w:val="auto"/>
          <w:spacing w:val="4"/>
          <w:sz w:val="24"/>
          <w:szCs w:val="24"/>
          <w:lang w:eastAsia="zh-CN"/>
        </w:rPr>
        <w:t>本项目在</w:t>
      </w:r>
      <w:r>
        <w:rPr>
          <w:rFonts w:hint="default" w:ascii="Times New Roman" w:hAnsi="Times New Roman" w:eastAsia="宋体" w:cs="Times New Roman"/>
          <w:b w:val="0"/>
          <w:bCs w:val="0"/>
          <w:color w:val="auto"/>
          <w:spacing w:val="4"/>
          <w:sz w:val="24"/>
          <w:szCs w:val="24"/>
        </w:rPr>
        <w:t>管控方案</w:t>
      </w:r>
      <w:r>
        <w:rPr>
          <w:rFonts w:hint="default" w:ascii="Times New Roman" w:hAnsi="Times New Roman" w:eastAsia="宋体" w:cs="Times New Roman"/>
          <w:b w:val="0"/>
          <w:bCs w:val="0"/>
          <w:color w:val="auto"/>
          <w:spacing w:val="4"/>
          <w:sz w:val="24"/>
          <w:szCs w:val="24"/>
          <w:lang w:eastAsia="zh-CN"/>
        </w:rPr>
        <w:t>中的位置见附图</w:t>
      </w:r>
      <w:r>
        <w:rPr>
          <w:rFonts w:hint="default" w:ascii="Times New Roman" w:hAnsi="Times New Roman" w:cs="Times New Roman"/>
          <w:b w:val="0"/>
          <w:bCs w:val="0"/>
          <w:color w:val="auto"/>
          <w:spacing w:val="4"/>
          <w:sz w:val="24"/>
          <w:szCs w:val="24"/>
          <w:lang w:val="en-US" w:eastAsia="zh-CN"/>
        </w:rPr>
        <w:t>3.4-</w:t>
      </w:r>
      <w:r>
        <w:rPr>
          <w:rFonts w:hint="eastAsia" w:cs="Times New Roman"/>
          <w:b w:val="0"/>
          <w:bCs w:val="0"/>
          <w:color w:val="auto"/>
          <w:spacing w:val="4"/>
          <w:sz w:val="24"/>
          <w:szCs w:val="24"/>
          <w:lang w:val="en-US" w:eastAsia="zh-CN"/>
        </w:rPr>
        <w:t>1</w:t>
      </w:r>
      <w:r>
        <w:rPr>
          <w:rFonts w:hint="default" w:ascii="Times New Roman" w:hAnsi="Times New Roman" w:eastAsia="宋体" w:cs="Times New Roman"/>
          <w:b w:val="0"/>
          <w:bCs w:val="0"/>
          <w:color w:val="auto"/>
          <w:spacing w:val="4"/>
          <w:sz w:val="24"/>
          <w:szCs w:val="24"/>
          <w:lang w:val="en-US" w:eastAsia="zh-CN"/>
        </w:rPr>
        <w:t>。</w:t>
      </w:r>
    </w:p>
    <w:p w14:paraId="3C9717B9">
      <w:pPr>
        <w:pStyle w:val="5"/>
        <w:keepNext/>
        <w:keepLines/>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b w:val="0"/>
          <w:bCs w:val="0"/>
          <w:color w:val="auto"/>
          <w:spacing w:val="-6"/>
          <w:szCs w:val="24"/>
        </w:rPr>
      </w:pPr>
      <w:r>
        <w:rPr>
          <w:rFonts w:hint="default" w:ascii="Times New Roman" w:hAnsi="Times New Roman" w:cs="Times New Roman"/>
          <w:color w:val="auto"/>
          <w:lang w:val="en-US" w:eastAsia="zh-CN"/>
        </w:rPr>
        <w:t>3.4.</w:t>
      </w:r>
      <w:r>
        <w:rPr>
          <w:rFonts w:hint="eastAsia" w:cs="Times New Roman"/>
          <w:color w:val="auto"/>
          <w:lang w:val="en-US" w:eastAsia="zh-CN"/>
        </w:rPr>
        <w:t>5</w:t>
      </w:r>
      <w:r>
        <w:rPr>
          <w:rFonts w:hint="default" w:ascii="Times New Roman" w:hAnsi="Times New Roman" w:cs="Times New Roman"/>
          <w:color w:val="auto"/>
          <w:lang w:val="en-US" w:eastAsia="zh-CN"/>
        </w:rPr>
        <w:t xml:space="preserve">.2 </w:t>
      </w:r>
      <w:r>
        <w:rPr>
          <w:rFonts w:hint="default" w:ascii="Times New Roman" w:hAnsi="Times New Roman" w:cs="Times New Roman"/>
          <w:color w:val="auto"/>
        </w:rPr>
        <w:t>《克孜勒苏柯尔克孜自治州“三线一单”生态环境分区管控方案动态更新成果》符合性分析</w:t>
      </w:r>
    </w:p>
    <w:p w14:paraId="695802FA">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本项目位于阿图什市、喀什市境内，项目沿线大部分涉及所在区域为阿图什境内，根据《克孜勒苏柯尔克孜自治州“三线一单”生态环境分区管控方案动态更新成果》要求，项目符合性详见表</w:t>
      </w:r>
      <w:r>
        <w:rPr>
          <w:rFonts w:hint="eastAsia" w:ascii="Times New Roman" w:hAnsi="Times New Roman" w:eastAsia="宋体" w:cs="Times New Roman"/>
          <w:color w:val="auto"/>
          <w:highlight w:val="none"/>
          <w:lang w:val="en-US" w:eastAsia="zh-CN"/>
        </w:rPr>
        <w:t>3.4-5</w:t>
      </w:r>
      <w:r>
        <w:rPr>
          <w:rFonts w:hint="default" w:ascii="Times New Roman" w:hAnsi="Times New Roman" w:eastAsia="宋体" w:cs="Times New Roman"/>
          <w:color w:val="auto"/>
          <w:highlight w:val="none"/>
        </w:rPr>
        <w:t>。</w:t>
      </w:r>
    </w:p>
    <w:p w14:paraId="0CE65D5F">
      <w:pPr>
        <w:tabs>
          <w:tab w:val="left" w:pos="2940"/>
          <w:tab w:val="center" w:pos="4630"/>
        </w:tabs>
        <w:autoSpaceDE w:val="0"/>
        <w:autoSpaceDN w:val="0"/>
        <w:spacing w:line="240" w:lineRule="auto"/>
        <w:jc w:val="center"/>
        <w:rPr>
          <w:rFonts w:hint="default" w:ascii="Times New Roman" w:hAnsi="Times New Roman" w:cs="Times New Roman"/>
          <w:b/>
          <w:color w:val="auto"/>
          <w:sz w:val="21"/>
          <w:szCs w:val="21"/>
        </w:rPr>
      </w:pPr>
      <w:r>
        <w:rPr>
          <w:rFonts w:hint="default" w:ascii="Times New Roman" w:hAnsi="Times New Roman" w:cs="Times New Roman"/>
          <w:b/>
          <w:snapToGrid w:val="0"/>
          <w:color w:val="auto"/>
          <w:kern w:val="0"/>
          <w:sz w:val="21"/>
          <w:szCs w:val="21"/>
        </w:rPr>
        <w:t>表</w:t>
      </w:r>
      <w:r>
        <w:rPr>
          <w:rFonts w:hint="default" w:ascii="Times New Roman" w:hAnsi="Times New Roman" w:cs="Times New Roman"/>
          <w:b/>
          <w:snapToGrid w:val="0"/>
          <w:color w:val="auto"/>
          <w:kern w:val="0"/>
          <w:sz w:val="21"/>
          <w:szCs w:val="21"/>
          <w:lang w:val="en-US" w:eastAsia="zh-CN"/>
        </w:rPr>
        <w:t>3.4</w:t>
      </w:r>
      <w:r>
        <w:rPr>
          <w:rFonts w:hint="default" w:ascii="Times New Roman" w:hAnsi="Times New Roman" w:cs="Times New Roman"/>
          <w:b/>
          <w:snapToGrid w:val="0"/>
          <w:color w:val="auto"/>
          <w:kern w:val="0"/>
          <w:sz w:val="21"/>
          <w:szCs w:val="21"/>
        </w:rPr>
        <w:t>-</w:t>
      </w:r>
      <w:r>
        <w:rPr>
          <w:rFonts w:hint="default" w:ascii="Times New Roman" w:hAnsi="Times New Roman" w:cs="Times New Roman"/>
          <w:b/>
          <w:snapToGrid w:val="0"/>
          <w:color w:val="auto"/>
          <w:kern w:val="0"/>
          <w:sz w:val="21"/>
          <w:szCs w:val="21"/>
          <w:lang w:val="en-US" w:eastAsia="zh-CN"/>
        </w:rPr>
        <w:t>5</w:t>
      </w:r>
      <w:r>
        <w:rPr>
          <w:rFonts w:hint="default" w:ascii="Times New Roman" w:hAnsi="Times New Roman" w:cs="Times New Roman"/>
          <w:b/>
          <w:snapToGrid w:val="0"/>
          <w:color w:val="auto"/>
          <w:kern w:val="0"/>
          <w:sz w:val="21"/>
          <w:szCs w:val="21"/>
        </w:rPr>
        <w:t xml:space="preserve"> </w:t>
      </w:r>
      <w:r>
        <w:rPr>
          <w:rFonts w:hint="default" w:ascii="Times New Roman" w:hAnsi="Times New Roman" w:cs="Times New Roman"/>
          <w:b/>
          <w:color w:val="auto"/>
          <w:kern w:val="0"/>
          <w:sz w:val="21"/>
          <w:szCs w:val="21"/>
        </w:rPr>
        <w:t xml:space="preserve">  与</w:t>
      </w:r>
      <w:r>
        <w:rPr>
          <w:rFonts w:hint="default" w:ascii="Times New Roman" w:hAnsi="Times New Roman" w:eastAsia="宋体" w:cs="Times New Roman"/>
          <w:b/>
          <w:color w:val="auto"/>
          <w:sz w:val="21"/>
          <w:szCs w:val="21"/>
        </w:rPr>
        <w:t>《克孜勒苏柯尔克孜自治州</w:t>
      </w:r>
      <w:r>
        <w:rPr>
          <w:rFonts w:hint="default" w:ascii="Times New Roman" w:hAnsi="Times New Roman" w:eastAsia="宋体" w:cs="Times New Roman"/>
          <w:b/>
          <w:color w:val="auto"/>
          <w:sz w:val="21"/>
          <w:szCs w:val="21"/>
          <w:lang w:eastAsia="zh-CN"/>
        </w:rPr>
        <w:t>“</w:t>
      </w:r>
      <w:r>
        <w:rPr>
          <w:rFonts w:hint="default" w:ascii="Times New Roman" w:hAnsi="Times New Roman" w:eastAsia="宋体" w:cs="Times New Roman"/>
          <w:b/>
          <w:color w:val="auto"/>
          <w:sz w:val="21"/>
          <w:szCs w:val="21"/>
        </w:rPr>
        <w:t>三线一单</w:t>
      </w:r>
      <w:r>
        <w:rPr>
          <w:rFonts w:hint="default" w:ascii="Times New Roman" w:hAnsi="Times New Roman" w:eastAsia="宋体" w:cs="Times New Roman"/>
          <w:b/>
          <w:color w:val="auto"/>
          <w:sz w:val="21"/>
          <w:szCs w:val="21"/>
          <w:lang w:eastAsia="zh-CN"/>
        </w:rPr>
        <w:t>”</w:t>
      </w:r>
      <w:r>
        <w:rPr>
          <w:rFonts w:hint="default" w:ascii="Times New Roman" w:hAnsi="Times New Roman" w:eastAsia="宋体" w:cs="Times New Roman"/>
          <w:b/>
          <w:color w:val="auto"/>
          <w:sz w:val="21"/>
          <w:szCs w:val="21"/>
        </w:rPr>
        <w:t>生态环境分区管控方案》</w:t>
      </w:r>
      <w:r>
        <w:rPr>
          <w:rFonts w:hint="default" w:ascii="Times New Roman" w:hAnsi="Times New Roman" w:cs="Times New Roman"/>
          <w:b/>
          <w:color w:val="auto"/>
          <w:kern w:val="0"/>
          <w:sz w:val="21"/>
          <w:szCs w:val="21"/>
        </w:rPr>
        <w:t>符合</w:t>
      </w:r>
      <w:r>
        <w:rPr>
          <w:rFonts w:hint="default" w:ascii="Times New Roman" w:hAnsi="Times New Roman" w:cs="Times New Roman"/>
          <w:b/>
          <w:color w:val="auto"/>
          <w:sz w:val="21"/>
          <w:szCs w:val="21"/>
        </w:rPr>
        <w:t>性分析一览表</w:t>
      </w:r>
    </w:p>
    <w:tbl>
      <w:tblPr>
        <w:tblStyle w:val="30"/>
        <w:tblW w:w="4998"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4063"/>
        <w:gridCol w:w="3359"/>
        <w:gridCol w:w="1098"/>
      </w:tblGrid>
      <w:tr w14:paraId="0F3F9B0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2384" w:type="pct"/>
            <w:tcBorders>
              <w:tl2br w:val="nil"/>
              <w:tr2bl w:val="nil"/>
            </w:tcBorders>
            <w:noWrap w:val="0"/>
            <w:vAlign w:val="center"/>
          </w:tcPr>
          <w:p w14:paraId="3E0713AB">
            <w:pPr>
              <w:keepNext w:val="0"/>
              <w:keepLines w:val="0"/>
              <w:pageBreakBefore w:val="0"/>
              <w:widowControl w:val="0"/>
              <w:kinsoku/>
              <w:wordWrap/>
              <w:overflowPunct/>
              <w:topLinePunct w:val="0"/>
              <w:bidi w:val="0"/>
              <w:adjustRightInd w:val="0"/>
              <w:snapToGrid w:val="0"/>
              <w:ind w:left="0" w:leftChars="0" w:right="0" w:rightChars="0"/>
              <w:jc w:val="center"/>
              <w:textAlignment w:val="auto"/>
              <w:rPr>
                <w:rFonts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文件要求</w:t>
            </w:r>
          </w:p>
        </w:tc>
        <w:tc>
          <w:tcPr>
            <w:tcW w:w="1971" w:type="pct"/>
            <w:tcBorders>
              <w:tl2br w:val="nil"/>
              <w:tr2bl w:val="nil"/>
            </w:tcBorders>
            <w:noWrap w:val="0"/>
            <w:vAlign w:val="center"/>
          </w:tcPr>
          <w:p w14:paraId="429F3795">
            <w:pPr>
              <w:keepNext w:val="0"/>
              <w:keepLines w:val="0"/>
              <w:pageBreakBefore w:val="0"/>
              <w:widowControl w:val="0"/>
              <w:kinsoku/>
              <w:wordWrap/>
              <w:overflowPunct/>
              <w:topLinePunct w:val="0"/>
              <w:bidi w:val="0"/>
              <w:adjustRightInd w:val="0"/>
              <w:snapToGrid w:val="0"/>
              <w:ind w:left="0" w:leftChars="0" w:right="0" w:rightChars="0"/>
              <w:jc w:val="center"/>
              <w:textAlignment w:val="auto"/>
              <w:rPr>
                <w:rFonts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本项目情况</w:t>
            </w:r>
          </w:p>
        </w:tc>
        <w:tc>
          <w:tcPr>
            <w:tcW w:w="644" w:type="pct"/>
            <w:tcBorders>
              <w:tl2br w:val="nil"/>
              <w:tr2bl w:val="nil"/>
            </w:tcBorders>
            <w:noWrap w:val="0"/>
            <w:vAlign w:val="center"/>
          </w:tcPr>
          <w:p w14:paraId="39F0385E">
            <w:pPr>
              <w:keepNext w:val="0"/>
              <w:keepLines w:val="0"/>
              <w:pageBreakBefore w:val="0"/>
              <w:widowControl w:val="0"/>
              <w:kinsoku/>
              <w:wordWrap/>
              <w:overflowPunct/>
              <w:topLinePunct w:val="0"/>
              <w:bidi w:val="0"/>
              <w:adjustRightInd w:val="0"/>
              <w:snapToGrid w:val="0"/>
              <w:ind w:left="0" w:leftChars="0" w:right="0" w:rightChars="0"/>
              <w:jc w:val="center"/>
              <w:textAlignment w:val="auto"/>
              <w:rPr>
                <w:rFonts w:ascii="Times New Roman" w:hAnsi="Times New Roman" w:eastAsia="宋体" w:cs="Times New Roman"/>
                <w:color w:val="auto"/>
                <w:kern w:val="0"/>
                <w:sz w:val="21"/>
                <w:szCs w:val="21"/>
                <w:lang w:val="en-US" w:eastAsia="zh-CN" w:bidi="ar-SA"/>
              </w:rPr>
            </w:pPr>
            <w:r>
              <w:rPr>
                <w:rFonts w:ascii="Times New Roman" w:hAnsi="Times New Roman" w:eastAsia="宋体" w:cs="Times New Roman"/>
                <w:color w:val="auto"/>
                <w:kern w:val="0"/>
                <w:sz w:val="21"/>
                <w:szCs w:val="21"/>
                <w:lang w:val="en-US" w:eastAsia="zh-CN" w:bidi="ar-SA"/>
              </w:rPr>
              <w:t>符合</w:t>
            </w:r>
            <w:r>
              <w:rPr>
                <w:rFonts w:hint="eastAsia" w:ascii="Times New Roman" w:hAnsi="Times New Roman" w:eastAsia="宋体" w:cs="Times New Roman"/>
                <w:color w:val="auto"/>
                <w:kern w:val="0"/>
                <w:sz w:val="21"/>
                <w:szCs w:val="21"/>
                <w:lang w:val="en-US" w:eastAsia="zh-CN" w:bidi="ar-SA"/>
              </w:rPr>
              <w:t>性</w:t>
            </w:r>
          </w:p>
        </w:tc>
      </w:tr>
      <w:tr w14:paraId="4F4DB30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2384" w:type="pct"/>
            <w:tcBorders>
              <w:tl2br w:val="nil"/>
              <w:tr2bl w:val="nil"/>
            </w:tcBorders>
            <w:noWrap w:val="0"/>
            <w:vAlign w:val="center"/>
          </w:tcPr>
          <w:p w14:paraId="12153E03">
            <w:pPr>
              <w:keepNext w:val="0"/>
              <w:keepLines w:val="0"/>
              <w:pageBreakBefore w:val="0"/>
              <w:widowControl w:val="0"/>
              <w:kinsoku/>
              <w:wordWrap/>
              <w:overflowPunct/>
              <w:topLinePunct w:val="0"/>
              <w:bidi w:val="0"/>
              <w:adjustRightInd w:val="0"/>
              <w:snapToGrid w:val="0"/>
              <w:ind w:left="0" w:leftChars="0" w:right="0" w:rightChars="0"/>
              <w:jc w:val="both"/>
              <w:textAlignment w:val="auto"/>
              <w:rPr>
                <w:rFonts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bidi="ar-SA"/>
              </w:rPr>
              <w:t>本次更新后，全州共划定环境管控单元46个。其中：优先保护单元31个，主要包括生态保护红线区和生态保护红线区以外的饮用水源地、水源涵养区、防风固沙区、水土流失防控区等一般生态空间管控区。生态保护红线区执行生态保护红线管理办法的有关要求；一般生态空间管控区以生态环境保护优先为原则，开发建设活动严格执行相关法律法规要求，严守生态环境质量底线，确保生态功能不降低。重点管控单元11个，主要包括各县(市)城镇建成区、工业园区、建设用地污染风险重点管控企业、水环境重点管控区、大气环境重点管控区等。重点管控单元着力优化空间布局，不断提升资源利用效率，有针对性地加强污染物排放管控和环境风险防控，解决生态环境质量不达标、生态环境风险高等问题。一般管控单元4个，主要包括优先保护单元和重点管控单元之外的其他区域。一般管控单元主要落实生态环境保护基本要求，重点加强农业、生活等领域污染治理，推动区域环境质量持续改善。</w:t>
            </w:r>
          </w:p>
        </w:tc>
        <w:tc>
          <w:tcPr>
            <w:tcW w:w="1971" w:type="pct"/>
            <w:tcBorders>
              <w:tl2br w:val="nil"/>
              <w:tr2bl w:val="nil"/>
            </w:tcBorders>
            <w:noWrap w:val="0"/>
            <w:vAlign w:val="center"/>
          </w:tcPr>
          <w:p w14:paraId="55422F97">
            <w:pPr>
              <w:keepNext w:val="0"/>
              <w:keepLines w:val="0"/>
              <w:pageBreakBefore w:val="0"/>
              <w:widowControl w:val="0"/>
              <w:kinsoku/>
              <w:wordWrap/>
              <w:overflowPunct/>
              <w:topLinePunct w:val="0"/>
              <w:bidi w:val="0"/>
              <w:adjustRightInd w:val="0"/>
              <w:snapToGrid w:val="0"/>
              <w:ind w:left="0" w:leftChars="0" w:right="0" w:rightChars="0"/>
              <w:jc w:val="both"/>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bidi="ar-SA"/>
              </w:rPr>
              <w:t>本项目为交通运输项目，主要建设公路、隧道及配套设施，项目位于阿图什市、喀什市境内，项目位于一般管控单元，项目在运行过程中采取了各项环保措施，符合管控区分类管理要求。</w:t>
            </w:r>
          </w:p>
        </w:tc>
        <w:tc>
          <w:tcPr>
            <w:tcW w:w="644" w:type="pct"/>
            <w:tcBorders>
              <w:tl2br w:val="nil"/>
              <w:tr2bl w:val="nil"/>
            </w:tcBorders>
            <w:noWrap w:val="0"/>
            <w:vAlign w:val="center"/>
          </w:tcPr>
          <w:p w14:paraId="548EEB39">
            <w:pPr>
              <w:keepNext w:val="0"/>
              <w:keepLines w:val="0"/>
              <w:pageBreakBefore w:val="0"/>
              <w:widowControl w:val="0"/>
              <w:kinsoku/>
              <w:wordWrap/>
              <w:overflowPunct/>
              <w:topLinePunct w:val="0"/>
              <w:bidi w:val="0"/>
              <w:adjustRightInd w:val="0"/>
              <w:snapToGrid w:val="0"/>
              <w:ind w:left="0" w:leftChars="0" w:right="0" w:rightChars="0"/>
              <w:jc w:val="center"/>
              <w:textAlignment w:val="auto"/>
              <w:rPr>
                <w:rFonts w:ascii="Times New Roman" w:hAnsi="Times New Roman" w:eastAsia="宋体" w:cs="Times New Roman"/>
                <w:color w:val="auto"/>
                <w:kern w:val="0"/>
                <w:sz w:val="21"/>
                <w:szCs w:val="21"/>
                <w:lang w:val="en-US" w:eastAsia="zh-CN" w:bidi="ar-SA"/>
              </w:rPr>
            </w:pPr>
            <w:r>
              <w:rPr>
                <w:rFonts w:ascii="Times New Roman" w:hAnsi="Times New Roman" w:eastAsia="宋体" w:cs="Times New Roman"/>
                <w:color w:val="auto"/>
                <w:kern w:val="0"/>
                <w:sz w:val="21"/>
                <w:szCs w:val="21"/>
                <w:lang w:val="en-US" w:eastAsia="zh-CN" w:bidi="ar-SA"/>
              </w:rPr>
              <w:t>符合</w:t>
            </w:r>
          </w:p>
        </w:tc>
      </w:tr>
    </w:tbl>
    <w:p w14:paraId="21F14903">
      <w:pPr>
        <w:keepNext w:val="0"/>
        <w:keepLines w:val="0"/>
        <w:pageBreakBefore w:val="0"/>
        <w:kinsoku/>
        <w:wordWrap/>
        <w:overflowPunct/>
        <w:topLinePunct w:val="0"/>
        <w:autoSpaceDE w:val="0"/>
        <w:autoSpaceDN w:val="0"/>
        <w:bidi w:val="0"/>
        <w:adjustRightInd w:val="0"/>
        <w:snapToGrid w:val="0"/>
        <w:spacing w:line="360" w:lineRule="auto"/>
        <w:ind w:left="0" w:leftChars="0" w:right="0" w:rightChars="0" w:firstLine="480" w:firstLineChars="200"/>
        <w:textAlignment w:val="auto"/>
        <w:rPr>
          <w:rFonts w:hint="eastAsia"/>
          <w:color w:val="auto"/>
          <w:sz w:val="24"/>
        </w:rPr>
      </w:pPr>
      <w:r>
        <w:rPr>
          <w:rFonts w:hint="eastAsia"/>
          <w:color w:val="auto"/>
          <w:sz w:val="24"/>
        </w:rPr>
        <w:t>根据《克孜勒苏柯尔克孜自治州“三线一单”生态环境分区管控方案</w:t>
      </w:r>
      <w:r>
        <w:rPr>
          <w:rFonts w:hint="eastAsia" w:ascii="Times New Roman"/>
          <w:color w:val="auto"/>
          <w:sz w:val="24"/>
          <w:lang w:val="en-US"/>
        </w:rPr>
        <w:t>动态更新成果</w:t>
      </w:r>
      <w:r>
        <w:rPr>
          <w:rFonts w:hint="eastAsia"/>
          <w:color w:val="auto"/>
          <w:sz w:val="24"/>
          <w:lang w:val="en-US" w:eastAsia="zh-CN"/>
        </w:rPr>
        <w:t>》</w:t>
      </w:r>
      <w:r>
        <w:rPr>
          <w:rFonts w:hint="eastAsia"/>
          <w:color w:val="auto"/>
          <w:sz w:val="24"/>
        </w:rPr>
        <w:t>要求，</w:t>
      </w:r>
      <w:r>
        <w:rPr>
          <w:rFonts w:hint="eastAsia" w:ascii="Times New Roman" w:eastAsia="宋体"/>
          <w:color w:val="auto"/>
          <w:sz w:val="24"/>
          <w:lang w:val="en-US" w:eastAsia="zh-CN"/>
        </w:rPr>
        <w:t>本项目为交通运输项目，项目位于阿图什市、喀什市境内。涉及阿图什境内项目所属管控单元为一般管控单元，环境管控单元</w:t>
      </w:r>
      <w:r>
        <w:rPr>
          <w:rFonts w:hint="eastAsia"/>
          <w:color w:val="auto"/>
          <w:sz w:val="24"/>
        </w:rPr>
        <w:t>编码为：</w:t>
      </w:r>
      <w:r>
        <w:rPr>
          <w:rFonts w:hint="eastAsia" w:eastAsia="宋体"/>
          <w:color w:val="auto"/>
          <w:sz w:val="24"/>
          <w:lang w:eastAsia="zh-CN"/>
        </w:rPr>
        <w:t>（ZH</w:t>
      </w:r>
      <w:r>
        <w:rPr>
          <w:rFonts w:hint="eastAsia" w:ascii="Times New Roman" w:eastAsia="宋体"/>
          <w:color w:val="auto"/>
          <w:sz w:val="24"/>
          <w:lang w:val="en-US" w:eastAsia="zh-CN"/>
        </w:rPr>
        <w:t>65300130001</w:t>
      </w:r>
      <w:r>
        <w:rPr>
          <w:rFonts w:hint="eastAsia"/>
          <w:color w:val="auto"/>
          <w:sz w:val="24"/>
        </w:rPr>
        <w:t>）；与克孜勒苏柯尔克孜自治州生态环境准入清单符合性分析一览表见表</w:t>
      </w:r>
      <w:r>
        <w:rPr>
          <w:rFonts w:hint="eastAsia" w:ascii="Times New Roman" w:eastAsia="宋体"/>
          <w:color w:val="auto"/>
          <w:sz w:val="24"/>
          <w:lang w:val="en-US" w:eastAsia="zh-CN"/>
        </w:rPr>
        <w:t>3.4-6</w:t>
      </w:r>
      <w:r>
        <w:rPr>
          <w:rFonts w:hint="eastAsia"/>
          <w:color w:val="auto"/>
          <w:sz w:val="24"/>
        </w:rPr>
        <w:t>。</w:t>
      </w:r>
    </w:p>
    <w:p w14:paraId="5A4D8328">
      <w:pPr>
        <w:keepNext w:val="0"/>
        <w:keepLines w:val="0"/>
        <w:pageBreakBefore w:val="0"/>
        <w:widowControl w:val="0"/>
        <w:kinsoku/>
        <w:wordWrap/>
        <w:overflowPunct/>
        <w:topLinePunct w:val="0"/>
        <w:bidi w:val="0"/>
        <w:adjustRightInd w:val="0"/>
        <w:snapToGrid w:val="0"/>
        <w:ind w:left="0" w:leftChars="0" w:right="0" w:rightChars="0" w:firstLine="422" w:firstLineChars="200"/>
        <w:jc w:val="center"/>
        <w:textAlignment w:val="auto"/>
        <w:rPr>
          <w:rFonts w:ascii="Times New Roman" w:hAnsi="Times New Roman" w:eastAsia="宋体" w:cs="Times New Roman"/>
          <w:b/>
          <w:bCs/>
          <w:color w:val="auto"/>
          <w:kern w:val="2"/>
          <w:sz w:val="21"/>
          <w:szCs w:val="21"/>
          <w:highlight w:val="yellow"/>
          <w:lang w:val="en-US" w:eastAsia="zh-CN" w:bidi="ar-SA"/>
        </w:rPr>
      </w:pPr>
      <w:r>
        <w:rPr>
          <w:rFonts w:ascii="Times New Roman" w:hAnsi="Times New Roman" w:eastAsia="宋体" w:cs="Times New Roman"/>
          <w:b/>
          <w:bCs/>
          <w:color w:val="auto"/>
          <w:kern w:val="2"/>
          <w:sz w:val="21"/>
          <w:szCs w:val="21"/>
          <w:highlight w:val="none"/>
          <w:lang w:val="en-US" w:eastAsia="zh-CN" w:bidi="ar-SA"/>
        </w:rPr>
        <w:t>表</w:t>
      </w:r>
      <w:r>
        <w:rPr>
          <w:rFonts w:hint="eastAsia" w:ascii="Times New Roman" w:hAnsi="Times New Roman" w:eastAsia="宋体" w:cs="Times New Roman"/>
          <w:b/>
          <w:bCs/>
          <w:color w:val="auto"/>
          <w:kern w:val="2"/>
          <w:sz w:val="21"/>
          <w:szCs w:val="21"/>
          <w:highlight w:val="none"/>
          <w:lang w:val="en-US" w:eastAsia="zh-CN" w:bidi="ar-SA"/>
        </w:rPr>
        <w:t>3.4-6</w:t>
      </w:r>
      <w:r>
        <w:rPr>
          <w:rFonts w:ascii="Times New Roman" w:hAnsi="Times New Roman" w:eastAsia="宋体" w:cs="Times New Roman"/>
          <w:b/>
          <w:bCs/>
          <w:color w:val="auto"/>
          <w:kern w:val="2"/>
          <w:sz w:val="21"/>
          <w:szCs w:val="21"/>
          <w:highlight w:val="none"/>
          <w:lang w:val="en-US" w:eastAsia="zh-CN" w:bidi="ar-SA"/>
        </w:rPr>
        <w:t xml:space="preserve">  与</w:t>
      </w:r>
      <w:r>
        <w:rPr>
          <w:rFonts w:hint="eastAsia" w:ascii="Times New Roman" w:hAnsi="Times New Roman" w:eastAsia="宋体" w:cs="Times New Roman"/>
          <w:b/>
          <w:bCs/>
          <w:color w:val="auto"/>
          <w:kern w:val="2"/>
          <w:sz w:val="21"/>
          <w:szCs w:val="21"/>
          <w:highlight w:val="none"/>
          <w:lang w:val="en-US" w:eastAsia="zh-CN" w:bidi="ar-SA"/>
        </w:rPr>
        <w:t>《克孜勒苏柯尔克孜自治州“三线一单”生态环境分区管控方案动态更新成果》</w:t>
      </w:r>
      <w:r>
        <w:rPr>
          <w:rFonts w:ascii="Times New Roman" w:hAnsi="Times New Roman" w:eastAsia="宋体" w:cs="Times New Roman"/>
          <w:b/>
          <w:bCs/>
          <w:color w:val="auto"/>
          <w:kern w:val="2"/>
          <w:sz w:val="21"/>
          <w:szCs w:val="21"/>
          <w:highlight w:val="none"/>
          <w:lang w:val="en-US" w:eastAsia="zh-CN" w:bidi="ar-SA"/>
        </w:rPr>
        <w:t>符合性分析</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2"/>
        <w:gridCol w:w="3970"/>
        <w:gridCol w:w="2652"/>
        <w:gridCol w:w="996"/>
      </w:tblGrid>
      <w:tr w14:paraId="21EBE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529" w:type="pct"/>
            <w:tcBorders>
              <w:tl2br w:val="nil"/>
              <w:tr2bl w:val="nil"/>
            </w:tcBorders>
            <w:noWrap w:val="0"/>
            <w:vAlign w:val="center"/>
          </w:tcPr>
          <w:p w14:paraId="15479C9C">
            <w:pPr>
              <w:pStyle w:val="127"/>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类别</w:t>
            </w:r>
          </w:p>
        </w:tc>
        <w:tc>
          <w:tcPr>
            <w:tcW w:w="2329" w:type="pct"/>
            <w:tcBorders>
              <w:tl2br w:val="nil"/>
              <w:tr2bl w:val="nil"/>
            </w:tcBorders>
            <w:noWrap w:val="0"/>
            <w:vAlign w:val="center"/>
          </w:tcPr>
          <w:p w14:paraId="583A3CE3">
            <w:pPr>
              <w:pStyle w:val="127"/>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文件</w:t>
            </w:r>
            <w:r>
              <w:rPr>
                <w:rFonts w:ascii="Times New Roman" w:hAnsi="Times New Roman" w:cs="Times New Roman"/>
                <w:color w:val="auto"/>
                <w:sz w:val="21"/>
                <w:szCs w:val="21"/>
                <w:lang w:val="en-US"/>
              </w:rPr>
              <w:t>要求</w:t>
            </w:r>
          </w:p>
        </w:tc>
        <w:tc>
          <w:tcPr>
            <w:tcW w:w="1556" w:type="pct"/>
            <w:tcBorders>
              <w:tl2br w:val="nil"/>
              <w:tr2bl w:val="nil"/>
            </w:tcBorders>
            <w:noWrap w:val="0"/>
            <w:vAlign w:val="center"/>
          </w:tcPr>
          <w:p w14:paraId="2B3EA386">
            <w:pPr>
              <w:pStyle w:val="127"/>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本项目情况</w:t>
            </w:r>
          </w:p>
        </w:tc>
        <w:tc>
          <w:tcPr>
            <w:tcW w:w="584" w:type="pct"/>
            <w:tcBorders>
              <w:tl2br w:val="nil"/>
              <w:tr2bl w:val="nil"/>
            </w:tcBorders>
            <w:noWrap w:val="0"/>
            <w:vAlign w:val="center"/>
          </w:tcPr>
          <w:p w14:paraId="771BA474">
            <w:pPr>
              <w:pStyle w:val="127"/>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符合性</w:t>
            </w:r>
          </w:p>
        </w:tc>
      </w:tr>
      <w:tr w14:paraId="1ECC0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9" w:type="pct"/>
            <w:tcBorders>
              <w:tl2br w:val="nil"/>
              <w:tr2bl w:val="nil"/>
            </w:tcBorders>
            <w:noWrap w:val="0"/>
            <w:vAlign w:val="center"/>
          </w:tcPr>
          <w:p w14:paraId="2F653CB1">
            <w:pPr>
              <w:pStyle w:val="127"/>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空间布局约束</w:t>
            </w:r>
          </w:p>
        </w:tc>
        <w:tc>
          <w:tcPr>
            <w:tcW w:w="2329" w:type="pct"/>
            <w:tcBorders>
              <w:tl2br w:val="nil"/>
              <w:tr2bl w:val="nil"/>
            </w:tcBorders>
            <w:noWrap w:val="0"/>
            <w:vAlign w:val="center"/>
          </w:tcPr>
          <w:p w14:paraId="2B65891C">
            <w:pPr>
              <w:pStyle w:val="127"/>
              <w:keepNext w:val="0"/>
              <w:keepLines w:val="0"/>
              <w:pageBreakBefore w:val="0"/>
              <w:kinsoku/>
              <w:wordWrap/>
              <w:overflowPunct/>
              <w:topLinePunct w:val="0"/>
              <w:bidi w:val="0"/>
              <w:adjustRightInd/>
              <w:snapToGrid/>
              <w:spacing w:line="240" w:lineRule="auto"/>
              <w:ind w:left="0" w:leftChars="0" w:right="0" w:rightChars="0" w:firstLine="0" w:firstLineChars="0"/>
              <w:jc w:val="both"/>
              <w:textAlignment w:val="auto"/>
              <w:rPr>
                <w:rFonts w:hint="eastAsia"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1.执行自治州总体管控要求</w:t>
            </w:r>
            <w:r>
              <w:rPr>
                <w:rFonts w:hint="eastAsia" w:ascii="Times New Roman" w:hAnsi="Times New Roman" w:cs="Times New Roman"/>
                <w:color w:val="auto"/>
                <w:sz w:val="21"/>
                <w:szCs w:val="21"/>
                <w:lang w:val="en-US" w:eastAsia="zh-CN"/>
              </w:rPr>
              <w:t>、一般管控单元分类管控要求</w:t>
            </w:r>
            <w:r>
              <w:rPr>
                <w:rFonts w:hint="eastAsia" w:ascii="Times New Roman" w:hAnsi="Times New Roman" w:cs="Times New Roman"/>
                <w:color w:val="auto"/>
                <w:sz w:val="21"/>
                <w:szCs w:val="21"/>
                <w:lang w:val="en-US"/>
              </w:rPr>
              <w:t>中关于空间布局</w:t>
            </w:r>
            <w:r>
              <w:rPr>
                <w:rFonts w:hint="eastAsia" w:ascii="Times New Roman" w:hAnsi="Times New Roman" w:cs="Times New Roman"/>
                <w:color w:val="auto"/>
                <w:sz w:val="21"/>
                <w:szCs w:val="21"/>
                <w:lang w:val="en-US" w:eastAsia="zh-CN"/>
              </w:rPr>
              <w:t>约束的</w:t>
            </w:r>
            <w:r>
              <w:rPr>
                <w:rFonts w:hint="eastAsia" w:ascii="Times New Roman" w:hAnsi="Times New Roman" w:cs="Times New Roman"/>
                <w:color w:val="auto"/>
                <w:sz w:val="21"/>
                <w:szCs w:val="21"/>
                <w:lang w:val="en-US"/>
              </w:rPr>
              <w:t>准入要求。</w:t>
            </w:r>
          </w:p>
          <w:p w14:paraId="62299445">
            <w:pPr>
              <w:pStyle w:val="127"/>
              <w:keepNext w:val="0"/>
              <w:keepLines w:val="0"/>
              <w:pageBreakBefore w:val="0"/>
              <w:kinsoku/>
              <w:wordWrap/>
              <w:overflowPunct/>
              <w:topLinePunct w:val="0"/>
              <w:bidi w:val="0"/>
              <w:adjustRightInd/>
              <w:snapToGrid/>
              <w:spacing w:line="240" w:lineRule="auto"/>
              <w:ind w:left="0" w:leftChars="0" w:right="0" w:rightChars="0" w:firstLine="0" w:firstLineChars="0"/>
              <w:jc w:val="both"/>
              <w:textAlignment w:val="auto"/>
              <w:rPr>
                <w:rFonts w:hint="eastAsia" w:ascii="Times New Roman" w:hAnsi="Times New Roman" w:cs="Times New Roman"/>
                <w:color w:val="auto"/>
                <w:sz w:val="21"/>
                <w:szCs w:val="21"/>
                <w:lang w:val="en-US"/>
              </w:rPr>
            </w:pPr>
          </w:p>
        </w:tc>
        <w:tc>
          <w:tcPr>
            <w:tcW w:w="1556" w:type="pct"/>
            <w:tcBorders>
              <w:tl2br w:val="nil"/>
              <w:tr2bl w:val="nil"/>
            </w:tcBorders>
            <w:noWrap w:val="0"/>
            <w:vAlign w:val="center"/>
          </w:tcPr>
          <w:p w14:paraId="22153CD9">
            <w:pPr>
              <w:pStyle w:val="127"/>
              <w:keepNext w:val="0"/>
              <w:keepLines w:val="0"/>
              <w:pageBreakBefore w:val="0"/>
              <w:kinsoku/>
              <w:wordWrap/>
              <w:overflowPunct/>
              <w:topLinePunct w:val="0"/>
              <w:bidi w:val="0"/>
              <w:adjustRightInd/>
              <w:snapToGrid/>
              <w:spacing w:line="240" w:lineRule="auto"/>
              <w:ind w:left="0" w:leftChars="0" w:right="0" w:rightChars="0" w:firstLine="0" w:firstLineChars="0"/>
              <w:jc w:val="both"/>
              <w:textAlignment w:val="auto"/>
              <w:rPr>
                <w:rFonts w:hint="default"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本项目</w:t>
            </w:r>
            <w:r>
              <w:rPr>
                <w:rFonts w:hint="eastAsia" w:ascii="Times New Roman" w:hAnsi="Times New Roman" w:cs="Times New Roman"/>
                <w:color w:val="auto"/>
                <w:sz w:val="21"/>
                <w:szCs w:val="21"/>
                <w:lang w:val="en-US" w:eastAsia="zh-CN"/>
              </w:rPr>
              <w:t>终点涉及喀什市境内-喀什经济开发区。</w:t>
            </w:r>
            <w:r>
              <w:rPr>
                <w:rFonts w:hint="eastAsia" w:ascii="Times New Roman" w:hAnsi="Times New Roman" w:eastAsia="宋体" w:cs="Times New Roman"/>
                <w:b w:val="0"/>
                <w:bCs/>
                <w:color w:val="auto"/>
                <w:sz w:val="21"/>
                <w:szCs w:val="21"/>
                <w:highlight w:val="none"/>
                <w:vertAlign w:val="baseline"/>
                <w:lang w:val="en-US" w:eastAsia="zh-CN"/>
              </w:rPr>
              <w:t>项目为交通运输项目，主要建设公路、隧道及配套设施。</w:t>
            </w:r>
            <w:r>
              <w:rPr>
                <w:rFonts w:hint="eastAsia" w:ascii="Times New Roman" w:hAnsi="Times New Roman" w:cs="Times New Roman"/>
                <w:color w:val="auto"/>
                <w:sz w:val="21"/>
                <w:szCs w:val="21"/>
                <w:highlight w:val="none"/>
                <w:u w:val="none"/>
                <w:lang w:val="en-US" w:eastAsia="zh-CN"/>
              </w:rPr>
              <w:t>项目的建设能够执行自治州总体管控要求、</w:t>
            </w:r>
            <w:r>
              <w:rPr>
                <w:rFonts w:hint="eastAsia" w:ascii="Times New Roman" w:hAnsi="Times New Roman" w:cs="Times New Roman"/>
                <w:color w:val="auto"/>
                <w:sz w:val="21"/>
                <w:szCs w:val="21"/>
                <w:lang w:val="en-US" w:eastAsia="zh-CN"/>
              </w:rPr>
              <w:t>一般管控单元分类管控要求中关于空间布局约束的准入要求。</w:t>
            </w:r>
            <w:r>
              <w:rPr>
                <w:rFonts w:hint="eastAsia" w:ascii="Times New Roman" w:hAnsi="Times New Roman" w:cs="Times New Roman"/>
                <w:color w:val="auto"/>
                <w:sz w:val="21"/>
                <w:szCs w:val="21"/>
                <w:highlight w:val="none"/>
                <w:u w:val="none"/>
                <w:lang w:val="en-US" w:eastAsia="zh-CN"/>
              </w:rPr>
              <w:t>项目的建设不占用园区用地。因此，本项目的建设符合克孜勒苏柯尔克孜自治州空间布局约束要求。</w:t>
            </w:r>
          </w:p>
        </w:tc>
        <w:tc>
          <w:tcPr>
            <w:tcW w:w="584" w:type="pct"/>
            <w:tcBorders>
              <w:tl2br w:val="nil"/>
              <w:tr2bl w:val="nil"/>
            </w:tcBorders>
            <w:noWrap w:val="0"/>
            <w:vAlign w:val="center"/>
          </w:tcPr>
          <w:p w14:paraId="2D59F1CE">
            <w:pPr>
              <w:pStyle w:val="127"/>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hint="eastAsia"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符合</w:t>
            </w:r>
          </w:p>
        </w:tc>
      </w:tr>
      <w:tr w14:paraId="67BEC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9" w:type="pct"/>
            <w:tcBorders>
              <w:tl2br w:val="nil"/>
              <w:tr2bl w:val="nil"/>
            </w:tcBorders>
            <w:noWrap w:val="0"/>
            <w:vAlign w:val="center"/>
          </w:tcPr>
          <w:p w14:paraId="0F24F1BB">
            <w:pPr>
              <w:pStyle w:val="127"/>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hint="eastAsia"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污染物排放管控</w:t>
            </w:r>
          </w:p>
        </w:tc>
        <w:tc>
          <w:tcPr>
            <w:tcW w:w="2329" w:type="pct"/>
            <w:tcBorders>
              <w:tl2br w:val="nil"/>
              <w:tr2bl w:val="nil"/>
            </w:tcBorders>
            <w:noWrap w:val="0"/>
            <w:vAlign w:val="center"/>
          </w:tcPr>
          <w:p w14:paraId="6FE46EE1">
            <w:pPr>
              <w:pStyle w:val="127"/>
              <w:keepNext w:val="0"/>
              <w:keepLines w:val="0"/>
              <w:pageBreakBefore w:val="0"/>
              <w:numPr>
                <w:ilvl w:val="0"/>
                <w:numId w:val="0"/>
              </w:numPr>
              <w:kinsoku/>
              <w:wordWrap/>
              <w:overflowPunct/>
              <w:topLinePunct w:val="0"/>
              <w:bidi w:val="0"/>
              <w:adjustRightInd/>
              <w:snapToGrid/>
              <w:spacing w:line="240" w:lineRule="auto"/>
              <w:ind w:right="0" w:rightChars="0" w:firstLine="0" w:firstLineChars="0"/>
              <w:jc w:val="both"/>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1.执行自治州总体管控要求、</w:t>
            </w:r>
            <w:r>
              <w:rPr>
                <w:rFonts w:hint="eastAsia" w:ascii="Times New Roman" w:hAnsi="Times New Roman" w:cs="Times New Roman"/>
                <w:color w:val="auto"/>
                <w:sz w:val="21"/>
                <w:szCs w:val="21"/>
                <w:lang w:val="en-US" w:eastAsia="zh-CN"/>
              </w:rPr>
              <w:t>一般管控单元分类管控要求中关于污染物排放管控的准入要求。</w:t>
            </w:r>
          </w:p>
        </w:tc>
        <w:tc>
          <w:tcPr>
            <w:tcW w:w="1556" w:type="pct"/>
            <w:tcBorders>
              <w:tl2br w:val="nil"/>
              <w:tr2bl w:val="nil"/>
            </w:tcBorders>
            <w:noWrap w:val="0"/>
            <w:vAlign w:val="center"/>
          </w:tcPr>
          <w:p w14:paraId="254F7787">
            <w:pPr>
              <w:pStyle w:val="127"/>
              <w:keepNext w:val="0"/>
              <w:keepLines w:val="0"/>
              <w:pageBreakBefore w:val="0"/>
              <w:kinsoku/>
              <w:wordWrap/>
              <w:overflowPunct/>
              <w:topLinePunct w:val="0"/>
              <w:bidi w:val="0"/>
              <w:adjustRightInd/>
              <w:snapToGrid/>
              <w:spacing w:line="240" w:lineRule="auto"/>
              <w:ind w:left="0" w:leftChars="0" w:right="0" w:rightChars="0" w:firstLine="0" w:firstLineChars="0"/>
              <w:jc w:val="both"/>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本项目实施后严格落实环境保护措施，</w:t>
            </w:r>
            <w:r>
              <w:rPr>
                <w:rFonts w:hint="eastAsia" w:ascii="Times New Roman" w:hAnsi="Times New Roman" w:cs="Times New Roman"/>
                <w:color w:val="auto"/>
                <w:sz w:val="21"/>
                <w:szCs w:val="21"/>
                <w:lang w:val="en-US" w:eastAsia="zh-CN"/>
              </w:rPr>
              <w:t>能够执行自治州总体管控要求、一般管控单元分类管控要求。因此，本项目的建设符合污染物排放管控要求。</w:t>
            </w:r>
          </w:p>
        </w:tc>
        <w:tc>
          <w:tcPr>
            <w:tcW w:w="584" w:type="pct"/>
            <w:tcBorders>
              <w:tl2br w:val="nil"/>
              <w:tr2bl w:val="nil"/>
            </w:tcBorders>
            <w:noWrap w:val="0"/>
            <w:vAlign w:val="center"/>
          </w:tcPr>
          <w:p w14:paraId="4C94BABE">
            <w:pPr>
              <w:pStyle w:val="127"/>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符合</w:t>
            </w:r>
          </w:p>
        </w:tc>
      </w:tr>
      <w:tr w14:paraId="676EC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9" w:type="pct"/>
            <w:tcBorders>
              <w:tl2br w:val="nil"/>
              <w:tr2bl w:val="nil"/>
            </w:tcBorders>
            <w:noWrap w:val="0"/>
            <w:vAlign w:val="center"/>
          </w:tcPr>
          <w:p w14:paraId="54A430D5">
            <w:pPr>
              <w:pStyle w:val="127"/>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hint="eastAsia"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环境风险防控</w:t>
            </w:r>
          </w:p>
        </w:tc>
        <w:tc>
          <w:tcPr>
            <w:tcW w:w="2329" w:type="pct"/>
            <w:tcBorders>
              <w:tl2br w:val="nil"/>
              <w:tr2bl w:val="nil"/>
            </w:tcBorders>
            <w:noWrap w:val="0"/>
            <w:vAlign w:val="center"/>
          </w:tcPr>
          <w:p w14:paraId="1B7E3464">
            <w:pPr>
              <w:pStyle w:val="127"/>
              <w:keepNext w:val="0"/>
              <w:keepLines w:val="0"/>
              <w:pageBreakBefore w:val="0"/>
              <w:kinsoku/>
              <w:wordWrap/>
              <w:overflowPunct/>
              <w:topLinePunct w:val="0"/>
              <w:bidi w:val="0"/>
              <w:adjustRightInd/>
              <w:snapToGrid/>
              <w:spacing w:line="240" w:lineRule="auto"/>
              <w:ind w:left="0" w:leftChars="0" w:right="0" w:rightChars="0" w:firstLine="0" w:firstLineChars="0"/>
              <w:jc w:val="both"/>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lang w:val="en-US"/>
              </w:rPr>
              <w:t>执行自治州总体管控要求</w:t>
            </w:r>
            <w:r>
              <w:rPr>
                <w:rFonts w:hint="eastAsia" w:ascii="Times New Roman" w:hAnsi="Times New Roman" w:cs="Times New Roman"/>
                <w:color w:val="auto"/>
                <w:sz w:val="21"/>
                <w:szCs w:val="21"/>
                <w:lang w:val="en-US" w:eastAsia="zh-CN"/>
              </w:rPr>
              <w:t>、一般管控单元分类管控要求中关于环境风险防控的准入要求。</w:t>
            </w:r>
          </w:p>
        </w:tc>
        <w:tc>
          <w:tcPr>
            <w:tcW w:w="1556" w:type="pct"/>
            <w:tcBorders>
              <w:tl2br w:val="nil"/>
              <w:tr2bl w:val="nil"/>
            </w:tcBorders>
            <w:noWrap w:val="0"/>
            <w:vAlign w:val="center"/>
          </w:tcPr>
          <w:p w14:paraId="28A0DDBF">
            <w:pPr>
              <w:pStyle w:val="127"/>
              <w:keepNext w:val="0"/>
              <w:keepLines w:val="0"/>
              <w:pageBreakBefore w:val="0"/>
              <w:kinsoku/>
              <w:wordWrap/>
              <w:overflowPunct/>
              <w:topLinePunct w:val="0"/>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lang w:val="en-US" w:eastAsia="zh-CN"/>
              </w:rPr>
            </w:pPr>
            <w:r>
              <w:rPr>
                <w:rFonts w:ascii="Times New Roman" w:hAnsi="Times New Roman" w:cs="Times New Roman"/>
                <w:color w:val="auto"/>
                <w:sz w:val="21"/>
                <w:szCs w:val="21"/>
                <w:lang w:val="en-US"/>
              </w:rPr>
              <w:t>本项目实施后严格落实环境保护措施，</w:t>
            </w:r>
            <w:r>
              <w:rPr>
                <w:rFonts w:hint="eastAsia" w:ascii="Times New Roman" w:hAnsi="Times New Roman" w:cs="Times New Roman"/>
                <w:color w:val="auto"/>
                <w:sz w:val="21"/>
                <w:szCs w:val="21"/>
                <w:lang w:val="en-US" w:eastAsia="zh-CN"/>
              </w:rPr>
              <w:t>能够执行自治州总体管控要求、执行重点管控单元中关于环境风险防控的要求。因此，本项目的建设符合环境风险防控要求。</w:t>
            </w:r>
          </w:p>
        </w:tc>
        <w:tc>
          <w:tcPr>
            <w:tcW w:w="584" w:type="pct"/>
            <w:tcBorders>
              <w:tl2br w:val="nil"/>
              <w:tr2bl w:val="nil"/>
            </w:tcBorders>
            <w:noWrap w:val="0"/>
            <w:vAlign w:val="center"/>
          </w:tcPr>
          <w:p w14:paraId="7E9A66F1">
            <w:pPr>
              <w:pStyle w:val="127"/>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符合</w:t>
            </w:r>
          </w:p>
        </w:tc>
      </w:tr>
      <w:tr w14:paraId="7755C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9" w:type="pct"/>
            <w:tcBorders>
              <w:tl2br w:val="nil"/>
              <w:tr2bl w:val="nil"/>
            </w:tcBorders>
            <w:noWrap w:val="0"/>
            <w:vAlign w:val="center"/>
          </w:tcPr>
          <w:p w14:paraId="62483851">
            <w:pPr>
              <w:pStyle w:val="127"/>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hint="eastAsia"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资源利用效率</w:t>
            </w:r>
          </w:p>
        </w:tc>
        <w:tc>
          <w:tcPr>
            <w:tcW w:w="2329" w:type="pct"/>
            <w:tcBorders>
              <w:tl2br w:val="nil"/>
              <w:tr2bl w:val="nil"/>
            </w:tcBorders>
            <w:noWrap w:val="0"/>
            <w:vAlign w:val="center"/>
          </w:tcPr>
          <w:p w14:paraId="2D49814E">
            <w:pPr>
              <w:pStyle w:val="127"/>
              <w:keepNext w:val="0"/>
              <w:keepLines w:val="0"/>
              <w:pageBreakBefore w:val="0"/>
              <w:numPr>
                <w:ilvl w:val="0"/>
                <w:numId w:val="0"/>
              </w:numPr>
              <w:kinsoku/>
              <w:wordWrap/>
              <w:overflowPunct/>
              <w:topLinePunct w:val="0"/>
              <w:bidi w:val="0"/>
              <w:adjustRightInd/>
              <w:snapToGrid/>
              <w:spacing w:line="240" w:lineRule="auto"/>
              <w:ind w:right="0" w:rightChars="0" w:firstLine="0" w:firstLineChars="0"/>
              <w:jc w:val="both"/>
              <w:textAlignment w:val="auto"/>
              <w:rPr>
                <w:rFonts w:hint="eastAsia" w:ascii="Times New Roman" w:hAnsi="Times New Roman" w:cs="Times New Roman"/>
                <w:color w:val="auto"/>
                <w:sz w:val="21"/>
                <w:szCs w:val="21"/>
                <w:lang w:val="en-US"/>
              </w:rPr>
            </w:pPr>
            <w:r>
              <w:rPr>
                <w:rFonts w:hint="eastAsia" w:ascii="Times New Roman" w:hAnsi="Times New Roman" w:cs="Times New Roman"/>
                <w:color w:val="auto"/>
                <w:sz w:val="21"/>
                <w:szCs w:val="21"/>
                <w:lang w:val="en-US" w:eastAsia="zh-CN"/>
              </w:rPr>
              <w:t>1.</w:t>
            </w:r>
            <w:r>
              <w:rPr>
                <w:rFonts w:hint="eastAsia" w:ascii="Times New Roman" w:hAnsi="Times New Roman" w:cs="Times New Roman"/>
                <w:color w:val="auto"/>
                <w:sz w:val="21"/>
                <w:szCs w:val="21"/>
                <w:lang w:val="en-US"/>
              </w:rPr>
              <w:t>执行自治州总体管控要求</w:t>
            </w:r>
            <w:r>
              <w:rPr>
                <w:rFonts w:hint="eastAsia" w:ascii="Times New Roman" w:hAnsi="Times New Roman" w:cs="Times New Roman"/>
                <w:color w:val="auto"/>
                <w:sz w:val="21"/>
                <w:szCs w:val="21"/>
                <w:lang w:val="en-US" w:eastAsia="zh-CN"/>
              </w:rPr>
              <w:t>、一般管控单元分类管控要求</w:t>
            </w:r>
            <w:r>
              <w:rPr>
                <w:rFonts w:hint="eastAsia" w:ascii="Times New Roman" w:hAnsi="Times New Roman" w:cs="Times New Roman"/>
                <w:color w:val="auto"/>
                <w:sz w:val="21"/>
                <w:szCs w:val="21"/>
                <w:lang w:val="en-US"/>
              </w:rPr>
              <w:t>中关于资源利用效率的准入要求。</w:t>
            </w:r>
          </w:p>
          <w:p w14:paraId="0EA82F6F">
            <w:pPr>
              <w:pStyle w:val="127"/>
              <w:keepNext w:val="0"/>
              <w:keepLines w:val="0"/>
              <w:pageBreakBefore w:val="0"/>
              <w:numPr>
                <w:ilvl w:val="0"/>
                <w:numId w:val="0"/>
              </w:numPr>
              <w:kinsoku/>
              <w:wordWrap/>
              <w:overflowPunct/>
              <w:topLinePunct w:val="0"/>
              <w:bidi w:val="0"/>
              <w:adjustRightInd/>
              <w:snapToGrid/>
              <w:spacing w:line="240" w:lineRule="auto"/>
              <w:ind w:right="0" w:rightChars="0" w:firstLine="0" w:firstLineChars="0"/>
              <w:jc w:val="both"/>
              <w:textAlignment w:val="auto"/>
              <w:rPr>
                <w:rFonts w:hint="eastAsia" w:ascii="Times New Roman" w:hAnsi="Times New Roman" w:cs="Times New Roman"/>
                <w:color w:val="auto"/>
                <w:sz w:val="21"/>
                <w:szCs w:val="21"/>
                <w:lang w:val="en-US"/>
              </w:rPr>
            </w:pPr>
          </w:p>
        </w:tc>
        <w:tc>
          <w:tcPr>
            <w:tcW w:w="1556" w:type="pct"/>
            <w:tcBorders>
              <w:tl2br w:val="nil"/>
              <w:tr2bl w:val="nil"/>
            </w:tcBorders>
            <w:noWrap w:val="0"/>
            <w:vAlign w:val="center"/>
          </w:tcPr>
          <w:p w14:paraId="65C536B1">
            <w:pPr>
              <w:pStyle w:val="127"/>
              <w:keepNext w:val="0"/>
              <w:keepLines w:val="0"/>
              <w:pageBreakBefore w:val="0"/>
              <w:kinsoku/>
              <w:wordWrap/>
              <w:overflowPunct/>
              <w:topLinePunct w:val="0"/>
              <w:bidi w:val="0"/>
              <w:adjustRightInd/>
              <w:snapToGrid/>
              <w:spacing w:line="240" w:lineRule="auto"/>
              <w:ind w:left="0" w:leftChars="0" w:right="0" w:rightChars="0" w:firstLine="0" w:firstLineChars="0"/>
              <w:jc w:val="both"/>
              <w:textAlignment w:val="auto"/>
              <w:rPr>
                <w:rFonts w:hint="eastAsia" w:ascii="Times New Roman" w:hAnsi="Times New Roman" w:cs="Times New Roman"/>
                <w:color w:val="auto"/>
                <w:sz w:val="21"/>
                <w:szCs w:val="21"/>
                <w:lang w:val="en-US"/>
              </w:rPr>
            </w:pPr>
            <w:r>
              <w:rPr>
                <w:rFonts w:ascii="Times New Roman" w:hAnsi="Times New Roman" w:cs="Times New Roman"/>
                <w:color w:val="auto"/>
                <w:sz w:val="21"/>
                <w:szCs w:val="21"/>
                <w:lang w:val="en-US"/>
              </w:rPr>
              <w:t>本项目实施后严格落实环境保护措施，</w:t>
            </w:r>
            <w:r>
              <w:rPr>
                <w:rFonts w:hint="eastAsia" w:ascii="Times New Roman" w:hAnsi="Times New Roman" w:cs="Times New Roman"/>
                <w:color w:val="auto"/>
                <w:sz w:val="21"/>
                <w:szCs w:val="21"/>
                <w:lang w:val="en-US" w:eastAsia="zh-CN"/>
              </w:rPr>
              <w:t>能够执行</w:t>
            </w:r>
            <w:r>
              <w:rPr>
                <w:rFonts w:hint="eastAsia" w:ascii="Times New Roman" w:hAnsi="Times New Roman" w:cs="Times New Roman"/>
                <w:color w:val="auto"/>
                <w:sz w:val="21"/>
                <w:szCs w:val="21"/>
                <w:lang w:val="en-US"/>
              </w:rPr>
              <w:t>自治州总体管控要求、</w:t>
            </w:r>
            <w:r>
              <w:rPr>
                <w:rFonts w:hint="eastAsia" w:ascii="Times New Roman" w:hAnsi="Times New Roman" w:cs="Times New Roman"/>
                <w:color w:val="auto"/>
                <w:sz w:val="21"/>
                <w:szCs w:val="21"/>
                <w:lang w:val="en-US" w:eastAsia="zh-CN"/>
              </w:rPr>
              <w:t>一般管控单元分类管控要求中</w:t>
            </w:r>
            <w:r>
              <w:rPr>
                <w:rFonts w:hint="eastAsia" w:ascii="Times New Roman" w:hAnsi="Times New Roman" w:cs="Times New Roman"/>
                <w:color w:val="auto"/>
                <w:sz w:val="21"/>
                <w:szCs w:val="21"/>
                <w:lang w:val="en-US"/>
              </w:rPr>
              <w:t>关于资源利用效率的准入要求。</w:t>
            </w:r>
            <w:r>
              <w:rPr>
                <w:rFonts w:hint="eastAsia" w:ascii="Times New Roman" w:hAnsi="Times New Roman" w:cs="Times New Roman"/>
                <w:color w:val="auto"/>
                <w:sz w:val="21"/>
                <w:szCs w:val="21"/>
                <w:lang w:val="en-US" w:eastAsia="zh-CN"/>
              </w:rPr>
              <w:t>因此，符合资源利用效率。</w:t>
            </w:r>
          </w:p>
        </w:tc>
        <w:tc>
          <w:tcPr>
            <w:tcW w:w="584" w:type="pct"/>
            <w:tcBorders>
              <w:tl2br w:val="nil"/>
              <w:tr2bl w:val="nil"/>
            </w:tcBorders>
            <w:noWrap w:val="0"/>
            <w:vAlign w:val="center"/>
          </w:tcPr>
          <w:p w14:paraId="7BA25A86">
            <w:pPr>
              <w:pStyle w:val="127"/>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符合</w:t>
            </w:r>
          </w:p>
        </w:tc>
      </w:tr>
    </w:tbl>
    <w:p w14:paraId="038424B8">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56" w:firstLineChars="200"/>
        <w:textAlignment w:val="auto"/>
        <w:rPr>
          <w:rFonts w:hint="eastAsia" w:cs="Times New Roman"/>
          <w:b w:val="0"/>
          <w:bCs w:val="0"/>
          <w:color w:val="auto"/>
          <w:spacing w:val="-6"/>
          <w:sz w:val="24"/>
          <w:szCs w:val="24"/>
          <w:lang w:eastAsia="zh-CN"/>
        </w:rPr>
      </w:pPr>
    </w:p>
    <w:p w14:paraId="46217E8D">
      <w:pPr>
        <w:pStyle w:val="5"/>
        <w:keepNext/>
        <w:keepLines/>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3.4.5.3与</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关于&lt;</w:t>
      </w:r>
      <w:r>
        <w:rPr>
          <w:rFonts w:hint="default" w:ascii="Times New Roman" w:hAnsi="Times New Roman" w:cs="Times New Roman"/>
          <w:color w:val="auto"/>
          <w:lang w:val="en-US" w:eastAsia="zh-CN"/>
        </w:rPr>
        <w:t>喀什地区“三线一单”生态环境分区管控方案（2023年版）</w:t>
      </w:r>
      <w:r>
        <w:rPr>
          <w:rFonts w:hint="eastAsia" w:ascii="Times New Roman" w:hAnsi="Times New Roman" w:cs="Times New Roman"/>
          <w:color w:val="auto"/>
          <w:lang w:val="en-US" w:eastAsia="zh-CN"/>
        </w:rPr>
        <w:t>修改单&gt;的通知</w:t>
      </w:r>
      <w:r>
        <w:rPr>
          <w:rFonts w:hint="default" w:ascii="Times New Roman" w:hAnsi="Times New Roman" w:cs="Times New Roman"/>
          <w:color w:val="auto"/>
          <w:lang w:val="en-US" w:eastAsia="zh-CN"/>
        </w:rPr>
        <w:t>》符合性分析</w:t>
      </w:r>
    </w:p>
    <w:p w14:paraId="6BF968E9">
      <w:pPr>
        <w:keepNext w:val="0"/>
        <w:keepLines w:val="0"/>
        <w:pageBreakBefore w:val="0"/>
        <w:kinsoku/>
        <w:wordWrap/>
        <w:overflowPunct/>
        <w:topLinePunct w:val="0"/>
        <w:autoSpaceDE w:val="0"/>
        <w:autoSpaceDN w:val="0"/>
        <w:bidi w:val="0"/>
        <w:adjustRightInd w:val="0"/>
        <w:snapToGrid w:val="0"/>
        <w:spacing w:line="360" w:lineRule="auto"/>
        <w:ind w:left="0" w:leftChars="0" w:right="0" w:rightChars="0" w:firstLine="480" w:firstLineChars="200"/>
        <w:textAlignment w:val="auto"/>
        <w:rPr>
          <w:rFonts w:hint="eastAsia"/>
          <w:color w:val="auto"/>
          <w:sz w:val="24"/>
        </w:rPr>
      </w:pPr>
      <w:r>
        <w:rPr>
          <w:rFonts w:hint="eastAsia"/>
          <w:color w:val="auto"/>
          <w:sz w:val="24"/>
        </w:rPr>
        <w:t>根据</w:t>
      </w:r>
      <w:r>
        <w:rPr>
          <w:rFonts w:hint="default" w:ascii="Times New Roman" w:hAnsi="Times New Roman" w:eastAsia="宋体" w:cs="Times New Roman"/>
          <w:b w:val="0"/>
          <w:bCs w:val="0"/>
          <w:color w:val="auto"/>
          <w:spacing w:val="-5"/>
          <w:sz w:val="24"/>
          <w:lang w:val="en-US" w:bidi="zh-CN"/>
        </w:rPr>
        <w:t>《</w:t>
      </w:r>
      <w:r>
        <w:rPr>
          <w:rFonts w:hint="eastAsia" w:ascii="Times New Roman" w:hAnsi="Times New Roman" w:eastAsia="宋体" w:cs="Times New Roman"/>
          <w:b w:val="0"/>
          <w:bCs w:val="0"/>
          <w:color w:val="auto"/>
          <w:spacing w:val="-5"/>
          <w:sz w:val="24"/>
          <w:lang w:val="en-US" w:bidi="zh-CN"/>
        </w:rPr>
        <w:t>关于&lt;</w:t>
      </w:r>
      <w:r>
        <w:rPr>
          <w:rFonts w:hint="default" w:ascii="Times New Roman" w:hAnsi="Times New Roman" w:eastAsia="宋体" w:cs="Times New Roman"/>
          <w:b w:val="0"/>
          <w:bCs w:val="0"/>
          <w:color w:val="auto"/>
          <w:spacing w:val="-5"/>
          <w:sz w:val="24"/>
          <w:lang w:val="en-US" w:bidi="zh-CN"/>
        </w:rPr>
        <w:t>喀什地区“三线一单”生态环境分区管控方案（2023年版）</w:t>
      </w:r>
      <w:r>
        <w:rPr>
          <w:rFonts w:hint="eastAsia" w:ascii="Times New Roman" w:hAnsi="Times New Roman" w:eastAsia="宋体" w:cs="Times New Roman"/>
          <w:b w:val="0"/>
          <w:bCs w:val="0"/>
          <w:color w:val="auto"/>
          <w:spacing w:val="-5"/>
          <w:sz w:val="24"/>
          <w:lang w:val="en-US" w:bidi="zh-CN"/>
        </w:rPr>
        <w:t>修改单</w:t>
      </w:r>
      <w:r>
        <w:rPr>
          <w:rFonts w:hint="eastAsia" w:ascii="Times New Roman" w:hAnsi="Times New Roman" w:eastAsia="宋体" w:cs="Times New Roman"/>
          <w:b w:val="0"/>
          <w:bCs w:val="0"/>
          <w:color w:val="auto"/>
          <w:spacing w:val="-5"/>
          <w:sz w:val="24"/>
          <w:lang w:val="en-US" w:eastAsia="zh-CN" w:bidi="zh-CN"/>
        </w:rPr>
        <w:t>&gt;的通知</w:t>
      </w:r>
      <w:r>
        <w:rPr>
          <w:rFonts w:hint="default" w:ascii="Times New Roman" w:hAnsi="Times New Roman" w:eastAsia="宋体" w:cs="Times New Roman"/>
          <w:b w:val="0"/>
          <w:bCs w:val="0"/>
          <w:color w:val="auto"/>
          <w:spacing w:val="-5"/>
          <w:sz w:val="24"/>
          <w:lang w:val="en-US" w:bidi="zh-CN"/>
        </w:rPr>
        <w:t>》</w:t>
      </w:r>
      <w:r>
        <w:rPr>
          <w:rFonts w:hint="eastAsia"/>
          <w:color w:val="auto"/>
          <w:sz w:val="24"/>
        </w:rPr>
        <w:t>中要求，</w:t>
      </w:r>
      <w:r>
        <w:rPr>
          <w:rFonts w:hint="eastAsia" w:ascii="Times New Roman" w:eastAsia="宋体"/>
          <w:color w:val="auto"/>
          <w:sz w:val="24"/>
          <w:lang w:val="en-US" w:eastAsia="zh-CN"/>
        </w:rPr>
        <w:t>本项目为交通运输项目，项目位于阿图什市、喀什市境内。涉及喀什市境内项目所属管控单元为一般管控单元，编码为：ZH65310130001，与喀什地区生态环境准入清单符合性分析一览表见表3.4-7。</w:t>
      </w:r>
    </w:p>
    <w:p w14:paraId="7FF783CD">
      <w:pPr>
        <w:pStyle w:val="128"/>
        <w:adjustRightInd/>
        <w:snapToGrid/>
        <w:spacing w:line="240" w:lineRule="auto"/>
        <w:outlineLvl w:val="9"/>
        <w:rPr>
          <w:rFonts w:hint="eastAsia"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表</w:t>
      </w:r>
      <w:r>
        <w:rPr>
          <w:rFonts w:hint="eastAsia" w:cs="Times New Roman"/>
          <w:color w:val="auto"/>
          <w:sz w:val="21"/>
          <w:lang w:val="en-US" w:eastAsia="zh-CN"/>
        </w:rPr>
        <w:t>3.4-7</w:t>
      </w:r>
      <w:r>
        <w:rPr>
          <w:rFonts w:hint="default" w:ascii="Times New Roman" w:hAnsi="Times New Roman" w:eastAsia="宋体" w:cs="Times New Roman"/>
          <w:color w:val="auto"/>
          <w:sz w:val="21"/>
          <w:lang w:val="en-US" w:eastAsia="zh-CN"/>
        </w:rPr>
        <w:t xml:space="preserve">  </w:t>
      </w:r>
      <w:r>
        <w:rPr>
          <w:rFonts w:hint="eastAsia" w:ascii="Times New Roman" w:hAnsi="Times New Roman" w:eastAsia="宋体" w:cs="Times New Roman"/>
          <w:color w:val="auto"/>
          <w:sz w:val="21"/>
          <w:lang w:val="en-US" w:eastAsia="zh-CN"/>
        </w:rPr>
        <w:t>本项目与喀什地区生态环境准入清单符合性分析</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1"/>
        <w:gridCol w:w="439"/>
        <w:gridCol w:w="432"/>
        <w:gridCol w:w="447"/>
        <w:gridCol w:w="2320"/>
        <w:gridCol w:w="2798"/>
        <w:gridCol w:w="436"/>
      </w:tblGrid>
      <w:tr w14:paraId="58A6F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tcBorders>
              <w:tl2br w:val="nil"/>
              <w:tr2bl w:val="nil"/>
            </w:tcBorders>
            <w:noWrap w:val="0"/>
            <w:vAlign w:val="center"/>
          </w:tcPr>
          <w:p w14:paraId="52EA156B">
            <w:pPr>
              <w:keepNext w:val="0"/>
              <w:keepLines w:val="0"/>
              <w:pageBreakBefore w:val="0"/>
              <w:widowControl w:val="0"/>
              <w:kinsoku/>
              <w:wordWrap/>
              <w:overflowPunct/>
              <w:topLinePunct w:val="0"/>
              <w:autoSpaceDE/>
              <w:autoSpaceDN/>
              <w:bidi w:val="0"/>
              <w:adjustRightInd w:val="0"/>
              <w:snapToGrid w:val="0"/>
              <w:spacing w:line="240" w:lineRule="auto"/>
              <w:ind w:left="-120" w:leftChars="-50" w:right="-120" w:rightChars="-50" w:firstLine="0" w:firstLineChars="0"/>
              <w:jc w:val="center"/>
              <w:textAlignment w:val="auto"/>
              <w:rPr>
                <w:rFonts w:cs="Times New Roman"/>
                <w:snapToGrid w:val="0"/>
                <w:color w:val="auto"/>
                <w:sz w:val="21"/>
                <w:szCs w:val="21"/>
                <w:lang w:val="en-US"/>
              </w:rPr>
            </w:pPr>
            <w:r>
              <w:rPr>
                <w:rFonts w:cs="Times New Roman"/>
                <w:snapToGrid w:val="0"/>
                <w:color w:val="auto"/>
                <w:sz w:val="21"/>
                <w:szCs w:val="21"/>
                <w:lang w:val="en-US"/>
              </w:rPr>
              <w:t>环境管控</w:t>
            </w:r>
          </w:p>
          <w:p w14:paraId="1D6B633C">
            <w:pPr>
              <w:keepNext w:val="0"/>
              <w:keepLines w:val="0"/>
              <w:pageBreakBefore w:val="0"/>
              <w:widowControl w:val="0"/>
              <w:kinsoku/>
              <w:wordWrap/>
              <w:overflowPunct/>
              <w:topLinePunct w:val="0"/>
              <w:autoSpaceDE/>
              <w:autoSpaceDN/>
              <w:bidi w:val="0"/>
              <w:adjustRightInd w:val="0"/>
              <w:snapToGrid w:val="0"/>
              <w:spacing w:line="240" w:lineRule="auto"/>
              <w:ind w:left="-120" w:leftChars="-50" w:right="-120" w:rightChars="-50" w:firstLine="0" w:firstLineChars="0"/>
              <w:jc w:val="center"/>
              <w:textAlignment w:val="auto"/>
              <w:rPr>
                <w:rFonts w:cs="Times New Roman"/>
                <w:snapToGrid w:val="0"/>
                <w:color w:val="auto"/>
                <w:sz w:val="21"/>
                <w:szCs w:val="21"/>
                <w:lang w:val="en-US"/>
              </w:rPr>
            </w:pPr>
            <w:r>
              <w:rPr>
                <w:rFonts w:cs="Times New Roman"/>
                <w:snapToGrid w:val="0"/>
                <w:color w:val="auto"/>
                <w:sz w:val="21"/>
                <w:szCs w:val="21"/>
                <w:lang w:val="en-US"/>
              </w:rPr>
              <w:t>单元编码</w:t>
            </w:r>
          </w:p>
        </w:tc>
        <w:tc>
          <w:tcPr>
            <w:tcW w:w="439" w:type="dxa"/>
            <w:tcBorders>
              <w:tl2br w:val="nil"/>
              <w:tr2bl w:val="nil"/>
            </w:tcBorders>
            <w:noWrap w:val="0"/>
            <w:vAlign w:val="center"/>
          </w:tcPr>
          <w:p w14:paraId="5450C0F8">
            <w:pPr>
              <w:keepNext w:val="0"/>
              <w:keepLines w:val="0"/>
              <w:pageBreakBefore w:val="0"/>
              <w:widowControl w:val="0"/>
              <w:kinsoku/>
              <w:wordWrap/>
              <w:overflowPunct/>
              <w:topLinePunct w:val="0"/>
              <w:autoSpaceDE/>
              <w:autoSpaceDN/>
              <w:bidi w:val="0"/>
              <w:adjustRightInd w:val="0"/>
              <w:snapToGrid w:val="0"/>
              <w:spacing w:line="240" w:lineRule="auto"/>
              <w:ind w:left="-120" w:leftChars="-50" w:right="-120" w:rightChars="-50" w:firstLine="0" w:firstLineChars="0"/>
              <w:jc w:val="center"/>
              <w:textAlignment w:val="auto"/>
              <w:rPr>
                <w:rFonts w:cs="Times New Roman"/>
                <w:snapToGrid w:val="0"/>
                <w:color w:val="auto"/>
                <w:sz w:val="21"/>
                <w:szCs w:val="21"/>
                <w:lang w:val="en-US"/>
              </w:rPr>
            </w:pPr>
            <w:r>
              <w:rPr>
                <w:rFonts w:hint="eastAsia" w:cs="Times New Roman"/>
                <w:snapToGrid w:val="0"/>
                <w:color w:val="auto"/>
                <w:sz w:val="21"/>
                <w:szCs w:val="21"/>
                <w:lang w:val="en-US"/>
              </w:rPr>
              <w:t>环境管控单元名称</w:t>
            </w:r>
          </w:p>
        </w:tc>
        <w:tc>
          <w:tcPr>
            <w:tcW w:w="432" w:type="dxa"/>
            <w:tcBorders>
              <w:tl2br w:val="nil"/>
              <w:tr2bl w:val="nil"/>
            </w:tcBorders>
            <w:noWrap w:val="0"/>
            <w:vAlign w:val="center"/>
          </w:tcPr>
          <w:p w14:paraId="747802E3">
            <w:pPr>
              <w:keepNext w:val="0"/>
              <w:keepLines w:val="0"/>
              <w:pageBreakBefore w:val="0"/>
              <w:widowControl w:val="0"/>
              <w:kinsoku/>
              <w:wordWrap/>
              <w:overflowPunct/>
              <w:topLinePunct w:val="0"/>
              <w:autoSpaceDE/>
              <w:autoSpaceDN/>
              <w:bidi w:val="0"/>
              <w:adjustRightInd w:val="0"/>
              <w:snapToGrid w:val="0"/>
              <w:spacing w:line="240" w:lineRule="auto"/>
              <w:ind w:left="-120" w:leftChars="-50" w:right="-120" w:rightChars="-50" w:firstLine="0" w:firstLineChars="0"/>
              <w:jc w:val="center"/>
              <w:textAlignment w:val="auto"/>
              <w:rPr>
                <w:rFonts w:cs="Times New Roman"/>
                <w:snapToGrid w:val="0"/>
                <w:color w:val="auto"/>
                <w:sz w:val="21"/>
                <w:szCs w:val="21"/>
                <w:lang w:val="en-US"/>
              </w:rPr>
            </w:pPr>
            <w:r>
              <w:rPr>
                <w:rFonts w:hint="eastAsia" w:cs="Times New Roman"/>
                <w:snapToGrid w:val="0"/>
                <w:color w:val="auto"/>
                <w:sz w:val="21"/>
                <w:szCs w:val="21"/>
                <w:lang w:val="en-US"/>
              </w:rPr>
              <w:t>环境管控类别</w:t>
            </w:r>
          </w:p>
        </w:tc>
        <w:tc>
          <w:tcPr>
            <w:tcW w:w="0" w:type="auto"/>
            <w:gridSpan w:val="2"/>
            <w:tcBorders>
              <w:tl2br w:val="nil"/>
              <w:tr2bl w:val="nil"/>
            </w:tcBorders>
            <w:noWrap w:val="0"/>
            <w:vAlign w:val="center"/>
          </w:tcPr>
          <w:p w14:paraId="39B3E03A">
            <w:pPr>
              <w:keepNext w:val="0"/>
              <w:keepLines w:val="0"/>
              <w:pageBreakBefore w:val="0"/>
              <w:widowControl w:val="0"/>
              <w:kinsoku/>
              <w:wordWrap/>
              <w:overflowPunct/>
              <w:topLinePunct w:val="0"/>
              <w:autoSpaceDE/>
              <w:autoSpaceDN/>
              <w:bidi w:val="0"/>
              <w:adjustRightInd w:val="0"/>
              <w:snapToGrid w:val="0"/>
              <w:spacing w:line="240" w:lineRule="auto"/>
              <w:ind w:left="-120" w:leftChars="-50" w:right="-120" w:rightChars="-50" w:firstLine="0" w:firstLineChars="0"/>
              <w:jc w:val="center"/>
              <w:textAlignment w:val="auto"/>
              <w:rPr>
                <w:rFonts w:cs="Times New Roman"/>
                <w:snapToGrid w:val="0"/>
                <w:color w:val="auto"/>
                <w:sz w:val="21"/>
                <w:szCs w:val="21"/>
                <w:lang w:val="en-US"/>
              </w:rPr>
            </w:pPr>
            <w:r>
              <w:rPr>
                <w:rFonts w:cs="Times New Roman"/>
                <w:snapToGrid w:val="0"/>
                <w:color w:val="auto"/>
                <w:sz w:val="21"/>
                <w:szCs w:val="21"/>
                <w:lang w:val="en-US"/>
              </w:rPr>
              <w:t>规范要求</w:t>
            </w:r>
          </w:p>
        </w:tc>
        <w:tc>
          <w:tcPr>
            <w:tcW w:w="0" w:type="auto"/>
            <w:tcBorders>
              <w:tl2br w:val="nil"/>
              <w:tr2bl w:val="nil"/>
            </w:tcBorders>
            <w:noWrap w:val="0"/>
            <w:vAlign w:val="center"/>
          </w:tcPr>
          <w:p w14:paraId="6AAB74D0">
            <w:pPr>
              <w:keepNext w:val="0"/>
              <w:keepLines w:val="0"/>
              <w:pageBreakBefore w:val="0"/>
              <w:widowControl w:val="0"/>
              <w:kinsoku/>
              <w:wordWrap/>
              <w:overflowPunct/>
              <w:topLinePunct w:val="0"/>
              <w:autoSpaceDE/>
              <w:autoSpaceDN/>
              <w:bidi w:val="0"/>
              <w:adjustRightInd w:val="0"/>
              <w:snapToGrid w:val="0"/>
              <w:spacing w:line="240" w:lineRule="auto"/>
              <w:ind w:left="-120" w:leftChars="-50" w:right="-120" w:rightChars="-50" w:firstLine="0" w:firstLineChars="0"/>
              <w:jc w:val="center"/>
              <w:textAlignment w:val="auto"/>
              <w:rPr>
                <w:rFonts w:cs="Times New Roman"/>
                <w:snapToGrid w:val="0"/>
                <w:color w:val="auto"/>
                <w:sz w:val="21"/>
                <w:szCs w:val="21"/>
                <w:lang w:val="en-US"/>
              </w:rPr>
            </w:pPr>
            <w:r>
              <w:rPr>
                <w:rFonts w:cs="Times New Roman"/>
                <w:snapToGrid w:val="0"/>
                <w:color w:val="auto"/>
                <w:sz w:val="21"/>
                <w:szCs w:val="21"/>
                <w:lang w:val="en-US"/>
              </w:rPr>
              <w:t>本项目</w:t>
            </w:r>
          </w:p>
        </w:tc>
        <w:tc>
          <w:tcPr>
            <w:tcW w:w="0" w:type="auto"/>
            <w:tcBorders>
              <w:tl2br w:val="nil"/>
              <w:tr2bl w:val="nil"/>
            </w:tcBorders>
            <w:noWrap w:val="0"/>
            <w:vAlign w:val="center"/>
          </w:tcPr>
          <w:p w14:paraId="7F3866B0">
            <w:pPr>
              <w:keepNext w:val="0"/>
              <w:keepLines w:val="0"/>
              <w:pageBreakBefore w:val="0"/>
              <w:widowControl w:val="0"/>
              <w:kinsoku/>
              <w:wordWrap/>
              <w:overflowPunct/>
              <w:topLinePunct w:val="0"/>
              <w:autoSpaceDE/>
              <w:autoSpaceDN/>
              <w:bidi w:val="0"/>
              <w:adjustRightInd w:val="0"/>
              <w:snapToGrid w:val="0"/>
              <w:spacing w:line="240" w:lineRule="auto"/>
              <w:ind w:left="-120" w:leftChars="-50" w:right="-120" w:rightChars="-50" w:firstLine="0" w:firstLineChars="0"/>
              <w:jc w:val="center"/>
              <w:textAlignment w:val="auto"/>
              <w:rPr>
                <w:rFonts w:hint="eastAsia" w:eastAsia="宋体" w:cs="Times New Roman"/>
                <w:snapToGrid w:val="0"/>
                <w:color w:val="auto"/>
                <w:sz w:val="21"/>
                <w:szCs w:val="21"/>
                <w:lang w:val="en-US" w:eastAsia="zh-CN"/>
              </w:rPr>
            </w:pPr>
            <w:r>
              <w:rPr>
                <w:rFonts w:cs="Times New Roman"/>
                <w:snapToGrid w:val="0"/>
                <w:color w:val="auto"/>
                <w:sz w:val="21"/>
                <w:szCs w:val="21"/>
                <w:lang w:val="en-US"/>
              </w:rPr>
              <w:t>符合</w:t>
            </w:r>
            <w:r>
              <w:rPr>
                <w:rFonts w:hint="eastAsia" w:cs="Times New Roman"/>
                <w:snapToGrid w:val="0"/>
                <w:color w:val="auto"/>
                <w:sz w:val="21"/>
                <w:szCs w:val="21"/>
                <w:lang w:val="en-US" w:eastAsia="zh-CN"/>
              </w:rPr>
              <w:t>性</w:t>
            </w:r>
          </w:p>
        </w:tc>
      </w:tr>
      <w:tr w14:paraId="38D50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vMerge w:val="restart"/>
            <w:tcBorders>
              <w:tl2br w:val="nil"/>
              <w:tr2bl w:val="nil"/>
            </w:tcBorders>
            <w:noWrap w:val="0"/>
            <w:vAlign w:val="center"/>
          </w:tcPr>
          <w:p w14:paraId="4CA59922">
            <w:pPr>
              <w:pStyle w:val="129"/>
              <w:keepNext w:val="0"/>
              <w:keepLines w:val="0"/>
              <w:pageBreakBefore w:val="0"/>
              <w:kinsoku/>
              <w:wordWrap/>
              <w:overflowPunct/>
              <w:topLinePunct w:val="0"/>
              <w:bidi w:val="0"/>
              <w:adjustRightInd/>
              <w:snapToGrid/>
              <w:ind w:left="0" w:leftChars="0" w:right="0" w:rightChars="0" w:firstLine="0" w:firstLineChars="0"/>
              <w:textAlignment w:val="auto"/>
              <w:rPr>
                <w:color w:val="auto"/>
                <w:sz w:val="21"/>
                <w:szCs w:val="21"/>
              </w:rPr>
            </w:pPr>
            <w:r>
              <w:rPr>
                <w:rFonts w:hint="eastAsia"/>
                <w:color w:val="auto"/>
                <w:sz w:val="21"/>
                <w:szCs w:val="21"/>
                <w:lang w:val="en-US" w:eastAsia="zh-CN"/>
              </w:rPr>
              <w:t>ZH65310130001</w:t>
            </w:r>
          </w:p>
        </w:tc>
        <w:tc>
          <w:tcPr>
            <w:tcW w:w="439" w:type="dxa"/>
            <w:vMerge w:val="restart"/>
            <w:tcBorders>
              <w:tl2br w:val="nil"/>
              <w:tr2bl w:val="nil"/>
            </w:tcBorders>
            <w:noWrap w:val="0"/>
            <w:vAlign w:val="center"/>
          </w:tcPr>
          <w:p w14:paraId="3154B658">
            <w:pPr>
              <w:pStyle w:val="129"/>
              <w:keepNext w:val="0"/>
              <w:keepLines w:val="0"/>
              <w:pageBreakBefore w:val="0"/>
              <w:kinsoku/>
              <w:wordWrap/>
              <w:overflowPunct/>
              <w:topLinePunct w:val="0"/>
              <w:bidi w:val="0"/>
              <w:adjustRightInd/>
              <w:snapToGrid/>
              <w:ind w:left="0" w:leftChars="0" w:right="0" w:rightChars="0" w:firstLine="0" w:firstLineChars="0"/>
              <w:textAlignment w:val="auto"/>
              <w:rPr>
                <w:rFonts w:hint="default" w:eastAsia="宋体"/>
                <w:color w:val="auto"/>
                <w:sz w:val="21"/>
                <w:szCs w:val="21"/>
                <w:lang w:val="en-US" w:eastAsia="zh-CN"/>
              </w:rPr>
            </w:pPr>
            <w:r>
              <w:rPr>
                <w:rFonts w:hint="eastAsia"/>
                <w:color w:val="auto"/>
                <w:sz w:val="21"/>
                <w:szCs w:val="21"/>
                <w:lang w:val="en-US" w:eastAsia="zh-CN"/>
              </w:rPr>
              <w:t>喀什市</w:t>
            </w:r>
          </w:p>
        </w:tc>
        <w:tc>
          <w:tcPr>
            <w:tcW w:w="432" w:type="dxa"/>
            <w:vMerge w:val="restart"/>
            <w:tcBorders>
              <w:tl2br w:val="nil"/>
              <w:tr2bl w:val="nil"/>
            </w:tcBorders>
            <w:noWrap w:val="0"/>
            <w:vAlign w:val="center"/>
          </w:tcPr>
          <w:p w14:paraId="5B55F942">
            <w:pPr>
              <w:pStyle w:val="129"/>
              <w:keepNext w:val="0"/>
              <w:keepLines w:val="0"/>
              <w:pageBreakBefore w:val="0"/>
              <w:kinsoku/>
              <w:wordWrap/>
              <w:overflowPunct/>
              <w:topLinePunct w:val="0"/>
              <w:bidi w:val="0"/>
              <w:adjustRightInd/>
              <w:snapToGrid/>
              <w:ind w:left="0" w:leftChars="0" w:right="0" w:rightChars="0" w:firstLine="0" w:firstLineChars="0"/>
              <w:textAlignment w:val="auto"/>
              <w:rPr>
                <w:color w:val="auto"/>
                <w:sz w:val="21"/>
                <w:szCs w:val="21"/>
              </w:rPr>
            </w:pPr>
            <w:r>
              <w:rPr>
                <w:color w:val="auto"/>
                <w:sz w:val="21"/>
                <w:szCs w:val="21"/>
              </w:rPr>
              <w:t>一般管控单元</w:t>
            </w:r>
          </w:p>
        </w:tc>
        <w:tc>
          <w:tcPr>
            <w:tcW w:w="447" w:type="dxa"/>
            <w:tcBorders>
              <w:tl2br w:val="nil"/>
              <w:tr2bl w:val="nil"/>
            </w:tcBorders>
            <w:noWrap w:val="0"/>
            <w:vAlign w:val="center"/>
          </w:tcPr>
          <w:p w14:paraId="3D0E4E56">
            <w:pPr>
              <w:pStyle w:val="129"/>
              <w:keepNext w:val="0"/>
              <w:keepLines w:val="0"/>
              <w:pageBreakBefore w:val="0"/>
              <w:kinsoku/>
              <w:wordWrap/>
              <w:overflowPunct/>
              <w:topLinePunct w:val="0"/>
              <w:bidi w:val="0"/>
              <w:adjustRightInd/>
              <w:snapToGrid/>
              <w:ind w:left="0" w:leftChars="0" w:right="0" w:rightChars="0" w:firstLine="0" w:firstLineChars="0"/>
              <w:textAlignment w:val="auto"/>
              <w:rPr>
                <w:color w:val="auto"/>
                <w:sz w:val="21"/>
                <w:szCs w:val="21"/>
              </w:rPr>
            </w:pPr>
            <w:r>
              <w:rPr>
                <w:color w:val="auto"/>
                <w:sz w:val="21"/>
                <w:szCs w:val="21"/>
              </w:rPr>
              <w:t>空间布局约束</w:t>
            </w:r>
          </w:p>
        </w:tc>
        <w:tc>
          <w:tcPr>
            <w:tcW w:w="2320" w:type="dxa"/>
            <w:tcBorders>
              <w:tl2br w:val="nil"/>
              <w:tr2bl w:val="nil"/>
            </w:tcBorders>
            <w:noWrap w:val="0"/>
            <w:vAlign w:val="center"/>
          </w:tcPr>
          <w:p w14:paraId="01D0E9F2">
            <w:pPr>
              <w:pStyle w:val="130"/>
              <w:keepNext w:val="0"/>
              <w:keepLines w:val="0"/>
              <w:pageBreakBefore w:val="0"/>
              <w:numPr>
                <w:ilvl w:val="0"/>
                <w:numId w:val="0"/>
              </w:numPr>
              <w:kinsoku/>
              <w:wordWrap/>
              <w:overflowPunct/>
              <w:topLinePunct w:val="0"/>
              <w:bidi w:val="0"/>
              <w:adjustRightInd/>
              <w:snapToGrid/>
              <w:ind w:leftChars="0" w:right="0" w:rightChars="0"/>
              <w:jc w:val="both"/>
              <w:textAlignment w:val="auto"/>
              <w:rPr>
                <w:rFonts w:hint="eastAsia"/>
                <w:color w:val="auto"/>
                <w:sz w:val="21"/>
                <w:szCs w:val="21"/>
              </w:rPr>
            </w:pPr>
            <w:r>
              <w:rPr>
                <w:rFonts w:hint="eastAsia"/>
                <w:color w:val="auto"/>
                <w:sz w:val="21"/>
                <w:szCs w:val="21"/>
                <w:lang w:val="en-US" w:eastAsia="zh-CN"/>
              </w:rPr>
              <w:t>1.</w:t>
            </w:r>
            <w:r>
              <w:rPr>
                <w:rFonts w:hint="eastAsia"/>
                <w:color w:val="auto"/>
                <w:sz w:val="21"/>
                <w:szCs w:val="21"/>
              </w:rPr>
              <w:t>执行喀什地区总体管控要求中“A1.1-5、A1.1-6、A1.1-8、A1.3-1、A1.3-3、A1.3-</w:t>
            </w:r>
            <w:r>
              <w:rPr>
                <w:rFonts w:hint="eastAsia"/>
                <w:color w:val="auto"/>
                <w:sz w:val="21"/>
                <w:szCs w:val="21"/>
                <w:lang w:val="en-US" w:eastAsia="zh-CN"/>
              </w:rPr>
              <w:t>6</w:t>
            </w:r>
            <w:r>
              <w:rPr>
                <w:rFonts w:hint="eastAsia"/>
                <w:color w:val="auto"/>
                <w:sz w:val="21"/>
                <w:szCs w:val="21"/>
              </w:rPr>
              <w:t>、A1.3-7.</w:t>
            </w:r>
            <w:r>
              <w:rPr>
                <w:rFonts w:hint="eastAsia"/>
                <w:color w:val="auto"/>
                <w:sz w:val="21"/>
                <w:szCs w:val="21"/>
                <w:lang w:eastAsia="zh-CN"/>
              </w:rPr>
              <w:t>、</w:t>
            </w:r>
            <w:r>
              <w:rPr>
                <w:rFonts w:hint="eastAsia"/>
                <w:color w:val="auto"/>
                <w:sz w:val="21"/>
                <w:szCs w:val="21"/>
              </w:rPr>
              <w:t>A1.4-1、A1.4-2、A1.4-3、A1.4-4、A1.4-6"的相关要求。</w:t>
            </w:r>
          </w:p>
          <w:p w14:paraId="3A1DDD6F">
            <w:pPr>
              <w:pStyle w:val="130"/>
              <w:keepNext w:val="0"/>
              <w:keepLines w:val="0"/>
              <w:pageBreakBefore w:val="0"/>
              <w:numPr>
                <w:ilvl w:val="0"/>
                <w:numId w:val="0"/>
              </w:numPr>
              <w:kinsoku/>
              <w:wordWrap/>
              <w:overflowPunct/>
              <w:topLinePunct w:val="0"/>
              <w:bidi w:val="0"/>
              <w:adjustRightInd/>
              <w:snapToGrid/>
              <w:ind w:leftChars="0" w:right="0" w:rightChars="0"/>
              <w:jc w:val="both"/>
              <w:textAlignment w:val="auto"/>
              <w:rPr>
                <w:color w:val="auto"/>
                <w:sz w:val="21"/>
                <w:szCs w:val="21"/>
              </w:rPr>
            </w:pPr>
            <w:r>
              <w:rPr>
                <w:rFonts w:hint="eastAsia"/>
                <w:color w:val="auto"/>
                <w:sz w:val="21"/>
                <w:szCs w:val="21"/>
                <w:lang w:val="en-US" w:eastAsia="zh-CN"/>
              </w:rPr>
              <w:t>2.</w:t>
            </w:r>
            <w:r>
              <w:rPr>
                <w:rFonts w:hint="eastAsia"/>
                <w:color w:val="auto"/>
                <w:sz w:val="21"/>
                <w:szCs w:val="21"/>
              </w:rPr>
              <w:t>执行喀什地区一般环境管控单元分类管控要求中“A7.1”的相关要求。项目准入必须符合《新疆喀什噶尔河流域克孜河河道岸线保护与利用规划》、新疆喀什噶尔河流域恰克玛克河河道岸线保护与利用规划》相关要求，禁止在河道岸线保护范</w:t>
            </w:r>
            <w:r>
              <w:rPr>
                <w:rFonts w:hint="eastAsia"/>
                <w:color w:val="auto"/>
                <w:sz w:val="21"/>
                <w:szCs w:val="21"/>
                <w:lang w:eastAsia="zh-CN"/>
              </w:rPr>
              <w:t>围内</w:t>
            </w:r>
            <w:r>
              <w:rPr>
                <w:rFonts w:hint="eastAsia"/>
                <w:color w:val="auto"/>
                <w:sz w:val="21"/>
                <w:szCs w:val="21"/>
              </w:rPr>
              <w:t>建设可能影响防洪工程安全和重要水利工程安全与正常运行的项目。允许开展防洪工程建设，以及生态治理工程建设。因防洪安全、河势稳定、供水安全及经济社会发展需要必须建设的堤防护岸、河道治理、取水公共管理、生态环境治理、国家重要基础设施等工程，须经科学论证，并严格按照法律法规要求履行相关审批程序。不得在保护范围内倾倒垃圾和排放污染物，不得造成水体污染。</w:t>
            </w:r>
          </w:p>
        </w:tc>
        <w:tc>
          <w:tcPr>
            <w:tcW w:w="0" w:type="auto"/>
            <w:tcBorders>
              <w:tl2br w:val="nil"/>
              <w:tr2bl w:val="nil"/>
            </w:tcBorders>
            <w:noWrap w:val="0"/>
            <w:vAlign w:val="center"/>
          </w:tcPr>
          <w:p w14:paraId="219C3D03">
            <w:pPr>
              <w:keepNext w:val="0"/>
              <w:keepLines w:val="0"/>
              <w:pageBreakBefore w:val="0"/>
              <w:kinsoku/>
              <w:wordWrap/>
              <w:overflowPunct/>
              <w:topLinePunct w:val="0"/>
              <w:bidi w:val="0"/>
              <w:adjustRightInd/>
              <w:snapToGrid/>
              <w:spacing w:line="240" w:lineRule="auto"/>
              <w:ind w:left="0" w:leftChars="0" w:right="0" w:rightChars="0" w:firstLine="0" w:firstLineChars="0"/>
              <w:jc w:val="both"/>
              <w:textAlignment w:val="auto"/>
              <w:rPr>
                <w:rFonts w:hint="default" w:cs="Times New Roman"/>
                <w:snapToGrid w:val="0"/>
                <w:color w:val="auto"/>
                <w:sz w:val="21"/>
                <w:szCs w:val="21"/>
                <w:lang w:val="en-US"/>
              </w:rPr>
            </w:pPr>
            <w:r>
              <w:rPr>
                <w:rFonts w:hint="eastAsia" w:cs="Times New Roman"/>
                <w:snapToGrid w:val="0"/>
                <w:color w:val="auto"/>
                <w:sz w:val="21"/>
                <w:szCs w:val="21"/>
                <w:lang w:val="en-US" w:eastAsia="zh-CN"/>
              </w:rPr>
              <w:t>本</w:t>
            </w:r>
            <w:r>
              <w:rPr>
                <w:rFonts w:hint="default" w:cs="Times New Roman"/>
                <w:snapToGrid w:val="0"/>
                <w:color w:val="auto"/>
                <w:sz w:val="21"/>
                <w:szCs w:val="21"/>
                <w:lang w:val="en-US" w:eastAsia="zh-CN"/>
              </w:rPr>
              <w:t>项目为交通运输项目，主要建设公路、隧道及配套设施</w:t>
            </w:r>
            <w:r>
              <w:rPr>
                <w:rFonts w:hint="eastAsia" w:cs="Times New Roman"/>
                <w:snapToGrid w:val="0"/>
                <w:color w:val="auto"/>
                <w:sz w:val="21"/>
                <w:szCs w:val="21"/>
                <w:lang w:val="en-US" w:eastAsia="zh-CN"/>
              </w:rPr>
              <w:t>，</w:t>
            </w:r>
            <w:r>
              <w:rPr>
                <w:rFonts w:hint="default" w:cs="Times New Roman"/>
                <w:snapToGrid w:val="0"/>
                <w:color w:val="auto"/>
                <w:sz w:val="21"/>
                <w:szCs w:val="21"/>
                <w:lang w:val="en-US"/>
              </w:rPr>
              <w:t>属典型生态影响类项目</w:t>
            </w:r>
            <w:r>
              <w:rPr>
                <w:rFonts w:hint="eastAsia" w:cs="Times New Roman"/>
                <w:snapToGrid w:val="0"/>
                <w:color w:val="auto"/>
                <w:sz w:val="21"/>
                <w:szCs w:val="21"/>
                <w:lang w:val="en-US" w:eastAsia="zh-CN"/>
              </w:rPr>
              <w:t>。项目不属于“A1.1-5、A1.1-6、A1.1-8、A1.3-1、A1.3-3、A1.3-6、A1.3-7.、A1.4-1、A1.4-2、A1.4-3、A1.4-4、A1.4-6”中相关要求；不属于“A.7.1-1”中矿山项目；项目不在河道周边，不存在河道岸线范围内用地。因此，项目的建设符合喀什市空间布局约束要求。</w:t>
            </w:r>
          </w:p>
          <w:p w14:paraId="6881E465">
            <w:pPr>
              <w:keepNext w:val="0"/>
              <w:keepLines w:val="0"/>
              <w:pageBreakBefore w:val="0"/>
              <w:kinsoku/>
              <w:wordWrap/>
              <w:overflowPunct/>
              <w:topLinePunct w:val="0"/>
              <w:bidi w:val="0"/>
              <w:adjustRightInd/>
              <w:snapToGrid/>
              <w:spacing w:line="240" w:lineRule="auto"/>
              <w:ind w:left="0" w:leftChars="0" w:right="0" w:rightChars="0" w:firstLine="0" w:firstLineChars="0"/>
              <w:jc w:val="both"/>
              <w:textAlignment w:val="auto"/>
              <w:rPr>
                <w:rFonts w:cs="Times New Roman"/>
                <w:snapToGrid w:val="0"/>
                <w:color w:val="auto"/>
                <w:sz w:val="21"/>
                <w:szCs w:val="21"/>
                <w:lang w:val="en-US"/>
              </w:rPr>
            </w:pPr>
          </w:p>
          <w:p w14:paraId="6F38E45C">
            <w:pPr>
              <w:keepNext w:val="0"/>
              <w:keepLines w:val="0"/>
              <w:pageBreakBefore w:val="0"/>
              <w:kinsoku/>
              <w:wordWrap/>
              <w:overflowPunct/>
              <w:topLinePunct w:val="0"/>
              <w:bidi w:val="0"/>
              <w:adjustRightInd/>
              <w:snapToGrid/>
              <w:spacing w:line="240" w:lineRule="auto"/>
              <w:ind w:left="0" w:leftChars="0" w:right="0" w:rightChars="0" w:firstLine="0" w:firstLineChars="0"/>
              <w:jc w:val="both"/>
              <w:textAlignment w:val="auto"/>
              <w:rPr>
                <w:rFonts w:hint="default" w:eastAsia="宋体" w:cs="Times New Roman"/>
                <w:snapToGrid w:val="0"/>
                <w:color w:val="auto"/>
                <w:sz w:val="21"/>
                <w:szCs w:val="21"/>
                <w:lang w:val="en-US" w:eastAsia="zh-CN"/>
              </w:rPr>
            </w:pPr>
          </w:p>
        </w:tc>
        <w:tc>
          <w:tcPr>
            <w:tcW w:w="0" w:type="auto"/>
            <w:tcBorders>
              <w:tl2br w:val="nil"/>
              <w:tr2bl w:val="nil"/>
            </w:tcBorders>
            <w:noWrap w:val="0"/>
            <w:vAlign w:val="center"/>
          </w:tcPr>
          <w:p w14:paraId="39C99DAD">
            <w:pPr>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cs="Times New Roman"/>
                <w:snapToGrid w:val="0"/>
                <w:color w:val="auto"/>
                <w:sz w:val="21"/>
                <w:szCs w:val="21"/>
                <w:lang w:val="en-US"/>
              </w:rPr>
            </w:pPr>
            <w:r>
              <w:rPr>
                <w:rFonts w:hint="eastAsia" w:cs="Times New Roman"/>
                <w:snapToGrid w:val="0"/>
                <w:color w:val="auto"/>
                <w:sz w:val="21"/>
                <w:szCs w:val="21"/>
                <w:lang w:val="en-US"/>
              </w:rPr>
              <w:t>符合</w:t>
            </w:r>
          </w:p>
        </w:tc>
      </w:tr>
      <w:tr w14:paraId="48594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vMerge w:val="continue"/>
            <w:tcBorders>
              <w:tl2br w:val="nil"/>
              <w:tr2bl w:val="nil"/>
            </w:tcBorders>
            <w:noWrap w:val="0"/>
            <w:vAlign w:val="center"/>
          </w:tcPr>
          <w:p w14:paraId="078D8E5E">
            <w:pPr>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cs="Times New Roman"/>
                <w:snapToGrid w:val="0"/>
                <w:color w:val="auto"/>
                <w:sz w:val="21"/>
                <w:szCs w:val="21"/>
                <w:lang w:val="en-US"/>
              </w:rPr>
            </w:pPr>
          </w:p>
        </w:tc>
        <w:tc>
          <w:tcPr>
            <w:tcW w:w="439" w:type="dxa"/>
            <w:vMerge w:val="continue"/>
            <w:tcBorders>
              <w:tl2br w:val="nil"/>
              <w:tr2bl w:val="nil"/>
            </w:tcBorders>
            <w:noWrap w:val="0"/>
            <w:vAlign w:val="center"/>
          </w:tcPr>
          <w:p w14:paraId="28A63CE5">
            <w:pPr>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cs="Times New Roman"/>
                <w:snapToGrid w:val="0"/>
                <w:color w:val="auto"/>
                <w:sz w:val="21"/>
                <w:szCs w:val="21"/>
                <w:lang w:val="en-US"/>
              </w:rPr>
            </w:pPr>
          </w:p>
        </w:tc>
        <w:tc>
          <w:tcPr>
            <w:tcW w:w="432" w:type="dxa"/>
            <w:vMerge w:val="continue"/>
            <w:tcBorders>
              <w:tl2br w:val="nil"/>
              <w:tr2bl w:val="nil"/>
            </w:tcBorders>
            <w:noWrap w:val="0"/>
            <w:vAlign w:val="center"/>
          </w:tcPr>
          <w:p w14:paraId="4856DEE1">
            <w:pPr>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cs="Times New Roman"/>
                <w:snapToGrid w:val="0"/>
                <w:color w:val="auto"/>
                <w:sz w:val="21"/>
                <w:szCs w:val="21"/>
                <w:lang w:val="en-US"/>
              </w:rPr>
            </w:pPr>
          </w:p>
        </w:tc>
        <w:tc>
          <w:tcPr>
            <w:tcW w:w="447" w:type="dxa"/>
            <w:tcBorders>
              <w:tl2br w:val="nil"/>
              <w:tr2bl w:val="nil"/>
            </w:tcBorders>
            <w:noWrap w:val="0"/>
            <w:vAlign w:val="center"/>
          </w:tcPr>
          <w:p w14:paraId="60616752">
            <w:pPr>
              <w:pStyle w:val="129"/>
              <w:keepNext w:val="0"/>
              <w:keepLines w:val="0"/>
              <w:pageBreakBefore w:val="0"/>
              <w:kinsoku/>
              <w:wordWrap/>
              <w:overflowPunct/>
              <w:topLinePunct w:val="0"/>
              <w:bidi w:val="0"/>
              <w:adjustRightInd/>
              <w:snapToGrid/>
              <w:ind w:left="0" w:leftChars="0" w:right="0" w:rightChars="0" w:firstLine="0" w:firstLineChars="0"/>
              <w:textAlignment w:val="auto"/>
              <w:rPr>
                <w:color w:val="auto"/>
                <w:sz w:val="21"/>
                <w:szCs w:val="21"/>
              </w:rPr>
            </w:pPr>
            <w:r>
              <w:rPr>
                <w:color w:val="auto"/>
                <w:sz w:val="21"/>
                <w:szCs w:val="21"/>
              </w:rPr>
              <w:t>污染物排放管控</w:t>
            </w:r>
          </w:p>
        </w:tc>
        <w:tc>
          <w:tcPr>
            <w:tcW w:w="2320" w:type="dxa"/>
            <w:tcBorders>
              <w:tl2br w:val="nil"/>
              <w:tr2bl w:val="nil"/>
            </w:tcBorders>
            <w:noWrap w:val="0"/>
            <w:vAlign w:val="center"/>
          </w:tcPr>
          <w:p w14:paraId="2C5F5206">
            <w:pPr>
              <w:pStyle w:val="130"/>
              <w:keepNext w:val="0"/>
              <w:keepLines w:val="0"/>
              <w:pageBreakBefore w:val="0"/>
              <w:numPr>
                <w:ilvl w:val="0"/>
                <w:numId w:val="0"/>
              </w:numPr>
              <w:kinsoku/>
              <w:wordWrap/>
              <w:overflowPunct/>
              <w:topLinePunct w:val="0"/>
              <w:bidi w:val="0"/>
              <w:adjustRightInd/>
              <w:snapToGrid/>
              <w:ind w:leftChars="0" w:right="0" w:rightChars="0"/>
              <w:jc w:val="both"/>
              <w:textAlignment w:val="auto"/>
              <w:rPr>
                <w:rFonts w:hint="eastAsia"/>
                <w:color w:val="auto"/>
                <w:sz w:val="21"/>
                <w:szCs w:val="21"/>
              </w:rPr>
            </w:pPr>
            <w:r>
              <w:rPr>
                <w:rFonts w:hint="eastAsia"/>
                <w:color w:val="auto"/>
                <w:sz w:val="21"/>
                <w:szCs w:val="21"/>
                <w:lang w:val="en-US" w:eastAsia="zh-CN"/>
              </w:rPr>
              <w:t>1.</w:t>
            </w:r>
            <w:r>
              <w:rPr>
                <w:rFonts w:hint="eastAsia"/>
                <w:color w:val="auto"/>
                <w:sz w:val="21"/>
                <w:szCs w:val="21"/>
              </w:rPr>
              <w:t>执行喀什地区总体管控要求中“A2.3-3、A2.3-4</w:t>
            </w:r>
            <w:r>
              <w:rPr>
                <w:rFonts w:hint="eastAsia"/>
                <w:color w:val="auto"/>
                <w:sz w:val="21"/>
                <w:szCs w:val="21"/>
                <w:lang w:eastAsia="zh-CN"/>
              </w:rPr>
              <w:t>、</w:t>
            </w:r>
            <w:r>
              <w:rPr>
                <w:rFonts w:hint="eastAsia"/>
                <w:color w:val="auto"/>
                <w:sz w:val="21"/>
                <w:szCs w:val="21"/>
              </w:rPr>
              <w:t>A2.3-5、A2.3-6、A2.3-7、A2.3-8”的相关要求。</w:t>
            </w:r>
          </w:p>
          <w:p w14:paraId="707F5A06">
            <w:pPr>
              <w:pStyle w:val="130"/>
              <w:keepNext w:val="0"/>
              <w:keepLines w:val="0"/>
              <w:pageBreakBefore w:val="0"/>
              <w:numPr>
                <w:ilvl w:val="0"/>
                <w:numId w:val="0"/>
              </w:numPr>
              <w:kinsoku/>
              <w:wordWrap/>
              <w:overflowPunct/>
              <w:topLinePunct w:val="0"/>
              <w:bidi w:val="0"/>
              <w:adjustRightInd/>
              <w:snapToGrid/>
              <w:ind w:leftChars="0" w:right="0" w:rightChars="0"/>
              <w:jc w:val="both"/>
              <w:textAlignment w:val="auto"/>
              <w:rPr>
                <w:rFonts w:hint="eastAsia"/>
                <w:color w:val="auto"/>
                <w:sz w:val="21"/>
                <w:szCs w:val="21"/>
              </w:rPr>
            </w:pPr>
            <w:r>
              <w:rPr>
                <w:rFonts w:hint="eastAsia"/>
                <w:color w:val="auto"/>
                <w:sz w:val="21"/>
                <w:szCs w:val="21"/>
                <w:lang w:val="en-US" w:eastAsia="zh-CN"/>
              </w:rPr>
              <w:t>2.</w:t>
            </w:r>
            <w:r>
              <w:rPr>
                <w:rFonts w:hint="eastAsia"/>
                <w:color w:val="auto"/>
                <w:sz w:val="21"/>
                <w:szCs w:val="21"/>
              </w:rPr>
              <w:t>执行喀什地区一般环境管控单元分类管控要求中“A7.2”的相关要求。</w:t>
            </w:r>
          </w:p>
          <w:p w14:paraId="5F691251">
            <w:pPr>
              <w:pStyle w:val="130"/>
              <w:keepNext w:val="0"/>
              <w:keepLines w:val="0"/>
              <w:pageBreakBefore w:val="0"/>
              <w:numPr>
                <w:ilvl w:val="0"/>
                <w:numId w:val="0"/>
              </w:numPr>
              <w:kinsoku/>
              <w:wordWrap/>
              <w:overflowPunct/>
              <w:topLinePunct w:val="0"/>
              <w:bidi w:val="0"/>
              <w:adjustRightInd/>
              <w:snapToGrid/>
              <w:ind w:leftChars="0" w:right="0" w:rightChars="0"/>
              <w:jc w:val="both"/>
              <w:textAlignment w:val="auto"/>
              <w:rPr>
                <w:rFonts w:hint="eastAsia"/>
                <w:color w:val="auto"/>
                <w:sz w:val="21"/>
                <w:szCs w:val="21"/>
              </w:rPr>
            </w:pPr>
            <w:r>
              <w:rPr>
                <w:rFonts w:hint="eastAsia"/>
                <w:color w:val="auto"/>
                <w:sz w:val="21"/>
                <w:szCs w:val="21"/>
              </w:rPr>
              <w:t>3.严格控制林地、草地、园地农药使用量，禁止使用高毒、高残留农药。</w:t>
            </w:r>
          </w:p>
          <w:p w14:paraId="3498E12F">
            <w:pPr>
              <w:pStyle w:val="130"/>
              <w:keepNext w:val="0"/>
              <w:keepLines w:val="0"/>
              <w:pageBreakBefore w:val="0"/>
              <w:numPr>
                <w:ilvl w:val="0"/>
                <w:numId w:val="0"/>
              </w:numPr>
              <w:kinsoku/>
              <w:wordWrap/>
              <w:overflowPunct/>
              <w:topLinePunct w:val="0"/>
              <w:bidi w:val="0"/>
              <w:adjustRightInd/>
              <w:snapToGrid/>
              <w:ind w:leftChars="0" w:right="0" w:rightChars="0"/>
              <w:jc w:val="both"/>
              <w:textAlignment w:val="auto"/>
              <w:rPr>
                <w:rFonts w:hint="eastAsia"/>
                <w:color w:val="auto"/>
                <w:sz w:val="21"/>
                <w:szCs w:val="21"/>
                <w:lang w:val="en-US" w:eastAsia="zh-CN"/>
              </w:rPr>
            </w:pPr>
            <w:r>
              <w:rPr>
                <w:rFonts w:hint="eastAsia"/>
                <w:color w:val="auto"/>
                <w:sz w:val="21"/>
                <w:szCs w:val="21"/>
                <w:lang w:val="en-US" w:eastAsia="zh-CN"/>
              </w:rPr>
              <w:t>4.加强防护林、生态林建设，提高绿化覆盖率。</w:t>
            </w:r>
          </w:p>
          <w:p w14:paraId="7DD41EC5">
            <w:pPr>
              <w:pStyle w:val="130"/>
              <w:keepNext w:val="0"/>
              <w:keepLines w:val="0"/>
              <w:pageBreakBefore w:val="0"/>
              <w:numPr>
                <w:ilvl w:val="0"/>
                <w:numId w:val="0"/>
              </w:numPr>
              <w:kinsoku/>
              <w:wordWrap/>
              <w:overflowPunct/>
              <w:topLinePunct w:val="0"/>
              <w:bidi w:val="0"/>
              <w:adjustRightInd/>
              <w:snapToGrid/>
              <w:ind w:leftChars="0" w:right="0" w:rightChars="0"/>
              <w:jc w:val="both"/>
              <w:textAlignment w:val="auto"/>
              <w:rPr>
                <w:rFonts w:hint="default" w:eastAsia="宋体"/>
                <w:color w:val="auto"/>
                <w:sz w:val="21"/>
                <w:szCs w:val="21"/>
                <w:lang w:val="en-US" w:eastAsia="zh-CN"/>
              </w:rPr>
            </w:pPr>
            <w:r>
              <w:rPr>
                <w:rFonts w:hint="eastAsia"/>
                <w:color w:val="auto"/>
                <w:sz w:val="21"/>
                <w:szCs w:val="21"/>
                <w:lang w:val="en-US" w:eastAsia="zh-CN"/>
              </w:rPr>
              <w:t>5.促进垃圾减量化，无害化、资源化，加强焚烧处理及综合利用技术。加强秸秆禁烧管控，推进秸秆综合利用，鼓励秸秆资源化、饲料化、肥料化利用。</w:t>
            </w:r>
          </w:p>
        </w:tc>
        <w:tc>
          <w:tcPr>
            <w:tcW w:w="0" w:type="auto"/>
            <w:tcBorders>
              <w:tl2br w:val="nil"/>
              <w:tr2bl w:val="nil"/>
            </w:tcBorders>
            <w:noWrap w:val="0"/>
            <w:vAlign w:val="center"/>
          </w:tcPr>
          <w:p w14:paraId="31773D6C">
            <w:pPr>
              <w:keepNext w:val="0"/>
              <w:keepLines w:val="0"/>
              <w:pageBreakBefore w:val="0"/>
              <w:kinsoku/>
              <w:wordWrap/>
              <w:overflowPunct/>
              <w:topLinePunct w:val="0"/>
              <w:bidi w:val="0"/>
              <w:adjustRightInd/>
              <w:snapToGrid/>
              <w:spacing w:line="240" w:lineRule="auto"/>
              <w:ind w:left="0" w:leftChars="0" w:right="0" w:rightChars="0" w:firstLine="0" w:firstLineChars="0"/>
              <w:jc w:val="both"/>
              <w:textAlignment w:val="auto"/>
              <w:rPr>
                <w:rFonts w:hint="default" w:eastAsia="宋体" w:cs="Times New Roman"/>
                <w:snapToGrid w:val="0"/>
                <w:color w:val="auto"/>
                <w:sz w:val="21"/>
                <w:szCs w:val="21"/>
                <w:lang w:val="en-US" w:eastAsia="zh-CN"/>
              </w:rPr>
            </w:pPr>
            <w:r>
              <w:rPr>
                <w:rFonts w:hint="eastAsia" w:cs="Times New Roman"/>
                <w:snapToGrid w:val="0"/>
                <w:color w:val="auto"/>
                <w:sz w:val="21"/>
                <w:szCs w:val="21"/>
                <w:lang w:val="en-US" w:eastAsia="zh-CN"/>
              </w:rPr>
              <w:t>本</w:t>
            </w:r>
            <w:r>
              <w:rPr>
                <w:rFonts w:hint="default" w:cs="Times New Roman"/>
                <w:snapToGrid w:val="0"/>
                <w:color w:val="auto"/>
                <w:sz w:val="21"/>
                <w:szCs w:val="21"/>
                <w:lang w:val="en-US" w:eastAsia="zh-CN"/>
              </w:rPr>
              <w:t>项目为交通运输项目，主要建设公路、隧道及配套设施</w:t>
            </w:r>
            <w:r>
              <w:rPr>
                <w:rFonts w:hint="eastAsia" w:cs="Times New Roman"/>
                <w:snapToGrid w:val="0"/>
                <w:color w:val="auto"/>
                <w:sz w:val="21"/>
                <w:szCs w:val="21"/>
                <w:lang w:val="en-US" w:eastAsia="zh-CN"/>
              </w:rPr>
              <w:t>，</w:t>
            </w:r>
            <w:r>
              <w:rPr>
                <w:rFonts w:hint="default" w:cs="Times New Roman"/>
                <w:snapToGrid w:val="0"/>
                <w:color w:val="auto"/>
                <w:sz w:val="21"/>
                <w:szCs w:val="21"/>
                <w:lang w:val="en-US"/>
              </w:rPr>
              <w:t>属典型生态影响类项目</w:t>
            </w:r>
            <w:r>
              <w:rPr>
                <w:rFonts w:hint="eastAsia" w:cs="Times New Roman"/>
                <w:snapToGrid w:val="0"/>
                <w:color w:val="auto"/>
                <w:sz w:val="21"/>
                <w:szCs w:val="21"/>
                <w:lang w:val="en-US" w:eastAsia="zh-CN"/>
              </w:rPr>
              <w:t>。项目不存在A2.3-3、A2.3-4、A2.3-5、A2.3-6、A2.3-7、A2.3-8包含的内容。项目运行过程中，无废水、废渣、废气产生；不在以上污染物排放管控内容中；符合喀什地区污染物排放管控内容。</w:t>
            </w:r>
          </w:p>
        </w:tc>
        <w:tc>
          <w:tcPr>
            <w:tcW w:w="0" w:type="auto"/>
            <w:tcBorders>
              <w:tl2br w:val="nil"/>
              <w:tr2bl w:val="nil"/>
            </w:tcBorders>
            <w:noWrap w:val="0"/>
            <w:vAlign w:val="center"/>
          </w:tcPr>
          <w:p w14:paraId="1E58EE48">
            <w:pPr>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cs="Times New Roman"/>
                <w:snapToGrid w:val="0"/>
                <w:color w:val="auto"/>
                <w:sz w:val="21"/>
                <w:szCs w:val="21"/>
                <w:lang w:val="en-US"/>
              </w:rPr>
            </w:pPr>
            <w:r>
              <w:rPr>
                <w:rFonts w:hint="eastAsia" w:cs="Times New Roman"/>
                <w:snapToGrid w:val="0"/>
                <w:color w:val="auto"/>
                <w:sz w:val="21"/>
                <w:szCs w:val="21"/>
                <w:lang w:val="en-US"/>
              </w:rPr>
              <w:t>符合</w:t>
            </w:r>
          </w:p>
        </w:tc>
      </w:tr>
      <w:tr w14:paraId="2ED24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0" w:type="auto"/>
            <w:vMerge w:val="continue"/>
            <w:tcBorders>
              <w:tl2br w:val="nil"/>
              <w:tr2bl w:val="nil"/>
            </w:tcBorders>
            <w:noWrap w:val="0"/>
            <w:vAlign w:val="center"/>
          </w:tcPr>
          <w:p w14:paraId="7491652C">
            <w:pPr>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cs="Times New Roman"/>
                <w:snapToGrid w:val="0"/>
                <w:color w:val="auto"/>
                <w:sz w:val="21"/>
                <w:szCs w:val="21"/>
                <w:lang w:val="en-US"/>
              </w:rPr>
            </w:pPr>
          </w:p>
        </w:tc>
        <w:tc>
          <w:tcPr>
            <w:tcW w:w="439" w:type="dxa"/>
            <w:vMerge w:val="continue"/>
            <w:tcBorders>
              <w:tl2br w:val="nil"/>
              <w:tr2bl w:val="nil"/>
            </w:tcBorders>
            <w:noWrap w:val="0"/>
            <w:vAlign w:val="center"/>
          </w:tcPr>
          <w:p w14:paraId="6E210801">
            <w:pPr>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cs="Times New Roman"/>
                <w:snapToGrid w:val="0"/>
                <w:color w:val="auto"/>
                <w:sz w:val="21"/>
                <w:szCs w:val="21"/>
                <w:lang w:val="en-US"/>
              </w:rPr>
            </w:pPr>
          </w:p>
        </w:tc>
        <w:tc>
          <w:tcPr>
            <w:tcW w:w="432" w:type="dxa"/>
            <w:vMerge w:val="continue"/>
            <w:tcBorders>
              <w:tl2br w:val="nil"/>
              <w:tr2bl w:val="nil"/>
            </w:tcBorders>
            <w:noWrap w:val="0"/>
            <w:vAlign w:val="center"/>
          </w:tcPr>
          <w:p w14:paraId="22C9F8C1">
            <w:pPr>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cs="Times New Roman"/>
                <w:snapToGrid w:val="0"/>
                <w:color w:val="auto"/>
                <w:sz w:val="21"/>
                <w:szCs w:val="21"/>
                <w:lang w:val="en-US"/>
              </w:rPr>
            </w:pPr>
          </w:p>
        </w:tc>
        <w:tc>
          <w:tcPr>
            <w:tcW w:w="447" w:type="dxa"/>
            <w:tcBorders>
              <w:tl2br w:val="nil"/>
              <w:tr2bl w:val="nil"/>
            </w:tcBorders>
            <w:noWrap w:val="0"/>
            <w:vAlign w:val="center"/>
          </w:tcPr>
          <w:p w14:paraId="6C042184">
            <w:pPr>
              <w:pStyle w:val="129"/>
              <w:keepNext w:val="0"/>
              <w:keepLines w:val="0"/>
              <w:pageBreakBefore w:val="0"/>
              <w:kinsoku/>
              <w:wordWrap/>
              <w:overflowPunct/>
              <w:topLinePunct w:val="0"/>
              <w:bidi w:val="0"/>
              <w:adjustRightInd/>
              <w:snapToGrid/>
              <w:ind w:left="0" w:leftChars="0" w:right="0" w:rightChars="0" w:firstLine="0" w:firstLineChars="0"/>
              <w:textAlignment w:val="auto"/>
              <w:rPr>
                <w:color w:val="auto"/>
                <w:sz w:val="21"/>
                <w:szCs w:val="21"/>
              </w:rPr>
            </w:pPr>
            <w:r>
              <w:rPr>
                <w:color w:val="auto"/>
                <w:sz w:val="21"/>
                <w:szCs w:val="21"/>
              </w:rPr>
              <w:t>环境风险防控</w:t>
            </w:r>
          </w:p>
        </w:tc>
        <w:tc>
          <w:tcPr>
            <w:tcW w:w="2320" w:type="dxa"/>
            <w:tcBorders>
              <w:tl2br w:val="nil"/>
              <w:tr2bl w:val="nil"/>
            </w:tcBorders>
            <w:noWrap w:val="0"/>
            <w:vAlign w:val="center"/>
          </w:tcPr>
          <w:p w14:paraId="6AFB5369">
            <w:pPr>
              <w:pStyle w:val="130"/>
              <w:keepNext w:val="0"/>
              <w:keepLines w:val="0"/>
              <w:pageBreakBefore w:val="0"/>
              <w:kinsoku/>
              <w:wordWrap/>
              <w:overflowPunct/>
              <w:topLinePunct w:val="0"/>
              <w:bidi w:val="0"/>
              <w:adjustRightInd/>
              <w:snapToGrid/>
              <w:ind w:left="0" w:leftChars="0" w:right="0" w:rightChars="0" w:firstLine="0" w:firstLineChars="0"/>
              <w:jc w:val="both"/>
              <w:textAlignment w:val="auto"/>
              <w:rPr>
                <w:rFonts w:hint="default" w:eastAsia="宋体"/>
                <w:color w:val="auto"/>
                <w:sz w:val="21"/>
                <w:szCs w:val="21"/>
                <w:lang w:val="en-US" w:eastAsia="zh-CN"/>
              </w:rPr>
            </w:pPr>
            <w:r>
              <w:rPr>
                <w:rFonts w:hint="eastAsia"/>
                <w:color w:val="auto"/>
                <w:sz w:val="21"/>
                <w:szCs w:val="21"/>
              </w:rPr>
              <w:t>1.执行喀什地区总体管控要求中“A3.1的相关要求</w:t>
            </w:r>
            <w:r>
              <w:rPr>
                <w:rFonts w:hint="eastAsia"/>
                <w:color w:val="auto"/>
                <w:sz w:val="21"/>
                <w:szCs w:val="21"/>
                <w:lang w:eastAsia="zh-CN"/>
              </w:rPr>
              <w:t>，</w:t>
            </w:r>
            <w:r>
              <w:rPr>
                <w:rFonts w:hint="eastAsia"/>
                <w:color w:val="auto"/>
                <w:sz w:val="21"/>
                <w:szCs w:val="21"/>
                <w:lang w:val="en-US" w:eastAsia="zh-CN"/>
              </w:rPr>
              <w:t>2.</w:t>
            </w:r>
            <w:r>
              <w:rPr>
                <w:rFonts w:hint="eastAsia"/>
                <w:color w:val="auto"/>
                <w:sz w:val="21"/>
                <w:szCs w:val="21"/>
              </w:rPr>
              <w:t>执行喀什地区一般环境管控单元分类管控要求中“A7.3”的相关要求。</w:t>
            </w:r>
            <w:r>
              <w:rPr>
                <w:rFonts w:hint="eastAsia"/>
                <w:color w:val="auto"/>
                <w:sz w:val="21"/>
                <w:szCs w:val="21"/>
                <w:lang w:val="en-US" w:eastAsia="zh-CN"/>
              </w:rPr>
              <w:t>加强水质监测与管理。</w:t>
            </w:r>
          </w:p>
        </w:tc>
        <w:tc>
          <w:tcPr>
            <w:tcW w:w="0" w:type="auto"/>
            <w:tcBorders>
              <w:tl2br w:val="nil"/>
              <w:tr2bl w:val="nil"/>
            </w:tcBorders>
            <w:noWrap w:val="0"/>
            <w:vAlign w:val="center"/>
          </w:tcPr>
          <w:p w14:paraId="09C39FD2">
            <w:pPr>
              <w:keepNext w:val="0"/>
              <w:keepLines w:val="0"/>
              <w:pageBreakBefore w:val="0"/>
              <w:kinsoku/>
              <w:wordWrap/>
              <w:overflowPunct/>
              <w:topLinePunct w:val="0"/>
              <w:bidi w:val="0"/>
              <w:adjustRightInd/>
              <w:snapToGrid/>
              <w:spacing w:line="240" w:lineRule="auto"/>
              <w:ind w:left="0" w:leftChars="0" w:right="0" w:rightChars="0" w:firstLine="0" w:firstLineChars="0"/>
              <w:jc w:val="both"/>
              <w:textAlignment w:val="auto"/>
              <w:rPr>
                <w:rFonts w:hint="eastAsia" w:cs="Times New Roman"/>
                <w:snapToGrid w:val="0"/>
                <w:color w:val="auto"/>
                <w:sz w:val="21"/>
                <w:szCs w:val="21"/>
                <w:lang w:val="en-US"/>
              </w:rPr>
            </w:pPr>
          </w:p>
          <w:p w14:paraId="5A4A6B40">
            <w:pPr>
              <w:keepNext w:val="0"/>
              <w:keepLines w:val="0"/>
              <w:pageBreakBefore w:val="0"/>
              <w:kinsoku/>
              <w:wordWrap/>
              <w:overflowPunct/>
              <w:topLinePunct w:val="0"/>
              <w:bidi w:val="0"/>
              <w:adjustRightInd/>
              <w:snapToGrid/>
              <w:spacing w:line="240" w:lineRule="auto"/>
              <w:ind w:left="0" w:leftChars="0" w:right="0" w:rightChars="0" w:firstLine="0" w:firstLineChars="0"/>
              <w:jc w:val="both"/>
              <w:textAlignment w:val="auto"/>
              <w:rPr>
                <w:rFonts w:hint="default" w:cs="Times New Roman"/>
                <w:snapToGrid w:val="0"/>
                <w:color w:val="auto"/>
                <w:sz w:val="21"/>
                <w:szCs w:val="21"/>
                <w:lang w:val="en-US"/>
              </w:rPr>
            </w:pPr>
            <w:r>
              <w:rPr>
                <w:rFonts w:hint="eastAsia" w:cs="Times New Roman"/>
                <w:snapToGrid w:val="0"/>
                <w:color w:val="auto"/>
                <w:sz w:val="21"/>
                <w:szCs w:val="21"/>
                <w:lang w:val="en-US" w:eastAsia="zh-CN"/>
              </w:rPr>
              <w:t>本</w:t>
            </w:r>
            <w:r>
              <w:rPr>
                <w:rFonts w:hint="default" w:cs="Times New Roman"/>
                <w:snapToGrid w:val="0"/>
                <w:color w:val="auto"/>
                <w:sz w:val="21"/>
                <w:szCs w:val="21"/>
                <w:lang w:val="en-US" w:eastAsia="zh-CN"/>
              </w:rPr>
              <w:t>项目为交通运输项目，主要建设公路、隧道及配套设施</w:t>
            </w:r>
            <w:r>
              <w:rPr>
                <w:rFonts w:hint="eastAsia" w:cs="Times New Roman"/>
                <w:snapToGrid w:val="0"/>
                <w:color w:val="auto"/>
                <w:sz w:val="21"/>
                <w:szCs w:val="21"/>
                <w:lang w:val="en-US" w:eastAsia="zh-CN"/>
              </w:rPr>
              <w:t>，</w:t>
            </w:r>
            <w:r>
              <w:rPr>
                <w:rFonts w:hint="default" w:cs="Times New Roman"/>
                <w:snapToGrid w:val="0"/>
                <w:color w:val="auto"/>
                <w:sz w:val="21"/>
                <w:szCs w:val="21"/>
                <w:lang w:val="en-US"/>
              </w:rPr>
              <w:t>属典型生态影响类项目</w:t>
            </w:r>
            <w:r>
              <w:rPr>
                <w:rFonts w:hint="eastAsia" w:cs="Times New Roman"/>
                <w:snapToGrid w:val="0"/>
                <w:color w:val="auto"/>
                <w:sz w:val="21"/>
                <w:szCs w:val="21"/>
                <w:lang w:val="en-US" w:eastAsia="zh-CN"/>
              </w:rPr>
              <w:t>。项目不属于A.3.1中包含的化工园区外、绿化工程、园区及城市新城等建设项目；不属于A.7.3环境风险防控中所包含的建设项目，项目的建设能够执行喀什市环境风险防控要求。</w:t>
            </w:r>
          </w:p>
        </w:tc>
        <w:tc>
          <w:tcPr>
            <w:tcW w:w="0" w:type="auto"/>
            <w:tcBorders>
              <w:tl2br w:val="nil"/>
              <w:tr2bl w:val="nil"/>
            </w:tcBorders>
            <w:noWrap w:val="0"/>
            <w:vAlign w:val="center"/>
          </w:tcPr>
          <w:p w14:paraId="28A440F6">
            <w:pPr>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cs="Times New Roman"/>
                <w:snapToGrid w:val="0"/>
                <w:color w:val="auto"/>
                <w:sz w:val="21"/>
                <w:szCs w:val="21"/>
                <w:lang w:val="en-US"/>
              </w:rPr>
            </w:pPr>
            <w:r>
              <w:rPr>
                <w:rFonts w:hint="eastAsia" w:cs="Times New Roman"/>
                <w:snapToGrid w:val="0"/>
                <w:color w:val="auto"/>
                <w:sz w:val="21"/>
                <w:szCs w:val="21"/>
                <w:lang w:val="en-US"/>
              </w:rPr>
              <w:t>符合</w:t>
            </w:r>
          </w:p>
        </w:tc>
      </w:tr>
      <w:tr w14:paraId="48BA6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vMerge w:val="continue"/>
            <w:tcBorders>
              <w:tl2br w:val="nil"/>
              <w:tr2bl w:val="nil"/>
            </w:tcBorders>
            <w:noWrap w:val="0"/>
            <w:vAlign w:val="center"/>
          </w:tcPr>
          <w:p w14:paraId="2290CE89">
            <w:pPr>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cs="Times New Roman"/>
                <w:snapToGrid w:val="0"/>
                <w:color w:val="auto"/>
                <w:sz w:val="21"/>
                <w:szCs w:val="21"/>
                <w:lang w:val="en-US"/>
              </w:rPr>
            </w:pPr>
          </w:p>
        </w:tc>
        <w:tc>
          <w:tcPr>
            <w:tcW w:w="439" w:type="dxa"/>
            <w:vMerge w:val="continue"/>
            <w:tcBorders>
              <w:tl2br w:val="nil"/>
              <w:tr2bl w:val="nil"/>
            </w:tcBorders>
            <w:noWrap w:val="0"/>
            <w:vAlign w:val="center"/>
          </w:tcPr>
          <w:p w14:paraId="47FD14F3">
            <w:pPr>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cs="Times New Roman"/>
                <w:snapToGrid w:val="0"/>
                <w:color w:val="auto"/>
                <w:sz w:val="21"/>
                <w:szCs w:val="21"/>
                <w:lang w:val="en-US"/>
              </w:rPr>
            </w:pPr>
          </w:p>
        </w:tc>
        <w:tc>
          <w:tcPr>
            <w:tcW w:w="432" w:type="dxa"/>
            <w:vMerge w:val="continue"/>
            <w:tcBorders>
              <w:tl2br w:val="nil"/>
              <w:tr2bl w:val="nil"/>
            </w:tcBorders>
            <w:noWrap w:val="0"/>
            <w:vAlign w:val="center"/>
          </w:tcPr>
          <w:p w14:paraId="19B00171">
            <w:pPr>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cs="Times New Roman"/>
                <w:snapToGrid w:val="0"/>
                <w:color w:val="auto"/>
                <w:sz w:val="21"/>
                <w:szCs w:val="21"/>
                <w:lang w:val="en-US"/>
              </w:rPr>
            </w:pPr>
          </w:p>
        </w:tc>
        <w:tc>
          <w:tcPr>
            <w:tcW w:w="447" w:type="dxa"/>
            <w:tcBorders>
              <w:tl2br w:val="nil"/>
              <w:tr2bl w:val="nil"/>
            </w:tcBorders>
            <w:noWrap w:val="0"/>
            <w:vAlign w:val="center"/>
          </w:tcPr>
          <w:p w14:paraId="5F1508F9">
            <w:pPr>
              <w:pStyle w:val="129"/>
              <w:keepNext w:val="0"/>
              <w:keepLines w:val="0"/>
              <w:pageBreakBefore w:val="0"/>
              <w:kinsoku/>
              <w:wordWrap/>
              <w:overflowPunct/>
              <w:topLinePunct w:val="0"/>
              <w:bidi w:val="0"/>
              <w:adjustRightInd/>
              <w:snapToGrid/>
              <w:ind w:left="0" w:leftChars="0" w:right="0" w:rightChars="0" w:firstLine="0" w:firstLineChars="0"/>
              <w:textAlignment w:val="auto"/>
              <w:rPr>
                <w:color w:val="auto"/>
                <w:sz w:val="21"/>
                <w:szCs w:val="21"/>
              </w:rPr>
            </w:pPr>
            <w:r>
              <w:rPr>
                <w:color w:val="auto"/>
                <w:sz w:val="21"/>
                <w:szCs w:val="21"/>
              </w:rPr>
              <w:t>资源</w:t>
            </w:r>
            <w:r>
              <w:rPr>
                <w:rFonts w:hint="eastAsia"/>
                <w:color w:val="auto"/>
                <w:sz w:val="21"/>
                <w:szCs w:val="21"/>
                <w:lang w:eastAsia="zh-CN"/>
              </w:rPr>
              <w:t>开发</w:t>
            </w:r>
            <w:r>
              <w:rPr>
                <w:color w:val="auto"/>
                <w:sz w:val="21"/>
                <w:szCs w:val="21"/>
              </w:rPr>
              <w:t>利用效率</w:t>
            </w:r>
          </w:p>
        </w:tc>
        <w:tc>
          <w:tcPr>
            <w:tcW w:w="2320" w:type="dxa"/>
            <w:tcBorders>
              <w:tl2br w:val="nil"/>
              <w:tr2bl w:val="nil"/>
            </w:tcBorders>
            <w:noWrap w:val="0"/>
            <w:vAlign w:val="center"/>
          </w:tcPr>
          <w:p w14:paraId="1B5471E0">
            <w:pPr>
              <w:adjustRightInd/>
              <w:snapToGrid/>
              <w:spacing w:line="240" w:lineRule="auto"/>
              <w:ind w:firstLine="0" w:firstLineChars="0"/>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1.执行喀什地区总体管控要求中“A4.1、A4.2”的相关要求。</w:t>
            </w:r>
          </w:p>
          <w:p w14:paraId="64BE7A97">
            <w:pPr>
              <w:adjustRightInd/>
              <w:snapToGrid/>
              <w:spacing w:line="240" w:lineRule="auto"/>
              <w:ind w:firstLine="0" w:firstLineChars="0"/>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2.执行喀什地区一般环境管控单元分类管控要求中"A7.4”的相关要求。</w:t>
            </w:r>
          </w:p>
          <w:p w14:paraId="6108C4D1">
            <w:pPr>
              <w:adjustRightInd/>
              <w:snapToGrid/>
              <w:spacing w:line="240" w:lineRule="auto"/>
              <w:ind w:firstLine="0" w:firstLineChars="0"/>
              <w:rPr>
                <w:rFonts w:hint="eastAsia"/>
                <w:color w:val="auto"/>
                <w:sz w:val="21"/>
                <w:szCs w:val="21"/>
              </w:rPr>
            </w:pPr>
            <w:r>
              <w:rPr>
                <w:rFonts w:hint="eastAsia" w:ascii="Times New Roman" w:hAnsi="Times New Roman" w:eastAsia="宋体" w:cs="Times New Roman"/>
                <w:snapToGrid w:val="0"/>
                <w:color w:val="auto"/>
                <w:kern w:val="0"/>
                <w:sz w:val="21"/>
                <w:szCs w:val="21"/>
                <w:lang w:val="en-US" w:eastAsia="zh-CN" w:bidi="ar-SA"/>
              </w:rPr>
              <w:t>3.养护和保育牧草资源，控制放牧强度。大力推行光伏、风电等清洁能源开发利用。</w:t>
            </w:r>
          </w:p>
        </w:tc>
        <w:tc>
          <w:tcPr>
            <w:tcW w:w="0" w:type="auto"/>
            <w:tcBorders>
              <w:tl2br w:val="nil"/>
              <w:tr2bl w:val="nil"/>
            </w:tcBorders>
            <w:noWrap w:val="0"/>
            <w:vAlign w:val="center"/>
          </w:tcPr>
          <w:p w14:paraId="71DA87D2">
            <w:pPr>
              <w:keepNext w:val="0"/>
              <w:keepLines w:val="0"/>
              <w:pageBreakBefore w:val="0"/>
              <w:kinsoku/>
              <w:wordWrap/>
              <w:overflowPunct/>
              <w:topLinePunct w:val="0"/>
              <w:bidi w:val="0"/>
              <w:adjustRightInd/>
              <w:snapToGrid/>
              <w:spacing w:line="240" w:lineRule="auto"/>
              <w:ind w:left="0" w:leftChars="0" w:right="0" w:rightChars="0" w:firstLine="0" w:firstLineChars="0"/>
              <w:jc w:val="both"/>
              <w:textAlignment w:val="auto"/>
              <w:rPr>
                <w:rFonts w:hint="default" w:cs="Times New Roman"/>
                <w:snapToGrid w:val="0"/>
                <w:color w:val="auto"/>
                <w:sz w:val="21"/>
                <w:szCs w:val="21"/>
                <w:lang w:val="en-US"/>
              </w:rPr>
            </w:pPr>
            <w:r>
              <w:rPr>
                <w:rFonts w:hint="eastAsia" w:cs="Times New Roman"/>
                <w:snapToGrid w:val="0"/>
                <w:color w:val="auto"/>
                <w:sz w:val="21"/>
                <w:szCs w:val="21"/>
                <w:lang w:val="en-US" w:eastAsia="zh-CN"/>
              </w:rPr>
              <w:t>本</w:t>
            </w:r>
            <w:r>
              <w:rPr>
                <w:rFonts w:hint="default" w:cs="Times New Roman"/>
                <w:snapToGrid w:val="0"/>
                <w:color w:val="auto"/>
                <w:sz w:val="21"/>
                <w:szCs w:val="21"/>
                <w:lang w:val="en-US" w:eastAsia="zh-CN"/>
              </w:rPr>
              <w:t>项目为交通运输项目，主要建设公路、隧道及配套设施</w:t>
            </w:r>
            <w:r>
              <w:rPr>
                <w:rFonts w:hint="eastAsia" w:cs="Times New Roman"/>
                <w:snapToGrid w:val="0"/>
                <w:color w:val="auto"/>
                <w:sz w:val="21"/>
                <w:szCs w:val="21"/>
                <w:lang w:val="en-US" w:eastAsia="zh-CN"/>
              </w:rPr>
              <w:t>，</w:t>
            </w:r>
            <w:r>
              <w:rPr>
                <w:rFonts w:hint="default" w:cs="Times New Roman"/>
                <w:snapToGrid w:val="0"/>
                <w:color w:val="auto"/>
                <w:sz w:val="21"/>
                <w:szCs w:val="21"/>
                <w:lang w:val="en-US"/>
              </w:rPr>
              <w:t>属典型生态影响类项目</w:t>
            </w:r>
            <w:r>
              <w:rPr>
                <w:rFonts w:hint="eastAsia" w:cs="Times New Roman"/>
                <w:snapToGrid w:val="0"/>
                <w:color w:val="auto"/>
                <w:sz w:val="21"/>
                <w:szCs w:val="21"/>
                <w:lang w:val="en-US" w:eastAsia="zh-CN"/>
              </w:rPr>
              <w:t>。项目不属于A.4.1、A.4.2中相关要求，能够执行A7.4内容相关要求。项目的建设符合喀什市资源开发利用效率。</w:t>
            </w:r>
          </w:p>
        </w:tc>
        <w:tc>
          <w:tcPr>
            <w:tcW w:w="0" w:type="auto"/>
            <w:tcBorders>
              <w:tl2br w:val="nil"/>
              <w:tr2bl w:val="nil"/>
            </w:tcBorders>
            <w:noWrap w:val="0"/>
            <w:vAlign w:val="center"/>
          </w:tcPr>
          <w:p w14:paraId="3BD20461">
            <w:pPr>
              <w:keepNext w:val="0"/>
              <w:keepLines w:val="0"/>
              <w:pageBreakBefore w:val="0"/>
              <w:kinsoku/>
              <w:wordWrap/>
              <w:overflowPunct/>
              <w:topLinePunct w:val="0"/>
              <w:bidi w:val="0"/>
              <w:adjustRightInd/>
              <w:snapToGrid/>
              <w:spacing w:line="240" w:lineRule="auto"/>
              <w:ind w:left="0" w:leftChars="0" w:right="0" w:rightChars="0" w:firstLine="0" w:firstLineChars="0"/>
              <w:jc w:val="center"/>
              <w:textAlignment w:val="auto"/>
              <w:rPr>
                <w:rFonts w:cs="Times New Roman"/>
                <w:snapToGrid w:val="0"/>
                <w:color w:val="auto"/>
                <w:sz w:val="21"/>
                <w:szCs w:val="21"/>
                <w:lang w:val="en-US"/>
              </w:rPr>
            </w:pPr>
            <w:r>
              <w:rPr>
                <w:rFonts w:hint="eastAsia" w:cs="Times New Roman"/>
                <w:snapToGrid w:val="0"/>
                <w:color w:val="auto"/>
                <w:sz w:val="21"/>
                <w:szCs w:val="21"/>
                <w:lang w:val="en-US"/>
              </w:rPr>
              <w:t>符合</w:t>
            </w:r>
          </w:p>
        </w:tc>
      </w:tr>
    </w:tbl>
    <w:p w14:paraId="6B9A1532">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val="0"/>
        <w:snapToGrid w:val="0"/>
        <w:spacing w:before="0" w:beforeAutospacing="0" w:after="0" w:afterAutospacing="0" w:line="360" w:lineRule="auto"/>
        <w:ind w:right="0" w:rightChars="0" w:firstLine="480" w:firstLineChars="200"/>
        <w:jc w:val="both"/>
        <w:textAlignment w:val="auto"/>
        <w:rPr>
          <w:rFonts w:hint="default" w:ascii="Times New Roman" w:hAnsi="Times New Roman" w:eastAsia="宋体" w:cs="Times New Roman"/>
          <w:b/>
          <w:bCs/>
          <w:color w:val="auto"/>
          <w:kern w:val="0"/>
          <w:sz w:val="24"/>
          <w:szCs w:val="24"/>
          <w:lang w:val="en-US" w:eastAsia="zh-CN" w:bidi="ar-SA"/>
        </w:rPr>
      </w:pPr>
      <w:r>
        <w:rPr>
          <w:rFonts w:hint="eastAsia" w:ascii="Times New Roman" w:hAnsi="Times New Roman" w:eastAsia="宋体" w:cs="Times New Roman"/>
          <w:color w:val="auto"/>
          <w:kern w:val="0"/>
          <w:sz w:val="24"/>
          <w:szCs w:val="21"/>
          <w:highlight w:val="none"/>
          <w:lang w:val="en-US" w:eastAsia="zh-CN" w:bidi="ar-SA"/>
        </w:rPr>
        <w:t>综上</w:t>
      </w:r>
      <w:r>
        <w:rPr>
          <w:rFonts w:hint="default" w:ascii="Times New Roman" w:hAnsi="Times New Roman" w:eastAsia="宋体" w:cs="Times New Roman"/>
          <w:color w:val="auto"/>
          <w:kern w:val="0"/>
          <w:sz w:val="24"/>
          <w:szCs w:val="21"/>
          <w:highlight w:val="none"/>
          <w:lang w:val="en-US" w:eastAsia="zh-CN" w:bidi="ar-SA"/>
        </w:rPr>
        <w:t>，本项目符合喀什地区生态环境</w:t>
      </w:r>
      <w:r>
        <w:rPr>
          <w:rFonts w:hint="default" w:ascii="宋体" w:hAnsi="宋体" w:eastAsia="宋体" w:cs="Times New Roman"/>
          <w:color w:val="auto"/>
          <w:kern w:val="0"/>
          <w:sz w:val="24"/>
          <w:szCs w:val="24"/>
          <w:lang w:val="en-US" w:eastAsia="zh-CN" w:bidi="ar-SA"/>
        </w:rPr>
        <w:t>分区管控</w:t>
      </w:r>
      <w:r>
        <w:rPr>
          <w:rFonts w:hint="default" w:ascii="Times New Roman" w:hAnsi="Times New Roman" w:eastAsia="宋体" w:cs="Times New Roman"/>
          <w:color w:val="auto"/>
          <w:kern w:val="0"/>
          <w:sz w:val="24"/>
          <w:szCs w:val="21"/>
          <w:highlight w:val="none"/>
          <w:lang w:val="en-US" w:eastAsia="zh-CN" w:bidi="ar-SA"/>
        </w:rPr>
        <w:t>要求。</w:t>
      </w:r>
    </w:p>
    <w:p w14:paraId="6CF1FF65">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56" w:firstLineChars="200"/>
        <w:textAlignment w:val="auto"/>
        <w:rPr>
          <w:rFonts w:hint="default" w:ascii="Times New Roman" w:hAnsi="Times New Roman" w:eastAsia="宋体" w:cs="Times New Roman"/>
          <w:b w:val="0"/>
          <w:bCs w:val="0"/>
          <w:color w:val="auto"/>
          <w:spacing w:val="-6"/>
          <w:sz w:val="24"/>
          <w:szCs w:val="24"/>
          <w:lang w:eastAsia="zh-CN"/>
        </w:rPr>
      </w:pPr>
    </w:p>
    <w:p w14:paraId="12BEB8CD">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56" w:firstLineChars="200"/>
        <w:textAlignment w:val="auto"/>
        <w:rPr>
          <w:rFonts w:hint="default" w:ascii="Times New Roman" w:hAnsi="Times New Roman" w:eastAsia="宋体" w:cs="Times New Roman"/>
          <w:b w:val="0"/>
          <w:bCs w:val="0"/>
          <w:color w:val="auto"/>
          <w:spacing w:val="-6"/>
          <w:sz w:val="24"/>
          <w:szCs w:val="24"/>
          <w:lang w:val="en-US" w:eastAsia="zh-CN"/>
        </w:rPr>
      </w:pPr>
    </w:p>
    <w:bookmarkEnd w:id="818"/>
    <w:p w14:paraId="7B31E110">
      <w:pPr>
        <w:spacing w:line="360" w:lineRule="auto"/>
        <w:rPr>
          <w:rFonts w:hint="default" w:ascii="Times New Roman" w:hAnsi="Times New Roman" w:cs="Times New Roman"/>
          <w:color w:val="auto"/>
          <w:sz w:val="24"/>
        </w:rPr>
        <w:sectPr>
          <w:pgSz w:w="11907" w:h="16839"/>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A0DACEB">
      <w:pPr>
        <w:pStyle w:val="2"/>
        <w:bidi w:val="0"/>
        <w:rPr>
          <w:rFonts w:hint="default" w:ascii="Times New Roman" w:hAnsi="Times New Roman" w:cs="Times New Roman"/>
          <w:color w:val="auto"/>
          <w:szCs w:val="32"/>
          <w:u w:val="none"/>
          <w:lang w:val="en-US"/>
        </w:rPr>
      </w:pPr>
      <w:bookmarkStart w:id="861" w:name="_Toc11541"/>
      <w:bookmarkStart w:id="862" w:name="_Toc18710"/>
      <w:bookmarkStart w:id="863" w:name="_Toc2672"/>
      <w:bookmarkStart w:id="864" w:name="_Toc8270_WPSOffice_Level2"/>
      <w:bookmarkStart w:id="865" w:name="_Toc25527"/>
      <w:bookmarkStart w:id="866" w:name="_Toc28796_WPSOffice_Level1"/>
      <w:bookmarkStart w:id="867" w:name="_Toc28317"/>
      <w:bookmarkStart w:id="868" w:name="_Toc28723"/>
      <w:bookmarkStart w:id="869" w:name="_Toc28072"/>
      <w:bookmarkStart w:id="870" w:name="_Toc24509"/>
      <w:bookmarkStart w:id="871" w:name="_Toc22622"/>
      <w:bookmarkStart w:id="872" w:name="_Toc29601"/>
      <w:bookmarkStart w:id="873" w:name="_Toc5721"/>
      <w:bookmarkStart w:id="874" w:name="_Toc18963"/>
      <w:bookmarkStart w:id="875" w:name="_Toc11445"/>
      <w:bookmarkStart w:id="876" w:name="_Toc20282"/>
      <w:bookmarkStart w:id="877" w:name="_Toc2824"/>
      <w:bookmarkStart w:id="878" w:name="_Toc11820"/>
      <w:bookmarkStart w:id="879" w:name="_Toc13150"/>
      <w:bookmarkStart w:id="880" w:name="_Toc23226"/>
      <w:bookmarkStart w:id="881" w:name="_Toc6129"/>
      <w:bookmarkStart w:id="882" w:name="_Toc28720"/>
      <w:bookmarkStart w:id="883" w:name="_Toc10046"/>
      <w:bookmarkStart w:id="884" w:name="_Toc10060"/>
      <w:bookmarkStart w:id="885" w:name="_Toc15579"/>
      <w:bookmarkStart w:id="886" w:name="_Toc30585"/>
      <w:r>
        <w:rPr>
          <w:rFonts w:hint="default" w:ascii="Times New Roman" w:hAnsi="Times New Roman" w:cs="Times New Roman"/>
          <w:color w:val="auto"/>
          <w:lang w:val="en-US"/>
        </w:rPr>
        <w:t>4 环境现状调查与评价</w:t>
      </w:r>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p>
    <w:p w14:paraId="5609412C">
      <w:pPr>
        <w:pStyle w:val="3"/>
        <w:numPr>
          <w:ilvl w:val="1"/>
          <w:numId w:val="0"/>
        </w:numPr>
        <w:bidi w:val="0"/>
        <w:rPr>
          <w:rFonts w:hint="default" w:ascii="Times New Roman" w:hAnsi="Times New Roman" w:eastAsia="宋体" w:cs="Times New Roman"/>
          <w:color w:val="auto"/>
          <w:lang w:val="en-US" w:eastAsia="zh-CN"/>
        </w:rPr>
      </w:pPr>
      <w:bookmarkStart w:id="887" w:name="_bookmark26"/>
      <w:bookmarkEnd w:id="887"/>
      <w:bookmarkStart w:id="888" w:name="_Toc18898"/>
      <w:bookmarkStart w:id="889" w:name="_Toc19330"/>
      <w:bookmarkStart w:id="890" w:name="_Toc17663"/>
      <w:bookmarkStart w:id="891" w:name="_Toc7210"/>
      <w:bookmarkStart w:id="892" w:name="_Toc21143"/>
      <w:bookmarkStart w:id="893" w:name="_Toc7895"/>
      <w:bookmarkStart w:id="894" w:name="_Toc482529086"/>
      <w:bookmarkStart w:id="895" w:name="_Toc13269"/>
      <w:bookmarkStart w:id="896" w:name="_Toc12841"/>
      <w:bookmarkStart w:id="897" w:name="_Toc1722"/>
      <w:bookmarkStart w:id="898" w:name="_Toc19488"/>
      <w:bookmarkStart w:id="899" w:name="_Toc30913"/>
      <w:bookmarkStart w:id="900" w:name="_Toc21245"/>
      <w:bookmarkStart w:id="901" w:name="_Toc15921"/>
      <w:bookmarkStart w:id="902" w:name="_Toc207"/>
      <w:bookmarkStart w:id="903" w:name="_Toc14907"/>
      <w:bookmarkStart w:id="904" w:name="_Toc12453"/>
      <w:bookmarkStart w:id="905" w:name="_Toc14291"/>
      <w:bookmarkStart w:id="906" w:name="_Toc27812"/>
      <w:bookmarkStart w:id="907" w:name="_Toc1746"/>
      <w:bookmarkStart w:id="908" w:name="_Toc20610"/>
      <w:bookmarkStart w:id="909" w:name="_Toc7923"/>
      <w:bookmarkStart w:id="910" w:name="_Toc27751"/>
      <w:bookmarkStart w:id="911" w:name="_Toc9015"/>
      <w:bookmarkStart w:id="912" w:name="_Toc15354"/>
      <w:bookmarkStart w:id="913" w:name="_Toc12396"/>
      <w:bookmarkStart w:id="914" w:name="_Toc29873"/>
      <w:bookmarkStart w:id="915" w:name="_Toc23147"/>
      <w:bookmarkStart w:id="916" w:name="_Toc365647328"/>
      <w:bookmarkStart w:id="917" w:name="_Toc23583"/>
      <w:bookmarkStart w:id="918" w:name="_Toc23442"/>
      <w:bookmarkStart w:id="919" w:name="_Toc4436"/>
      <w:bookmarkStart w:id="920" w:name="_Toc20079"/>
      <w:bookmarkStart w:id="921" w:name="_Toc19640"/>
      <w:bookmarkStart w:id="922" w:name="_Toc24737"/>
      <w:bookmarkStart w:id="923" w:name="_Toc16882"/>
      <w:bookmarkStart w:id="924" w:name="_Toc21627"/>
      <w:bookmarkStart w:id="925" w:name="_Toc6785"/>
      <w:bookmarkStart w:id="926" w:name="_Toc12674"/>
      <w:bookmarkStart w:id="927" w:name="_Toc24520"/>
      <w:bookmarkStart w:id="928" w:name="_Toc12685"/>
      <w:bookmarkStart w:id="929" w:name="_Toc16343"/>
      <w:bookmarkStart w:id="930" w:name="_Toc19578"/>
      <w:bookmarkStart w:id="931" w:name="_Toc351029972"/>
      <w:bookmarkStart w:id="932" w:name="_Toc21948"/>
      <w:bookmarkStart w:id="933" w:name="_Toc9751"/>
      <w:bookmarkStart w:id="934" w:name="_Toc11460"/>
      <w:bookmarkStart w:id="935" w:name="_Toc28640"/>
      <w:bookmarkStart w:id="936" w:name="_Toc6114"/>
      <w:bookmarkStart w:id="937" w:name="_Toc23853"/>
      <w:bookmarkStart w:id="938" w:name="_Toc3058"/>
      <w:bookmarkStart w:id="939" w:name="_Toc10621"/>
      <w:bookmarkStart w:id="940" w:name="_Toc355784201"/>
      <w:bookmarkStart w:id="941" w:name="_Toc10908"/>
      <w:bookmarkStart w:id="942" w:name="_Toc18814"/>
      <w:bookmarkStart w:id="943" w:name="_Toc14905"/>
      <w:bookmarkStart w:id="944" w:name="_Toc10481"/>
      <w:bookmarkStart w:id="945" w:name="_Toc13720"/>
      <w:bookmarkStart w:id="946" w:name="_Toc13597"/>
      <w:bookmarkStart w:id="947" w:name="_Toc31566"/>
      <w:bookmarkStart w:id="948" w:name="_Toc15835"/>
      <w:bookmarkStart w:id="949" w:name="_Toc3497"/>
      <w:bookmarkStart w:id="950" w:name="_Toc1160"/>
      <w:bookmarkStart w:id="951" w:name="_Toc30179"/>
      <w:bookmarkStart w:id="952" w:name="_Toc2988"/>
      <w:bookmarkStart w:id="953" w:name="_Toc13790"/>
      <w:bookmarkStart w:id="954" w:name="_Toc31574"/>
      <w:bookmarkStart w:id="955" w:name="_Toc11666"/>
      <w:bookmarkStart w:id="956" w:name="_Toc1934"/>
      <w:bookmarkStart w:id="957" w:name="_Toc22556"/>
      <w:bookmarkStart w:id="958" w:name="_Toc16047"/>
      <w:bookmarkStart w:id="959" w:name="_Toc18281"/>
      <w:bookmarkStart w:id="960" w:name="_Toc25547"/>
      <w:bookmarkStart w:id="961" w:name="_Toc8004"/>
      <w:bookmarkStart w:id="962" w:name="_Toc6379"/>
      <w:bookmarkStart w:id="963" w:name="_Toc7485"/>
      <w:bookmarkStart w:id="964" w:name="_Toc2496"/>
      <w:bookmarkStart w:id="965" w:name="_Toc160528889"/>
      <w:bookmarkStart w:id="966" w:name="_Toc30753"/>
      <w:bookmarkStart w:id="967" w:name="_Toc133399781"/>
      <w:bookmarkStart w:id="968" w:name="_Toc132028257"/>
      <w:bookmarkStart w:id="969" w:name="_Toc131936371"/>
      <w:bookmarkStart w:id="970" w:name="_Toc7000"/>
      <w:bookmarkStart w:id="971" w:name="_Toc160529047"/>
      <w:bookmarkStart w:id="972" w:name="_Toc131832439"/>
      <w:bookmarkStart w:id="973" w:name="_Toc193082987"/>
      <w:bookmarkStart w:id="974" w:name="_Toc15857"/>
      <w:bookmarkStart w:id="975" w:name="_Toc101006536"/>
      <w:bookmarkStart w:id="976" w:name="_Toc19842"/>
      <w:bookmarkStart w:id="977" w:name="_Toc192950777"/>
      <w:bookmarkStart w:id="978" w:name="_Toc131843650"/>
      <w:bookmarkStart w:id="979" w:name="_Toc131781841"/>
      <w:bookmarkStart w:id="980" w:name="_Toc342042346"/>
      <w:bookmarkStart w:id="981" w:name="_Toc332046924"/>
      <w:bookmarkStart w:id="982" w:name="_Toc132956889"/>
      <w:bookmarkStart w:id="983" w:name="_Toc249506625"/>
      <w:bookmarkStart w:id="984" w:name="_Toc332114220"/>
      <w:bookmarkStart w:id="985" w:name="_Toc101121925"/>
      <w:bookmarkStart w:id="986" w:name="_Toc194740985"/>
      <w:r>
        <w:rPr>
          <w:rFonts w:hint="default" w:ascii="Times New Roman" w:hAnsi="Times New Roman" w:cs="Times New Roman"/>
          <w:color w:val="auto"/>
          <w:lang w:val="en-US" w:eastAsia="zh-CN"/>
        </w:rPr>
        <w:t>4</w:t>
      </w:r>
      <w:r>
        <w:rPr>
          <w:rFonts w:hint="default" w:ascii="Times New Roman" w:hAnsi="Times New Roman" w:cs="Times New Roman"/>
          <w:color w:val="auto"/>
        </w:rPr>
        <w:t>.1</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自然环境</w:t>
      </w:r>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r>
        <w:rPr>
          <w:rFonts w:hint="default" w:ascii="Times New Roman" w:hAnsi="Times New Roman" w:cs="Times New Roman"/>
          <w:color w:val="auto"/>
          <w:lang w:val="en-US" w:eastAsia="zh-CN"/>
        </w:rPr>
        <w:t>现状调查与评价</w:t>
      </w:r>
      <w:bookmarkEnd w:id="955"/>
      <w:bookmarkEnd w:id="956"/>
      <w:bookmarkEnd w:id="957"/>
      <w:bookmarkEnd w:id="958"/>
      <w:bookmarkEnd w:id="959"/>
      <w:bookmarkEnd w:id="960"/>
      <w:bookmarkEnd w:id="961"/>
      <w:bookmarkEnd w:id="962"/>
      <w:bookmarkEnd w:id="963"/>
      <w:bookmarkEnd w:id="964"/>
    </w:p>
    <w:p w14:paraId="5C806A7C">
      <w:pPr>
        <w:pStyle w:val="4"/>
        <w:bidi w:val="0"/>
        <w:rPr>
          <w:rFonts w:hint="default" w:ascii="Times New Roman" w:hAnsi="Times New Roman" w:cs="Times New Roman"/>
          <w:color w:val="auto"/>
          <w:szCs w:val="28"/>
        </w:rPr>
      </w:pPr>
      <w:r>
        <w:rPr>
          <w:rFonts w:hint="default" w:ascii="Times New Roman" w:hAnsi="Times New Roman" w:cs="Times New Roman"/>
          <w:color w:val="auto"/>
          <w:lang w:val="en-US" w:eastAsia="zh-CN"/>
        </w:rPr>
        <w:t>4</w:t>
      </w:r>
      <w:r>
        <w:rPr>
          <w:rFonts w:hint="default" w:ascii="Times New Roman" w:hAnsi="Times New Roman" w:cs="Times New Roman"/>
          <w:color w:val="auto"/>
        </w:rPr>
        <w:t>.1.1</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地理位置</w:t>
      </w:r>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p>
    <w:p w14:paraId="70A9014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克孜勒苏柯尔克孜自治州（简称克州）总面积7.25万</w:t>
      </w:r>
      <w:r>
        <w:rPr>
          <w:rFonts w:hint="default" w:ascii="Times New Roman" w:hAnsi="Times New Roman" w:cs="Times New Roman"/>
          <w:color w:val="auto"/>
          <w:kern w:val="0"/>
          <w:sz w:val="24"/>
          <w:szCs w:val="24"/>
          <w:lang w:val="en-US" w:eastAsia="zh-CN" w:bidi="ar"/>
        </w:rPr>
        <w:t>km</w:t>
      </w:r>
      <w:r>
        <w:rPr>
          <w:rFonts w:hint="default" w:ascii="Times New Roman" w:hAnsi="Times New Roman"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，是新疆最西部州，克州地处中亚门户，西北、西南部分别与中亚、南亚6个国家毗邻，与</w:t>
      </w:r>
      <w:r>
        <w:rPr>
          <w:rFonts w:hint="default" w:ascii="Times New Roman" w:hAnsi="Times New Roman" w:cs="Times New Roman"/>
          <w:color w:val="auto"/>
          <w:kern w:val="0"/>
          <w:sz w:val="24"/>
          <w:szCs w:val="24"/>
          <w:lang w:val="en-US" w:eastAsia="zh-CN" w:bidi="ar"/>
        </w:rPr>
        <w:t>吉尔吉斯斯坦</w:t>
      </w:r>
      <w:r>
        <w:rPr>
          <w:rFonts w:hint="default" w:ascii="Times New Roman" w:hAnsi="Times New Roman" w:eastAsia="宋体" w:cs="Times New Roman"/>
          <w:color w:val="auto"/>
          <w:kern w:val="0"/>
          <w:sz w:val="24"/>
          <w:szCs w:val="24"/>
          <w:lang w:val="en-US" w:eastAsia="zh-CN" w:bidi="ar"/>
        </w:rPr>
        <w:t>、塔吉克斯坦接壤，战略地位尤为重要。</w:t>
      </w:r>
    </w:p>
    <w:p w14:paraId="34BD547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目前喀什与阿图什市间的主要干线公路G3012和G314时常出现拥堵，已不能满足区域经济发展要求，同时交通不便利的现状，已成为两市融合发展的主要矛盾，本项目的建设将打破阿图什市与喀什市之间兰干塔格山的天然屏障，首先在地域上将两市紧密</w:t>
      </w:r>
      <w:r>
        <w:rPr>
          <w:rFonts w:hint="eastAsia" w:cs="Times New Roman"/>
          <w:color w:val="auto"/>
          <w:kern w:val="0"/>
          <w:sz w:val="24"/>
          <w:szCs w:val="24"/>
          <w:lang w:val="en-US" w:eastAsia="zh-CN" w:bidi="ar"/>
        </w:rPr>
        <w:t>地</w:t>
      </w:r>
      <w:r>
        <w:rPr>
          <w:rFonts w:hint="default" w:ascii="Times New Roman" w:hAnsi="Times New Roman" w:eastAsia="宋体" w:cs="Times New Roman"/>
          <w:color w:val="auto"/>
          <w:kern w:val="0"/>
          <w:sz w:val="24"/>
          <w:szCs w:val="24"/>
          <w:lang w:val="en-US" w:eastAsia="zh-CN" w:bidi="ar"/>
        </w:rPr>
        <w:t>融为一体，实现“地域一体化”和“交通一体化”，为两市城市一体化发展创</w:t>
      </w:r>
      <w:r>
        <w:rPr>
          <w:rFonts w:hint="eastAsia" w:cs="Times New Roman"/>
          <w:color w:val="auto"/>
          <w:kern w:val="0"/>
          <w:sz w:val="24"/>
          <w:szCs w:val="24"/>
          <w:lang w:val="en-US" w:eastAsia="zh-CN" w:bidi="ar"/>
        </w:rPr>
        <w:t>造了</w:t>
      </w:r>
      <w:r>
        <w:rPr>
          <w:rFonts w:hint="default" w:ascii="Times New Roman" w:hAnsi="Times New Roman" w:eastAsia="宋体" w:cs="Times New Roman"/>
          <w:color w:val="auto"/>
          <w:kern w:val="0"/>
          <w:sz w:val="24"/>
          <w:szCs w:val="24"/>
          <w:lang w:val="en-US" w:eastAsia="zh-CN" w:bidi="ar"/>
        </w:rPr>
        <w:t>重要的基础条件。</w:t>
      </w:r>
    </w:p>
    <w:p w14:paraId="6CB7801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sz w:val="24"/>
          <w:szCs w:val="24"/>
          <w:lang w:val="en-US" w:eastAsia="zh-CN"/>
        </w:rPr>
        <w:t>本项目路线起点位于G3012阿扎克互通以南创业大道与G314交叉路口，终点在喀什城东大道与规划横一路相交处，路线全长10.931km。其中在阿图什市境内路线长6.205km，喀什市境内长4.726km。</w:t>
      </w:r>
      <w:r>
        <w:rPr>
          <w:rFonts w:hint="default" w:ascii="Times New Roman" w:hAnsi="Times New Roman" w:cs="Times New Roman"/>
          <w:color w:val="auto"/>
          <w:kern w:val="0"/>
          <w:sz w:val="24"/>
          <w:szCs w:val="24"/>
          <w:highlight w:val="none"/>
          <w:lang w:val="en-US" w:eastAsia="zh-CN"/>
        </w:rPr>
        <w:t>公路起点坐标：东经76°04′10.416″，北纬39°34′40.876″；公路终点坐标：东经76°03′12.397″，北纬39°40′03.118″</w:t>
      </w:r>
      <w:r>
        <w:rPr>
          <w:rFonts w:hint="default" w:ascii="Times New Roman" w:hAnsi="Times New Roman" w:cs="Times New Roman"/>
          <w:color w:val="auto"/>
          <w:sz w:val="24"/>
          <w:szCs w:val="24"/>
          <w:highlight w:val="none"/>
          <w:lang w:eastAsia="zh-CN"/>
        </w:rPr>
        <w:t>。</w:t>
      </w:r>
    </w:p>
    <w:p w14:paraId="61C4C8B4">
      <w:pPr>
        <w:pStyle w:val="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4.1.2 地形地貌</w:t>
      </w:r>
    </w:p>
    <w:p w14:paraId="6D85488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阿图什市地处西南天山与塔里木盆地交界区，地势北高南低，北部为山区，中部为吐古买提、哈拉峻盆地，南部为平原和谷地，博孜塔格山，喀拉塔格山以南为平原；恰克玛克河流域的上阿图什和博古孜河流域的阿湖为两河谷地。</w:t>
      </w:r>
    </w:p>
    <w:p w14:paraId="7D30408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路线范围涉及阿图什市、喀什市，穿过</w:t>
      </w:r>
      <w:r>
        <w:rPr>
          <w:rFonts w:hint="eastAsia" w:cs="Times New Roman"/>
          <w:color w:val="auto"/>
          <w:kern w:val="0"/>
          <w:sz w:val="24"/>
          <w:szCs w:val="24"/>
          <w:lang w:val="en-US" w:eastAsia="zh-CN" w:bidi="ar"/>
        </w:rPr>
        <w:t>兰干</w:t>
      </w:r>
      <w:r>
        <w:rPr>
          <w:rFonts w:hint="default" w:ascii="Times New Roman" w:hAnsi="Times New Roman" w:eastAsia="宋体" w:cs="Times New Roman"/>
          <w:color w:val="auto"/>
          <w:kern w:val="0"/>
          <w:sz w:val="24"/>
          <w:szCs w:val="24"/>
          <w:lang w:val="en-US" w:eastAsia="zh-CN" w:bidi="ar"/>
        </w:rPr>
        <w:t>塔格山，上跨喀什绕城高</w:t>
      </w:r>
      <w:r>
        <w:rPr>
          <w:rFonts w:hint="eastAsia" w:cs="Times New Roman"/>
          <w:color w:val="auto"/>
          <w:kern w:val="0"/>
          <w:sz w:val="24"/>
          <w:szCs w:val="24"/>
          <w:lang w:val="en-US" w:eastAsia="zh-CN" w:bidi="ar"/>
        </w:rPr>
        <w:t>速公</w:t>
      </w:r>
      <w:r>
        <w:rPr>
          <w:rFonts w:hint="default" w:ascii="Times New Roman" w:hAnsi="Times New Roman" w:eastAsia="宋体" w:cs="Times New Roman"/>
          <w:color w:val="auto"/>
          <w:kern w:val="0"/>
          <w:sz w:val="24"/>
          <w:szCs w:val="24"/>
          <w:lang w:val="en-US" w:eastAsia="zh-CN" w:bidi="ar"/>
        </w:rPr>
        <w:t>路，终点接喀什经济开发区城东大道。线路穿越山前洪积扇平原（Ⅰ）、</w:t>
      </w:r>
      <w:r>
        <w:rPr>
          <w:rFonts w:hint="eastAsia" w:cs="Times New Roman"/>
          <w:color w:val="auto"/>
          <w:kern w:val="0"/>
          <w:sz w:val="24"/>
          <w:szCs w:val="24"/>
          <w:lang w:val="en-US" w:eastAsia="zh-CN" w:bidi="ar"/>
        </w:rPr>
        <w:t>兰干</w:t>
      </w:r>
      <w:r>
        <w:rPr>
          <w:rFonts w:hint="default" w:ascii="Times New Roman" w:hAnsi="Times New Roman" w:eastAsia="宋体" w:cs="Times New Roman"/>
          <w:color w:val="auto"/>
          <w:kern w:val="0"/>
          <w:sz w:val="24"/>
          <w:szCs w:val="24"/>
          <w:lang w:val="en-US" w:eastAsia="zh-CN" w:bidi="ar"/>
        </w:rPr>
        <w:t>塔格山低山区（Ⅱ）及</w:t>
      </w:r>
      <w:r>
        <w:rPr>
          <w:rFonts w:hint="eastAsia" w:cs="Times New Roman"/>
          <w:color w:val="auto"/>
          <w:kern w:val="0"/>
          <w:sz w:val="24"/>
          <w:szCs w:val="24"/>
          <w:lang w:val="en-US" w:eastAsia="zh-CN" w:bidi="ar"/>
        </w:rPr>
        <w:t>兰干</w:t>
      </w:r>
      <w:r>
        <w:rPr>
          <w:rFonts w:hint="default" w:ascii="Times New Roman" w:hAnsi="Times New Roman" w:eastAsia="宋体" w:cs="Times New Roman"/>
          <w:color w:val="auto"/>
          <w:kern w:val="0"/>
          <w:sz w:val="24"/>
          <w:szCs w:val="24"/>
          <w:lang w:val="en-US" w:eastAsia="zh-CN" w:bidi="ar"/>
        </w:rPr>
        <w:t>塔格山南坡山前洪积扇平原（Ⅲ）三个地貌区。</w:t>
      </w:r>
    </w:p>
    <w:p w14:paraId="12CF65B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洪积扇平原区地形开阔、平缓，海拔高程为海拔1330～1360m，整体呈南北两端高，中间低，局部区段植被较稀少，不良地质主要为强震区，特殊性岩土主要为盐渍土。</w:t>
      </w:r>
    </w:p>
    <w:p w14:paraId="12295DF7">
      <w:pPr>
        <w:pStyle w:val="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4.1.3 气象条件</w:t>
      </w:r>
    </w:p>
    <w:p w14:paraId="6048C73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阿图什市地处中纬度欧亚大陆腹地，远离海洋，属暖温带大陆性干旱气候，其主要气候特点是：四季分明，日照充足，干旱少雨，无霜期长，气温日振幅大。春季升温快，天气多变；夏季炎热，蒸发强盛；秋季秋高气爽，降温迅速；冬季寒冷多晴日</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微风少雪。</w:t>
      </w:r>
    </w:p>
    <w:p w14:paraId="1DD5917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年平均气温由南向北、从平原向两河谷主要盆地和山区逐渐降低。年平均气温，平原12.9℃，哈拉峻盆地8.7℃海拔3000m以上山区0℃以下。最高气温分布特点为：平原高、山区低。城区7月平均最高气温33.6℃，极端最高41.2℃（1973年7月15日）。</w:t>
      </w:r>
    </w:p>
    <w:p w14:paraId="7B685A7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最低气温总的分布特点是3000m以上的高山区和盆地低，平原和中山区高。阿图什市最冷月份是1月，平原平均最低气温-6.3℃。</w:t>
      </w:r>
    </w:p>
    <w:p w14:paraId="2626BC6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阿图什市多年平均年降水总量，</w:t>
      </w:r>
      <w:r>
        <w:rPr>
          <w:rFonts w:hint="eastAsia" w:cs="Times New Roman"/>
          <w:color w:val="auto"/>
          <w:kern w:val="0"/>
          <w:sz w:val="24"/>
          <w:szCs w:val="24"/>
          <w:lang w:val="en-US" w:eastAsia="zh-CN" w:bidi="ar"/>
        </w:rPr>
        <w:t>平均</w:t>
      </w:r>
      <w:r>
        <w:rPr>
          <w:rFonts w:hint="default" w:ascii="Times New Roman" w:hAnsi="Times New Roman" w:eastAsia="宋体" w:cs="Times New Roman"/>
          <w:color w:val="auto"/>
          <w:kern w:val="0"/>
          <w:sz w:val="24"/>
          <w:szCs w:val="24"/>
          <w:lang w:val="en-US" w:eastAsia="zh-CN" w:bidi="ar"/>
        </w:rPr>
        <w:t>为78mm。降水总的特点是：量少、分布不均，年际变化大，高度和季节变化显著。阿图什平原年均蒸发量为3218.2mm，约为降水量的40倍，最多年份蒸发3578.6mm。</w:t>
      </w:r>
    </w:p>
    <w:p w14:paraId="6759FEA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阿图什平原年均风速2.1m/s，定时最大风速为22m/s；7、8级大风常发生在 3～8月份，瞬间最大风速达32m/s，阿图什平原全年盛行偏东风，年风向频率占各风向频率的15%；北风最小，年风向频率占各风向频率的4%；偏南风频率为10%。风向季节变化，大体同于年风向频率，仅冬季的1月份偏西风略多于偏东风，10月至翌年1月风速最小。</w:t>
      </w:r>
    </w:p>
    <w:p w14:paraId="413EB35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最大冻土深度平原68cm，盆地99cm。</w:t>
      </w:r>
    </w:p>
    <w:p w14:paraId="0172BB34">
      <w:pPr>
        <w:pStyle w:val="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4.1.4 水文地质条件</w:t>
      </w:r>
    </w:p>
    <w:p w14:paraId="2397EE5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（1）地表水</w:t>
      </w:r>
    </w:p>
    <w:p w14:paraId="5FF29EA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项目区主要为恰克马克河及支流，零星分布有小型河流及引水干渠，勘察期间为枯水期。</w:t>
      </w:r>
    </w:p>
    <w:p w14:paraId="3866077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阿图什市土地辽阔，有大小河沟67条。河流大多是流量小、流程短的小河，常年流水的大河不多。年径流量在1亿m³以上的河道只有恰克玛克河和博古孜河两条：</w:t>
      </w:r>
    </w:p>
    <w:p w14:paraId="07D277B0">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①恰克玛克河水系</w:t>
      </w:r>
    </w:p>
    <w:p w14:paraId="102350F4">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恰克玛克河系发源于乌恰县境内的阿克套山苏约克河，转东南而下，在中段与图尤噶尔特河汇合后，即为恰克玛克河。恰克玛克河全长166km，流经阿图什市境的有77.5km，东南流向。</w:t>
      </w:r>
    </w:p>
    <w:p w14:paraId="534FEF57">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恰克玛克河出乌恰县入市境后，首先流经上阿图什乡喀依拉克村，分为南北两条支流。南支流主河穿过喀什噶尔倒转山体流入疏附县内，北支流转头向东，流经阿图什山体的南谷以下间歇而消失。下游干涸的老河床把阿扎克分成两地，其老河床原与博古孜河汇合于阿扎克乡翁艾日克村。3月底至6月底径流主要靠冰雪融化和地下水补给，7月至9月主要由降雨补给，10月至翌年3月由地下水补给。平均年径流量为1.596亿m</w:t>
      </w:r>
      <w:r>
        <w:rPr>
          <w:rFonts w:hint="default" w:ascii="Times New Roman" w:hAnsi="Times New Roman" w:eastAsia="宋体" w:cs="Times New Roman"/>
          <w:color w:val="auto"/>
          <w:kern w:val="0"/>
          <w:sz w:val="24"/>
          <w:szCs w:val="24"/>
          <w:vertAlign w:val="baseline"/>
          <w:lang w:val="en-US" w:eastAsia="zh-CN" w:bidi="ar"/>
        </w:rPr>
        <w:t>³</w:t>
      </w:r>
      <w:r>
        <w:rPr>
          <w:rFonts w:hint="default" w:ascii="Times New Roman" w:hAnsi="Times New Roman" w:eastAsia="宋体" w:cs="Times New Roman"/>
          <w:color w:val="auto"/>
          <w:kern w:val="0"/>
          <w:sz w:val="24"/>
          <w:szCs w:val="24"/>
          <w:lang w:val="en-US" w:eastAsia="zh-CN" w:bidi="ar"/>
        </w:rPr>
        <w:t>，最小为0.81亿m³，最大为2.665亿m³，年径流变化较大，年内变化也大，多年平均月径流量最小与最大值相差4.5倍。汛期始于4月中旬，早于全市其他河流，延续时间也较长，一般到9月底。4～9月份，平均流量为6.17～10m³/s，占年径流量的75.7%。</w:t>
      </w:r>
    </w:p>
    <w:p w14:paraId="1547F1C3">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②博古孜河水系</w:t>
      </w:r>
    </w:p>
    <w:p w14:paraId="4233E08C">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博古孜河发源于天山南脉的吐古买提乡玛依丹山，由西北山区的玛依丹、库鲁木都克等河汇合而成。全河分为上游、中游、下游三级。上游流向南，中游流向西南，下游与恰克玛克河汇合后转向东流，全长100余km，集水面积为3912k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w:t>
      </w:r>
    </w:p>
    <w:p w14:paraId="4EB2151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博古孜河靠降水形成径流，地表水径流量年平均2.748亿m³。上中游径流量主要靠地下水补给，下游基本上没有可供补给的水流。博古孜河流域地下水资源为0.776亿m³，河水流量比较稳定，年内、年际变化都比较小，是阿图什市灌区的主要水源。</w:t>
      </w:r>
    </w:p>
    <w:p w14:paraId="281A58F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（2）地下水</w:t>
      </w:r>
    </w:p>
    <w:p w14:paraId="7451423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区地下水主要为第四系松散层孔隙水，融雪水及降雨是本地区地下水的主要补给来源。其中季节性积雪融水对河流补给占有较大比重，每年四月初至六月上旬，气候转暖，气温回升，季节性积雪融水和降雨组合形成春汛。其特征是水量变化缓慢，水量相对比较稳定，受太阳辐射、气温和融雪强度影响，补给河流具有连续性和时间性、春汛过后即进入漫长的平水期，河流主要靠降水补给（含高山冰雪融水）。其中雨水补给河流主要发生在夏季，并且容易形成暴雨洪水。</w:t>
      </w:r>
    </w:p>
    <w:p w14:paraId="66C21625">
      <w:pPr>
        <w:pStyle w:val="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4.1.5 区域地质特征</w:t>
      </w:r>
    </w:p>
    <w:p w14:paraId="36F529FD">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b w:val="0"/>
          <w:bCs w:val="0"/>
          <w:color w:val="auto"/>
          <w:kern w:val="0"/>
          <w:sz w:val="24"/>
          <w:szCs w:val="24"/>
          <w:lang w:val="en-US" w:eastAsia="zh-CN" w:bidi="ar"/>
        </w:rPr>
        <w:t>（1）地层岩性</w:t>
      </w:r>
    </w:p>
    <w:p w14:paraId="677C803E">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线路走廊带地层出露的地层岩性比较简单，由老至新分别为上第三系巴克特里阶托卡普下亚组N</w:t>
      </w:r>
      <w:r>
        <w:rPr>
          <w:rFonts w:hint="default" w:ascii="Times New Roman" w:hAnsi="Times New Roman" w:eastAsia="宋体" w:cs="Times New Roman"/>
          <w:color w:val="auto"/>
          <w:kern w:val="0"/>
          <w:sz w:val="24"/>
          <w:szCs w:val="24"/>
          <w:vertAlign w:val="subscript"/>
          <w:lang w:val="en-US" w:eastAsia="zh-CN" w:bidi="ar"/>
        </w:rPr>
        <w:t>2</w:t>
      </w:r>
      <w:r>
        <w:rPr>
          <w:rFonts w:hint="default" w:ascii="Times New Roman" w:hAnsi="Times New Roman" w:eastAsia="宋体" w:cs="Times New Roman"/>
          <w:color w:val="auto"/>
          <w:kern w:val="0"/>
          <w:sz w:val="24"/>
          <w:szCs w:val="24"/>
          <w:lang w:val="en-US" w:eastAsia="zh-CN" w:bidi="ar"/>
        </w:rPr>
        <w:t xml:space="preserve"> </w:t>
      </w:r>
      <w:r>
        <w:rPr>
          <w:rFonts w:hint="default" w:ascii="Times New Roman" w:hAnsi="Times New Roman" w:eastAsia="宋体" w:cs="Times New Roman"/>
          <w:color w:val="auto"/>
          <w:kern w:val="0"/>
          <w:sz w:val="24"/>
          <w:szCs w:val="24"/>
          <w:vertAlign w:val="superscript"/>
          <w:lang w:val="en-US" w:eastAsia="zh-CN" w:bidi="ar"/>
        </w:rPr>
        <w:t>a</w:t>
      </w:r>
      <w:r>
        <w:rPr>
          <w:rFonts w:hint="default" w:ascii="Times New Roman" w:hAnsi="Times New Roman" w:eastAsia="宋体" w:cs="Times New Roman"/>
          <w:color w:val="auto"/>
          <w:kern w:val="0"/>
          <w:sz w:val="24"/>
          <w:szCs w:val="24"/>
          <w:lang w:val="en-US" w:eastAsia="zh-CN" w:bidi="ar"/>
        </w:rPr>
        <w:t>、上中亚组N</w:t>
      </w:r>
      <w:r>
        <w:rPr>
          <w:rFonts w:hint="default" w:ascii="Times New Roman" w:hAnsi="Times New Roman" w:eastAsia="宋体" w:cs="Times New Roman"/>
          <w:color w:val="auto"/>
          <w:kern w:val="0"/>
          <w:sz w:val="24"/>
          <w:szCs w:val="24"/>
          <w:vertAlign w:val="subscript"/>
          <w:lang w:val="en-US" w:eastAsia="zh-CN" w:bidi="ar"/>
        </w:rPr>
        <w:t>2</w:t>
      </w:r>
      <w:r>
        <w:rPr>
          <w:rFonts w:hint="default" w:ascii="Times New Roman" w:hAnsi="Times New Roman" w:eastAsia="宋体" w:cs="Times New Roman"/>
          <w:color w:val="auto"/>
          <w:kern w:val="0"/>
          <w:sz w:val="24"/>
          <w:szCs w:val="24"/>
          <w:lang w:val="en-US" w:eastAsia="zh-CN" w:bidi="ar"/>
        </w:rPr>
        <w:t xml:space="preserve"> </w:t>
      </w:r>
      <w:r>
        <w:rPr>
          <w:rFonts w:hint="default" w:ascii="Times New Roman" w:hAnsi="Times New Roman" w:eastAsia="宋体" w:cs="Times New Roman"/>
          <w:color w:val="auto"/>
          <w:kern w:val="0"/>
          <w:sz w:val="24"/>
          <w:szCs w:val="24"/>
          <w:vertAlign w:val="superscript"/>
          <w:lang w:val="en-US" w:eastAsia="zh-CN" w:bidi="ar"/>
        </w:rPr>
        <w:t>b+c</w:t>
      </w:r>
      <w:r>
        <w:rPr>
          <w:rFonts w:hint="default" w:ascii="Times New Roman" w:hAnsi="Times New Roman" w:eastAsia="宋体" w:cs="Times New Roman"/>
          <w:color w:val="auto"/>
          <w:kern w:val="0"/>
          <w:sz w:val="24"/>
          <w:szCs w:val="24"/>
          <w:lang w:val="en-US" w:eastAsia="zh-CN" w:bidi="ar"/>
        </w:rPr>
        <w:t>、巴克特里阶安吉然组N</w:t>
      </w:r>
      <w:r>
        <w:rPr>
          <w:rFonts w:hint="default" w:ascii="Times New Roman" w:hAnsi="Times New Roman" w:eastAsia="宋体" w:cs="Times New Roman"/>
          <w:color w:val="auto"/>
          <w:kern w:val="0"/>
          <w:sz w:val="24"/>
          <w:szCs w:val="24"/>
          <w:vertAlign w:val="subscript"/>
          <w:lang w:val="en-US" w:eastAsia="zh-CN" w:bidi="ar"/>
        </w:rPr>
        <w:t>2</w:t>
      </w:r>
      <w:r>
        <w:rPr>
          <w:rFonts w:hint="default" w:ascii="Times New Roman" w:hAnsi="Times New Roman" w:eastAsia="宋体" w:cs="Times New Roman"/>
          <w:color w:val="auto"/>
          <w:kern w:val="0"/>
          <w:sz w:val="24"/>
          <w:szCs w:val="24"/>
          <w:lang w:val="en-US" w:eastAsia="zh-CN" w:bidi="ar"/>
        </w:rPr>
        <w:t>Q</w:t>
      </w:r>
      <w:r>
        <w:rPr>
          <w:rFonts w:hint="default" w:ascii="Times New Roman" w:hAnsi="Times New Roman" w:eastAsia="宋体" w:cs="Times New Roman"/>
          <w:color w:val="auto"/>
          <w:kern w:val="0"/>
          <w:sz w:val="24"/>
          <w:szCs w:val="24"/>
          <w:vertAlign w:val="subscript"/>
          <w:lang w:val="en-US" w:eastAsia="zh-CN" w:bidi="ar"/>
        </w:rPr>
        <w:t>1</w:t>
      </w:r>
      <w:r>
        <w:rPr>
          <w:rFonts w:hint="default" w:ascii="Times New Roman" w:hAnsi="Times New Roman" w:eastAsia="宋体" w:cs="Times New Roman"/>
          <w:color w:val="auto"/>
          <w:kern w:val="0"/>
          <w:sz w:val="24"/>
          <w:szCs w:val="24"/>
          <w:lang w:val="en-US" w:eastAsia="zh-CN" w:bidi="ar"/>
        </w:rPr>
        <w:t>，第四系更新统Qpl3、Qpl3-4。</w:t>
      </w:r>
    </w:p>
    <w:p w14:paraId="65A609DC">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1）上第三系巴克特里阶托卡普下亚组</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N2 a</w:t>
      </w:r>
      <w:r>
        <w:rPr>
          <w:rFonts w:hint="default" w:ascii="Times New Roman" w:hAnsi="Times New Roman" w:cs="Times New Roman"/>
          <w:color w:val="auto"/>
          <w:kern w:val="0"/>
          <w:sz w:val="24"/>
          <w:szCs w:val="24"/>
          <w:lang w:val="en-US" w:eastAsia="zh-CN" w:bidi="ar"/>
        </w:rPr>
        <w:t>）</w:t>
      </w:r>
    </w:p>
    <w:p w14:paraId="0DFB488C">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主要岩性为砂岩夹砾岩和圆砾岩。砂岩为浅灰红色：有时为浅绿灰色，中－粗粒结构。砾岩为各种不等砾石与圆砾石之混合</w:t>
      </w:r>
      <w:r>
        <w:rPr>
          <w:rFonts w:hint="eastAsia" w:cs="Times New Roman"/>
          <w:color w:val="auto"/>
          <w:kern w:val="0"/>
          <w:sz w:val="24"/>
          <w:szCs w:val="24"/>
          <w:lang w:val="en-US" w:eastAsia="zh-CN" w:bidi="ar"/>
        </w:rPr>
        <w:t>成分</w:t>
      </w:r>
      <w:r>
        <w:rPr>
          <w:rFonts w:hint="default" w:ascii="Times New Roman" w:hAnsi="Times New Roman" w:eastAsia="宋体" w:cs="Times New Roman"/>
          <w:color w:val="auto"/>
          <w:kern w:val="0"/>
          <w:sz w:val="24"/>
          <w:szCs w:val="24"/>
          <w:lang w:val="en-US" w:eastAsia="zh-CN" w:bidi="ar"/>
        </w:rPr>
        <w:t>。致密状。</w:t>
      </w:r>
    </w:p>
    <w:p w14:paraId="6078308C">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2）上第三系巴克特里阶托卡普上中亚组（N2 b+c）</w:t>
      </w:r>
    </w:p>
    <w:p w14:paraId="76DD2E12">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主要岩性为砾岩与走向不稳定的砂岩呈互层。砾岩为灰色、棕褐色由</w:t>
      </w:r>
      <w:r>
        <w:rPr>
          <w:rFonts w:hint="default" w:ascii="Times New Roman" w:hAnsi="Times New Roman" w:cs="Times New Roman"/>
          <w:color w:val="auto"/>
          <w:kern w:val="0"/>
          <w:sz w:val="24"/>
          <w:szCs w:val="24"/>
          <w:lang w:val="en-US" w:eastAsia="zh-CN" w:bidi="ar"/>
        </w:rPr>
        <w:t>滚圆</w:t>
      </w:r>
      <w:r>
        <w:rPr>
          <w:rFonts w:hint="default" w:ascii="Times New Roman" w:hAnsi="Times New Roman" w:eastAsia="宋体" w:cs="Times New Roman"/>
          <w:color w:val="auto"/>
          <w:kern w:val="0"/>
          <w:sz w:val="24"/>
          <w:szCs w:val="24"/>
          <w:lang w:val="en-US" w:eastAsia="zh-CN" w:bidi="ar"/>
        </w:rPr>
        <w:t>度不好未经分选之各种</w:t>
      </w:r>
      <w:r>
        <w:rPr>
          <w:rFonts w:hint="eastAsia" w:cs="Times New Roman"/>
          <w:color w:val="auto"/>
          <w:kern w:val="0"/>
          <w:sz w:val="24"/>
          <w:szCs w:val="24"/>
          <w:lang w:val="en-US" w:eastAsia="zh-CN" w:bidi="ar"/>
        </w:rPr>
        <w:t>成分</w:t>
      </w:r>
      <w:r>
        <w:rPr>
          <w:rFonts w:hint="default" w:ascii="Times New Roman" w:hAnsi="Times New Roman" w:eastAsia="宋体" w:cs="Times New Roman"/>
          <w:color w:val="auto"/>
          <w:kern w:val="0"/>
          <w:sz w:val="24"/>
          <w:szCs w:val="24"/>
          <w:lang w:val="en-US" w:eastAsia="zh-CN" w:bidi="ar"/>
        </w:rPr>
        <w:t>的砾石组成砂岩为灰－棕褐色、黄色、中－粗粒复矿。</w:t>
      </w:r>
    </w:p>
    <w:p w14:paraId="0E4E6D63">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3）上第三系巴克特里阶安吉然组（N2Q1）</w:t>
      </w:r>
    </w:p>
    <w:p w14:paraId="5E149000">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主要岩性灰色、棕褐色、含巨砾之砾岩，砾石大小不等。砾石胶结紧密、未经分选、</w:t>
      </w:r>
      <w:r>
        <w:rPr>
          <w:rFonts w:hint="default" w:ascii="Times New Roman" w:hAnsi="Times New Roman" w:cs="Times New Roman"/>
          <w:color w:val="auto"/>
          <w:kern w:val="0"/>
          <w:sz w:val="24"/>
          <w:szCs w:val="24"/>
          <w:lang w:val="en-US" w:eastAsia="zh-CN" w:bidi="ar"/>
        </w:rPr>
        <w:t>滚圆</w:t>
      </w:r>
      <w:r>
        <w:rPr>
          <w:rFonts w:hint="default" w:ascii="Times New Roman" w:hAnsi="Times New Roman" w:eastAsia="宋体" w:cs="Times New Roman"/>
          <w:color w:val="auto"/>
          <w:kern w:val="0"/>
          <w:sz w:val="24"/>
          <w:szCs w:val="24"/>
          <w:lang w:val="en-US" w:eastAsia="zh-CN" w:bidi="ar"/>
        </w:rPr>
        <w:t>程度不等。其</w:t>
      </w:r>
      <w:r>
        <w:rPr>
          <w:rFonts w:hint="eastAsia" w:cs="Times New Roman"/>
          <w:color w:val="auto"/>
          <w:kern w:val="0"/>
          <w:sz w:val="24"/>
          <w:szCs w:val="24"/>
          <w:lang w:val="en-US" w:eastAsia="zh-CN" w:bidi="ar"/>
        </w:rPr>
        <w:t>成分</w:t>
      </w:r>
      <w:r>
        <w:rPr>
          <w:rFonts w:hint="default" w:ascii="Times New Roman" w:hAnsi="Times New Roman" w:eastAsia="宋体" w:cs="Times New Roman"/>
          <w:color w:val="auto"/>
          <w:kern w:val="0"/>
          <w:sz w:val="24"/>
          <w:szCs w:val="24"/>
          <w:lang w:val="en-US" w:eastAsia="zh-CN" w:bidi="ar"/>
        </w:rPr>
        <w:t>为灰岩、砂岩、页岩和石英。</w:t>
      </w:r>
    </w:p>
    <w:p w14:paraId="652D031A">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4）第四系更新统（Qpl3）</w:t>
      </w:r>
    </w:p>
    <w:p w14:paraId="7F798D10">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主要为中阶地（达60米）的冲积物，主要成分为砂砾，少量碎石、局部见少量细砂等。</w:t>
      </w:r>
    </w:p>
    <w:p w14:paraId="6C4195AD">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5）第四系更新统（Qpl3-4）</w:t>
      </w:r>
    </w:p>
    <w:p w14:paraId="754E2844">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主要为洪积物，主要成分为砂砾，碎石、局部见少量细砂、粉砂等。</w:t>
      </w:r>
    </w:p>
    <w:p w14:paraId="749CCCC6">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b w:val="0"/>
          <w:bCs w:val="0"/>
          <w:color w:val="auto"/>
          <w:kern w:val="0"/>
          <w:sz w:val="24"/>
          <w:szCs w:val="24"/>
          <w:lang w:val="en-US" w:eastAsia="zh-CN" w:bidi="ar"/>
        </w:rPr>
        <w:t>（2）区域地质构造</w:t>
      </w:r>
    </w:p>
    <w:p w14:paraId="0CF3CAA9">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项目区域位于西南天山、西昆仑与塔里木盆地交界区，本区的地质构造单元分为2大板块，即哈萨克斯坦板块及塔里木板块，这2个板块在晚古生代是并合为一体的。哈萨克斯坦板块在古生代时是以洋壳为主的活动板块，海底火山喷发和超基性岩侵入频繁。塔里木板块是个稳定的陆壳板块，其内部岩浆活动较弱，而在板块之西南缘，受洋壳板块的多次俯冲和拼合，形成了多期次的岩浆活动带。项目位属于天山褶皱系（Ⅲ）下的三级构造单元的天山南脉地槽褶皱带（Ⅲ4 2）与塔里木地台（</w:t>
      </w:r>
      <w:r>
        <w:rPr>
          <w:rFonts w:hint="default" w:ascii="Times New Roman" w:hAnsi="Times New Roman" w:cs="Times New Roman"/>
          <w:color w:val="auto"/>
          <w:kern w:val="0"/>
          <w:sz w:val="24"/>
          <w:szCs w:val="24"/>
          <w:lang w:val="en-US" w:eastAsia="zh-CN" w:bidi="ar"/>
        </w:rPr>
        <w:t>Ⅸ</w:t>
      </w:r>
      <w:r>
        <w:rPr>
          <w:rFonts w:hint="default" w:ascii="Times New Roman" w:hAnsi="Times New Roman" w:eastAsia="宋体" w:cs="Times New Roman"/>
          <w:color w:val="auto"/>
          <w:kern w:val="0"/>
          <w:sz w:val="24"/>
          <w:szCs w:val="24"/>
          <w:lang w:val="en-US" w:eastAsia="zh-CN" w:bidi="ar"/>
        </w:rPr>
        <w:t>）下的三级构造单元塔里木凹陷（IX5 4-2</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为主。</w:t>
      </w:r>
    </w:p>
    <w:p w14:paraId="269CBC9A">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项目区域在构造上位于南天山古生代褶皱带以南和塔里木凹陷的塔里木中、新生代盆地的西部。本区是塔里木最重要的中、新生界地层区之一，侏罗—第三系发育十分广泛，其中以白垩系分布最广，侏罗系较局限，三叠系缺失。第三系广布全区，仅东部平原为第四系覆盖。</w:t>
      </w:r>
    </w:p>
    <w:p w14:paraId="77A6EB9F">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主要构造单元有西南天山褶皱系的天山地槽褶皱带的次级构造迈丹复向斜，阔库拉复背斜以及塔里木地台的柯坪断隆。褶皱带的构造方向呈北东一南西向，与本地区内的山脉走向一致，柯坪</w:t>
      </w:r>
      <w:r>
        <w:rPr>
          <w:rFonts w:hint="eastAsia" w:cs="Times New Roman"/>
          <w:color w:val="auto"/>
          <w:kern w:val="0"/>
          <w:sz w:val="24"/>
          <w:szCs w:val="24"/>
          <w:lang w:val="en-US" w:eastAsia="zh-CN" w:bidi="ar"/>
        </w:rPr>
        <w:t>断裂</w:t>
      </w:r>
      <w:r>
        <w:rPr>
          <w:rFonts w:hint="default" w:ascii="Times New Roman" w:hAnsi="Times New Roman" w:eastAsia="宋体" w:cs="Times New Roman"/>
          <w:color w:val="auto"/>
          <w:kern w:val="0"/>
          <w:sz w:val="24"/>
          <w:szCs w:val="24"/>
          <w:lang w:val="en-US" w:eastAsia="zh-CN" w:bidi="ar"/>
        </w:rPr>
        <w:t>内的断裂走向也是北东一南西走向。主要构造单元有塔里木一中期陆块中的次级单元塔里木太古一早元古代地块和晚古生代褶皱带。</w:t>
      </w:r>
    </w:p>
    <w:p w14:paraId="26D4D357">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项目区域跨天山、塔里木</w:t>
      </w:r>
      <w:r>
        <w:rPr>
          <w:rFonts w:hint="eastAsia" w:cs="Times New Roman"/>
          <w:color w:val="auto"/>
          <w:kern w:val="0"/>
          <w:sz w:val="24"/>
          <w:szCs w:val="24"/>
          <w:lang w:val="en-US" w:eastAsia="zh-CN" w:bidi="ar"/>
        </w:rPr>
        <w:t>两个</w:t>
      </w:r>
      <w:r>
        <w:rPr>
          <w:rFonts w:hint="default" w:ascii="Times New Roman" w:hAnsi="Times New Roman" w:eastAsia="宋体" w:cs="Times New Roman"/>
          <w:color w:val="auto"/>
          <w:kern w:val="0"/>
          <w:sz w:val="24"/>
          <w:szCs w:val="24"/>
          <w:lang w:val="en-US" w:eastAsia="zh-CN" w:bidi="ar"/>
        </w:rPr>
        <w:t>构造单元内三级构造单元（Ⅲ4 2）及（IX5 4-2）。受天山纬向构造影响，主要构造迹线均呈近东西向展布，形成背斜山、向斜谷相间分布。主要构造有：</w:t>
      </w:r>
    </w:p>
    <w:p w14:paraId="4EEC282B">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1）天山褶皱系</w:t>
      </w:r>
    </w:p>
    <w:p w14:paraId="75FA8322">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巴什苏洪复背斜（Ⅲ4-8）位于乌恰至阿合奇，西于托云山间坳陷以断裂隔开。构造单元内发育泥盆和石炭系两套地层，构造线为近东西向，线状褶皱剧烈，向南倒转，与走向平行的逆断裂面大多向北倾斜，形成叠瓦式构造，复背斜北界为喀拉铁克大断裂南界为托特拱拜孜断裂东段</w:t>
      </w:r>
    </w:p>
    <w:p w14:paraId="589368B9">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托云山间坳陷（Ⅲ4-8）位于乌恰东北托云一带，断裂形成中新生代山间坳陷，作为坳陷基底的古生界地层零星分布，中生界地层构造成坳陷主体，主要由T1、J2—3、K、E地层组成，坳陷中构造线有北西向近东西向两组，新构造以北西向为主，规模巨大的费尔干纳断裂</w:t>
      </w:r>
      <w:r>
        <w:rPr>
          <w:rFonts w:hint="eastAsia" w:cs="Times New Roman"/>
          <w:color w:val="auto"/>
          <w:kern w:val="0"/>
          <w:sz w:val="24"/>
          <w:szCs w:val="24"/>
          <w:lang w:val="en-US" w:eastAsia="zh-CN" w:bidi="ar"/>
        </w:rPr>
        <w:t>呈</w:t>
      </w:r>
      <w:r>
        <w:rPr>
          <w:rFonts w:hint="default" w:ascii="Times New Roman" w:hAnsi="Times New Roman" w:eastAsia="宋体" w:cs="Times New Roman"/>
          <w:color w:val="auto"/>
          <w:kern w:val="0"/>
          <w:sz w:val="24"/>
          <w:szCs w:val="24"/>
          <w:lang w:val="en-US" w:eastAsia="zh-CN" w:bidi="ar"/>
        </w:rPr>
        <w:t>北西向通过该区。</w:t>
      </w:r>
    </w:p>
    <w:p w14:paraId="6D71FE79">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2）塔里木地台</w:t>
      </w:r>
    </w:p>
    <w:p w14:paraId="2C29FFD3">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喀什凹陷（IX5 4-2）：位于乌恰县以西及塔什一带，凹陷内主要发育第三系(E--N)地层，构造线主要由北东和北西向两组较发育，并形成一些宽缓的向斜和背斜构造，新构造运动以北西向为主，凹陷北界以托特拱拜孜断裂为界，南界以西昆仑山北缘断裂为界，同时凹陷内发育卡兹克阿尔特断裂。</w:t>
      </w:r>
    </w:p>
    <w:p w14:paraId="730A6E67">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项目区断裂分布较多，深大断裂常是板块的边界，控制着基性岩的分布，而大断裂则控制着中酸性大岩基的分布。</w:t>
      </w:r>
    </w:p>
    <w:p w14:paraId="5F485B3C">
      <w:pPr>
        <w:pStyle w:val="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4.1.6 线路工程地质条件</w:t>
      </w:r>
    </w:p>
    <w:p w14:paraId="1E8DC68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本项目主要分为山前洪积扇平原（Ⅰ）、</w:t>
      </w:r>
      <w:r>
        <w:rPr>
          <w:rFonts w:hint="eastAsia" w:cs="Times New Roman"/>
          <w:color w:val="auto"/>
          <w:kern w:val="0"/>
          <w:sz w:val="24"/>
          <w:szCs w:val="24"/>
          <w:lang w:val="en-US" w:eastAsia="zh-CN" w:bidi="ar"/>
        </w:rPr>
        <w:t>兰干</w:t>
      </w:r>
      <w:r>
        <w:rPr>
          <w:rFonts w:hint="default" w:ascii="Times New Roman" w:hAnsi="Times New Roman" w:eastAsia="宋体" w:cs="Times New Roman"/>
          <w:color w:val="auto"/>
          <w:kern w:val="0"/>
          <w:sz w:val="24"/>
          <w:szCs w:val="24"/>
          <w:lang w:val="en-US" w:eastAsia="zh-CN" w:bidi="ar"/>
        </w:rPr>
        <w:t>塔格山低山区（Ⅱ）及</w:t>
      </w:r>
      <w:r>
        <w:rPr>
          <w:rFonts w:hint="eastAsia" w:cs="Times New Roman"/>
          <w:color w:val="auto"/>
          <w:kern w:val="0"/>
          <w:sz w:val="24"/>
          <w:szCs w:val="24"/>
          <w:lang w:val="en-US" w:eastAsia="zh-CN" w:bidi="ar"/>
        </w:rPr>
        <w:t>兰干</w:t>
      </w:r>
      <w:r>
        <w:rPr>
          <w:rFonts w:hint="default" w:ascii="Times New Roman" w:hAnsi="Times New Roman" w:eastAsia="宋体" w:cs="Times New Roman"/>
          <w:color w:val="auto"/>
          <w:kern w:val="0"/>
          <w:sz w:val="24"/>
          <w:szCs w:val="24"/>
          <w:lang w:val="en-US" w:eastAsia="zh-CN" w:bidi="ar"/>
        </w:rPr>
        <w:t>塔格山南坡山前洪积扇平原（Ⅲ）三个地质分区。</w:t>
      </w:r>
    </w:p>
    <w:p w14:paraId="2354597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b/>
          <w:bCs/>
          <w:color w:val="auto"/>
          <w:kern w:val="0"/>
          <w:sz w:val="24"/>
          <w:szCs w:val="24"/>
          <w:lang w:val="en-US" w:eastAsia="zh-CN" w:bidi="ar"/>
        </w:rPr>
        <w:t>山前洪积扇平原（Ⅰ）：</w:t>
      </w:r>
    </w:p>
    <w:p w14:paraId="1C20E59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洪积扇平原区地形开阔、平缓，海拔高程为海拔1330～1360m，整体呈南北两端高，中间低，局部区段植被较稀少。地层以第四系洪积物粉土、圆砾、卵石为主，沿线分布有农田及民居。</w:t>
      </w:r>
    </w:p>
    <w:p w14:paraId="47AF51F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b/>
          <w:bCs/>
          <w:color w:val="auto"/>
          <w:kern w:val="0"/>
          <w:sz w:val="24"/>
          <w:szCs w:val="24"/>
          <w:lang w:val="en-US" w:eastAsia="zh-CN" w:bidi="ar"/>
        </w:rPr>
        <w:t>兰干塔格山低山区（Ⅱ）：</w:t>
      </w:r>
    </w:p>
    <w:p w14:paraId="3C81B36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兰干塔格山低山区地形起伏变化较大，沟壑丛生，植被稀少，地表多为第三系地层风化砂土，海拔高程为海拔1350～1500m。地层以第三系砂岩为主，较为破碎。</w:t>
      </w:r>
    </w:p>
    <w:p w14:paraId="7A0DA87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b/>
          <w:bCs/>
          <w:color w:val="auto"/>
          <w:kern w:val="0"/>
          <w:sz w:val="24"/>
          <w:szCs w:val="24"/>
          <w:lang w:val="en-US" w:eastAsia="zh-CN" w:bidi="ar"/>
        </w:rPr>
        <w:t>山前洪积扇平原区（Ⅲ）：</w:t>
      </w:r>
    </w:p>
    <w:p w14:paraId="0A1B697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兰干塔格山南坡山前洪积扇平原区地形开阔、平缓，海拔高程为海拔1340～1360m，整体呈北高南低，局部区段植被较稀少，地层以粉土、卵石为主，分布有荒地、农田。沿线跨越恰克马克河老河道。</w:t>
      </w:r>
    </w:p>
    <w:p w14:paraId="580102F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（1）K0+000～K5+150段：路线起于G314和X024交叉单喇叭互通收费站南侧渐变段终点处，沿现状024乡道至现状阿扎克路后，偏至现状024乡道东侧，继续向南和现状373县道平交进行，现状土层为：</w:t>
      </w:r>
    </w:p>
    <w:p w14:paraId="431C32E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①层：粉土，层厚1.1～3.0m，黄褐色，稍湿，稍密—中密，干强度低，韧性低，含植物根系，土质不均匀，夹含少量砾石，分布于线路农田段。承载力基本容许值[f</w:t>
      </w:r>
      <w:r>
        <w:rPr>
          <w:rFonts w:hint="default" w:ascii="Times New Roman" w:hAnsi="Times New Roman" w:eastAsia="宋体" w:cs="Times New Roman"/>
          <w:color w:val="auto"/>
          <w:kern w:val="0"/>
          <w:sz w:val="15"/>
          <w:szCs w:val="15"/>
          <w:lang w:val="en-US" w:eastAsia="zh-CN" w:bidi="ar"/>
        </w:rPr>
        <w:t>a0</w:t>
      </w:r>
      <w:r>
        <w:rPr>
          <w:rFonts w:hint="default" w:ascii="Times New Roman" w:hAnsi="Times New Roman" w:eastAsia="宋体" w:cs="Times New Roman"/>
          <w:color w:val="auto"/>
          <w:kern w:val="0"/>
          <w:sz w:val="24"/>
          <w:szCs w:val="24"/>
          <w:lang w:val="en-US" w:eastAsia="zh-CN" w:bidi="ar"/>
        </w:rPr>
        <w:t>]=120～150KPa，土石等级为Ⅰ级。</w:t>
      </w:r>
    </w:p>
    <w:p w14:paraId="4791AB4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②层：圆砾，最大揭露深度4.0m，未揭穿。灰褐色，稍湿—湿，中密—密实，中粗砂充填，亚圆状，一般粒径1～3cm，最大粒径5～10cm，母岩以硬质岩为主。承载力基本容许值[f</w:t>
      </w:r>
      <w:r>
        <w:rPr>
          <w:rFonts w:hint="default" w:ascii="Times New Roman" w:hAnsi="Times New Roman" w:eastAsia="宋体" w:cs="Times New Roman"/>
          <w:color w:val="auto"/>
          <w:kern w:val="0"/>
          <w:sz w:val="15"/>
          <w:szCs w:val="15"/>
          <w:lang w:val="en-US" w:eastAsia="zh-CN" w:bidi="ar"/>
        </w:rPr>
        <w:t>a0</w:t>
      </w:r>
      <w:r>
        <w:rPr>
          <w:rFonts w:hint="default" w:ascii="Times New Roman" w:hAnsi="Times New Roman" w:eastAsia="宋体" w:cs="Times New Roman"/>
          <w:color w:val="auto"/>
          <w:kern w:val="0"/>
          <w:sz w:val="24"/>
          <w:szCs w:val="24"/>
          <w:lang w:val="en-US" w:eastAsia="zh-CN" w:bidi="ar"/>
        </w:rPr>
        <w:t>]=250～300kPa，土石等级为Ⅲ级。</w:t>
      </w:r>
    </w:p>
    <w:p w14:paraId="50B18BA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③层：卵石，最大揭露厚度2.0m～4.5m，未揭穿。灰褐色，湿，中密—密实，中粗砂充填，亚圆状，一般粒径3～8cm，最大粒径30～50cm，母岩以硬质岩为主，承载力基本容许值[f</w:t>
      </w:r>
      <w:r>
        <w:rPr>
          <w:rFonts w:hint="default" w:ascii="Times New Roman" w:hAnsi="Times New Roman" w:eastAsia="宋体" w:cs="Times New Roman"/>
          <w:color w:val="auto"/>
          <w:kern w:val="0"/>
          <w:sz w:val="15"/>
          <w:szCs w:val="15"/>
          <w:lang w:val="en-US" w:eastAsia="zh-CN" w:bidi="ar"/>
        </w:rPr>
        <w:t>a0</w:t>
      </w:r>
      <w:r>
        <w:rPr>
          <w:rFonts w:hint="default" w:ascii="Times New Roman" w:hAnsi="Times New Roman" w:eastAsia="宋体" w:cs="Times New Roman"/>
          <w:color w:val="auto"/>
          <w:kern w:val="0"/>
          <w:sz w:val="24"/>
          <w:szCs w:val="24"/>
          <w:lang w:val="en-US" w:eastAsia="zh-CN" w:bidi="ar"/>
        </w:rPr>
        <w:t>]=400～500Kpa，土石等级为Ⅳ级。</w:t>
      </w:r>
    </w:p>
    <w:p w14:paraId="6A9014E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（2）K5+150～K9+700段：路线通过长隧穿过</w:t>
      </w:r>
      <w:r>
        <w:rPr>
          <w:rFonts w:hint="eastAsia" w:cs="Times New Roman"/>
          <w:color w:val="auto"/>
          <w:kern w:val="0"/>
          <w:sz w:val="24"/>
          <w:szCs w:val="24"/>
          <w:lang w:val="en-US" w:eastAsia="zh-CN" w:bidi="ar"/>
        </w:rPr>
        <w:t>兰干</w:t>
      </w:r>
      <w:r>
        <w:rPr>
          <w:rFonts w:hint="default" w:ascii="Times New Roman" w:hAnsi="Times New Roman" w:eastAsia="宋体" w:cs="Times New Roman"/>
          <w:color w:val="auto"/>
          <w:kern w:val="0"/>
          <w:sz w:val="24"/>
          <w:szCs w:val="24"/>
          <w:lang w:val="en-US" w:eastAsia="zh-CN" w:bidi="ar"/>
        </w:rPr>
        <w:t>塔格山。现状土层为：</w:t>
      </w:r>
    </w:p>
    <w:p w14:paraId="0B07774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②层：圆砾，最大揭露厚度4.0m，未揭穿。灰褐色，稍湿—湿，中密—密实，中粗砂充填，亚圆状，一般粒径1～3cm，最大粒径5～10cm，母岩以硬质岩为主。承载力基本容许值[f</w:t>
      </w:r>
      <w:r>
        <w:rPr>
          <w:rFonts w:hint="default" w:ascii="Times New Roman" w:hAnsi="Times New Roman" w:eastAsia="宋体" w:cs="Times New Roman"/>
          <w:color w:val="auto"/>
          <w:kern w:val="0"/>
          <w:sz w:val="15"/>
          <w:szCs w:val="15"/>
          <w:lang w:val="en-US" w:eastAsia="zh-CN" w:bidi="ar"/>
        </w:rPr>
        <w:t>a0</w:t>
      </w:r>
      <w:r>
        <w:rPr>
          <w:rFonts w:hint="default" w:ascii="Times New Roman" w:hAnsi="Times New Roman" w:eastAsia="宋体" w:cs="Times New Roman"/>
          <w:color w:val="auto"/>
          <w:kern w:val="0"/>
          <w:sz w:val="24"/>
          <w:szCs w:val="24"/>
          <w:lang w:val="en-US" w:eastAsia="zh-CN" w:bidi="ar"/>
        </w:rPr>
        <w:t>]=250～300kPa，土石等级为Ⅲ级。</w:t>
      </w:r>
    </w:p>
    <w:p w14:paraId="4412246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④层：砂岩，棕黄色、棕红色，粉砂粒状结构，强风化，岩体破碎，稍具节理，岩层产状北倾，倾角15°～30°，主要矿物成分为长石、云母。承载力基本容许值[f</w:t>
      </w:r>
      <w:r>
        <w:rPr>
          <w:rFonts w:hint="default" w:ascii="Times New Roman" w:hAnsi="Times New Roman" w:eastAsia="宋体" w:cs="Times New Roman"/>
          <w:color w:val="auto"/>
          <w:kern w:val="0"/>
          <w:sz w:val="15"/>
          <w:szCs w:val="15"/>
          <w:lang w:val="en-US" w:eastAsia="zh-CN" w:bidi="ar"/>
        </w:rPr>
        <w:t>a0</w:t>
      </w:r>
      <w:r>
        <w:rPr>
          <w:rFonts w:hint="default" w:ascii="Times New Roman" w:hAnsi="Times New Roman" w:eastAsia="宋体" w:cs="Times New Roman"/>
          <w:color w:val="auto"/>
          <w:kern w:val="0"/>
          <w:sz w:val="24"/>
          <w:szCs w:val="24"/>
          <w:lang w:val="en-US" w:eastAsia="zh-CN" w:bidi="ar"/>
        </w:rPr>
        <w:t>]=400～600kPa，土石等级为Ⅳ级。局部夹有泥质砂岩、泥岩层，岩石软硬相间。围岩等级为Ⅴ类、Ⅵ类。</w:t>
      </w:r>
    </w:p>
    <w:p w14:paraId="34DA206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（3）K9+700～K10+640段：路线上跨喀什绕城高速路，终点接喀什经济开发区城东大道。现状土层为：</w:t>
      </w:r>
    </w:p>
    <w:p w14:paraId="1117521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①层：粉土，层厚0.6～1.2m，黄褐色，稍湿，稍密，干强度低，韧性低，含植物根系，土质不均匀，夹含少量砾石，分布于线路农田段。承载力基本容许值[f</w:t>
      </w:r>
      <w:r>
        <w:rPr>
          <w:rFonts w:hint="default" w:ascii="Times New Roman" w:hAnsi="Times New Roman" w:eastAsia="宋体" w:cs="Times New Roman"/>
          <w:color w:val="auto"/>
          <w:kern w:val="0"/>
          <w:sz w:val="15"/>
          <w:szCs w:val="15"/>
          <w:lang w:val="en-US" w:eastAsia="zh-CN" w:bidi="ar"/>
        </w:rPr>
        <w:t>a0</w:t>
      </w:r>
      <w:r>
        <w:rPr>
          <w:rFonts w:hint="default" w:ascii="Times New Roman" w:hAnsi="Times New Roman" w:eastAsia="宋体" w:cs="Times New Roman"/>
          <w:color w:val="auto"/>
          <w:kern w:val="0"/>
          <w:sz w:val="24"/>
          <w:szCs w:val="24"/>
          <w:lang w:val="en-US" w:eastAsia="zh-CN" w:bidi="ar"/>
        </w:rPr>
        <w:t>]=120～150KPa，土石等级为Ⅰ级。</w:t>
      </w:r>
    </w:p>
    <w:p w14:paraId="5FDA6687">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③层：卵石，最大揭露厚度2.0m～4.5m，未揭穿。灰褐色，湿，中密—密实，中粗砂充填，亚圆状，一般粒径3～8cm，最大粒径30～50cm，母岩以硬质岩为主，承载力基本容许值[f</w:t>
      </w:r>
      <w:r>
        <w:rPr>
          <w:rFonts w:hint="default" w:ascii="Times New Roman" w:hAnsi="Times New Roman" w:eastAsia="宋体" w:cs="Times New Roman"/>
          <w:color w:val="auto"/>
          <w:kern w:val="0"/>
          <w:sz w:val="15"/>
          <w:szCs w:val="15"/>
          <w:lang w:val="en-US" w:eastAsia="zh-CN" w:bidi="ar"/>
        </w:rPr>
        <w:t>a0</w:t>
      </w:r>
      <w:r>
        <w:rPr>
          <w:rFonts w:hint="default" w:ascii="Times New Roman" w:hAnsi="Times New Roman" w:eastAsia="宋体" w:cs="Times New Roman"/>
          <w:color w:val="auto"/>
          <w:kern w:val="0"/>
          <w:sz w:val="24"/>
          <w:szCs w:val="24"/>
          <w:lang w:val="en-US" w:eastAsia="zh-CN" w:bidi="ar"/>
        </w:rPr>
        <w:t>]=400～500Kpa，土石等级为Ⅳ级。</w:t>
      </w:r>
    </w:p>
    <w:p w14:paraId="735B551C">
      <w:pPr>
        <w:pStyle w:val="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4.1.7 地震</w:t>
      </w:r>
    </w:p>
    <w:p w14:paraId="5DC6D4C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本项目区属于西南天山与塔里木盆地交界区洪积扇平原，主要构造单元有西南天山褶皱系天山地槽褶皱带的次级构造迈丹复向斜，阔库拉复背斜以及塔里木地台的柯坪断隆。</w:t>
      </w:r>
    </w:p>
    <w:p w14:paraId="5D887D1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根据《中国地震动参数区划图》（GB 18306-2015）及《中国地震动峰值加速度区划图》（GB18306 2015图A1、B1），结合地质条件及工程情况，沿线地震烈度划分为：本项目区地震动峰值加速度为0.3g，其相应的地震基本烈度为8度。全区地震动反应谱特征周期为0.45s。</w:t>
      </w:r>
    </w:p>
    <w:p w14:paraId="25FDEB8B">
      <w:pPr>
        <w:pStyle w:val="3"/>
        <w:numPr>
          <w:ilvl w:val="1"/>
          <w:numId w:val="0"/>
        </w:numPr>
        <w:bidi w:val="0"/>
        <w:rPr>
          <w:rFonts w:hint="default" w:ascii="Times New Roman" w:hAnsi="Times New Roman" w:cs="Times New Roman"/>
          <w:color w:val="auto"/>
        </w:rPr>
      </w:pPr>
      <w:bookmarkStart w:id="987" w:name="_Toc27586"/>
      <w:bookmarkStart w:id="988" w:name="_Toc30018"/>
      <w:bookmarkStart w:id="989" w:name="_Toc21010"/>
      <w:bookmarkStart w:id="990" w:name="_Toc11368"/>
      <w:bookmarkStart w:id="991" w:name="_Toc7018"/>
      <w:bookmarkStart w:id="992" w:name="_Toc31732"/>
      <w:bookmarkStart w:id="993" w:name="_Toc12104"/>
      <w:bookmarkStart w:id="994" w:name="_Toc731"/>
      <w:bookmarkStart w:id="995" w:name="_Toc29533"/>
      <w:bookmarkStart w:id="996" w:name="_Toc19428"/>
      <w:bookmarkStart w:id="997" w:name="_Toc18249"/>
      <w:bookmarkStart w:id="998" w:name="_Toc23548"/>
      <w:bookmarkStart w:id="999" w:name="_Toc18391"/>
      <w:bookmarkStart w:id="1000" w:name="_Toc14877"/>
      <w:bookmarkStart w:id="1001" w:name="_Toc29803"/>
      <w:bookmarkStart w:id="1002" w:name="_Toc3742"/>
      <w:bookmarkStart w:id="1003" w:name="_Toc11258_WPSOffice_Level3"/>
      <w:bookmarkStart w:id="1004" w:name="_Toc19563"/>
      <w:bookmarkStart w:id="1005" w:name="_Toc9978"/>
      <w:bookmarkStart w:id="1006" w:name="_Toc7401"/>
      <w:bookmarkStart w:id="1007" w:name="_Toc4854"/>
      <w:bookmarkStart w:id="1008" w:name="_Toc14142"/>
      <w:bookmarkStart w:id="1009" w:name="_Toc927"/>
      <w:bookmarkStart w:id="1010" w:name="_Toc2100"/>
      <w:bookmarkStart w:id="1011" w:name="_Toc9494"/>
      <w:r>
        <w:rPr>
          <w:rFonts w:hint="default" w:ascii="Times New Roman" w:hAnsi="Times New Roman" w:cs="Times New Roman"/>
          <w:color w:val="auto"/>
        </w:rPr>
        <w:t>4.2</w:t>
      </w:r>
      <w:r>
        <w:rPr>
          <w:rFonts w:hint="default" w:ascii="Times New Roman" w:hAnsi="Times New Roman" w:cs="Times New Roman"/>
          <w:color w:val="auto"/>
          <w:lang w:val="en-US" w:eastAsia="zh-CN"/>
        </w:rPr>
        <w:t xml:space="preserve"> 生态</w:t>
      </w:r>
      <w:r>
        <w:rPr>
          <w:rFonts w:hint="default" w:ascii="Times New Roman" w:hAnsi="Times New Roman" w:cs="Times New Roman"/>
          <w:color w:val="auto"/>
        </w:rPr>
        <w:t>环境现状调查与评价</w:t>
      </w:r>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p>
    <w:p w14:paraId="5D587B3C">
      <w:pPr>
        <w:pStyle w:val="4"/>
        <w:tabs>
          <w:tab w:val="left" w:pos="463"/>
          <w:tab w:val="left" w:pos="998"/>
        </w:tabs>
        <w:spacing w:line="360" w:lineRule="auto"/>
        <w:jc w:val="left"/>
        <w:rPr>
          <w:rFonts w:hint="default" w:ascii="Times New Roman" w:hAnsi="Times New Roman" w:cs="Times New Roman" w:eastAsiaTheme="minorEastAsia"/>
          <w:color w:val="auto"/>
          <w:sz w:val="24"/>
          <w:szCs w:val="24"/>
          <w:lang w:val="en-US" w:eastAsia="zh-CN"/>
        </w:rPr>
      </w:pPr>
      <w:bookmarkStart w:id="1012" w:name="_Toc27253_WPSOffice_Level3"/>
      <w:bookmarkStart w:id="1013" w:name="_Toc4711_WPSOffice_Level3"/>
      <w:r>
        <w:rPr>
          <w:rFonts w:hint="default" w:ascii="Times New Roman" w:hAnsi="Times New Roman" w:cs="Times New Roman" w:eastAsiaTheme="minorEastAsia"/>
          <w:b/>
          <w:bCs/>
          <w:color w:val="auto"/>
          <w:sz w:val="24"/>
          <w:szCs w:val="24"/>
        </w:rPr>
        <w:t xml:space="preserve">4.2.1 </w:t>
      </w:r>
      <w:bookmarkEnd w:id="1012"/>
      <w:bookmarkEnd w:id="1013"/>
      <w:r>
        <w:rPr>
          <w:rFonts w:hint="default" w:ascii="Times New Roman" w:hAnsi="Times New Roman" w:cs="Times New Roman" w:eastAsiaTheme="minorEastAsia"/>
          <w:b/>
          <w:bCs/>
          <w:color w:val="auto"/>
          <w:sz w:val="24"/>
          <w:szCs w:val="24"/>
          <w:lang w:val="en-US" w:eastAsia="zh-CN"/>
        </w:rPr>
        <w:t>生态功能区划</w:t>
      </w:r>
    </w:p>
    <w:p w14:paraId="08DBEA5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根据《新疆生态功能区划》，工程所在区域属于Ⅳ塔里木盆地暖温荒漠及绿洲农业生态区，Ⅳ1塔里木盆地西部、北部荒漠及绿洲农业生态亚区，57.喀什三角洲绿洲农业盐渍化敏感生态功能区，见表4.2-1。</w:t>
      </w:r>
    </w:p>
    <w:p w14:paraId="1FB6796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
        </w:rPr>
        <w:t>表4.2-1 项目所在地生态功能区划</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
        <w:gridCol w:w="1282"/>
        <w:gridCol w:w="6328"/>
      </w:tblGrid>
      <w:tr w14:paraId="3D18A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8" w:type="dxa"/>
            <w:gridSpan w:val="2"/>
            <w:noWrap w:val="0"/>
            <w:vAlign w:val="center"/>
          </w:tcPr>
          <w:p w14:paraId="6F5FB71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功能区</w:t>
            </w:r>
          </w:p>
        </w:tc>
        <w:tc>
          <w:tcPr>
            <w:tcW w:w="6328" w:type="dxa"/>
            <w:noWrap w:val="0"/>
            <w:vAlign w:val="center"/>
          </w:tcPr>
          <w:p w14:paraId="5E89A88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rPr>
              <w:t>天山南坡西段荒漠草原水土流失敏感生态功能区</w:t>
            </w:r>
          </w:p>
        </w:tc>
      </w:tr>
      <w:tr w14:paraId="68E49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6" w:type="dxa"/>
            <w:vMerge w:val="restart"/>
            <w:noWrap w:val="0"/>
            <w:vAlign w:val="center"/>
          </w:tcPr>
          <w:p w14:paraId="08A8BE6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生态功能分区单元</w:t>
            </w:r>
          </w:p>
        </w:tc>
        <w:tc>
          <w:tcPr>
            <w:tcW w:w="1282" w:type="dxa"/>
            <w:noWrap w:val="0"/>
            <w:vAlign w:val="center"/>
          </w:tcPr>
          <w:p w14:paraId="6E69DB3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生态区</w:t>
            </w:r>
          </w:p>
        </w:tc>
        <w:tc>
          <w:tcPr>
            <w:tcW w:w="6328" w:type="dxa"/>
            <w:noWrap w:val="0"/>
            <w:vAlign w:val="center"/>
          </w:tcPr>
          <w:p w14:paraId="5B8595A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Ⅳ 塔里木盆地暖温荒漠及绿洲农业生态区</w:t>
            </w:r>
          </w:p>
        </w:tc>
      </w:tr>
      <w:tr w14:paraId="09512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6" w:type="dxa"/>
            <w:vMerge w:val="continue"/>
            <w:noWrap w:val="0"/>
            <w:vAlign w:val="center"/>
          </w:tcPr>
          <w:p w14:paraId="3D3F896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p>
        </w:tc>
        <w:tc>
          <w:tcPr>
            <w:tcW w:w="1282" w:type="dxa"/>
            <w:noWrap w:val="0"/>
            <w:vAlign w:val="center"/>
          </w:tcPr>
          <w:p w14:paraId="4A2857E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生态亚区</w:t>
            </w:r>
          </w:p>
        </w:tc>
        <w:tc>
          <w:tcPr>
            <w:tcW w:w="6328" w:type="dxa"/>
            <w:noWrap w:val="0"/>
            <w:vAlign w:val="center"/>
          </w:tcPr>
          <w:p w14:paraId="6837EB7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Ⅳ1 塔里木盆地西部、北部荒漠及绿洲农业生态亚区</w:t>
            </w:r>
          </w:p>
        </w:tc>
      </w:tr>
      <w:tr w14:paraId="08949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6" w:type="dxa"/>
            <w:vMerge w:val="continue"/>
            <w:noWrap w:val="0"/>
            <w:vAlign w:val="center"/>
          </w:tcPr>
          <w:p w14:paraId="0432A68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p>
        </w:tc>
        <w:tc>
          <w:tcPr>
            <w:tcW w:w="1282" w:type="dxa"/>
            <w:noWrap w:val="0"/>
            <w:vAlign w:val="center"/>
          </w:tcPr>
          <w:p w14:paraId="6C63EBF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生态功能区</w:t>
            </w:r>
          </w:p>
        </w:tc>
        <w:tc>
          <w:tcPr>
            <w:tcW w:w="6328" w:type="dxa"/>
            <w:noWrap w:val="0"/>
            <w:vAlign w:val="center"/>
          </w:tcPr>
          <w:p w14:paraId="3592F43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57．喀什三角洲绿洲农业盐渍化敏感生态功能区</w:t>
            </w:r>
          </w:p>
        </w:tc>
      </w:tr>
      <w:tr w14:paraId="1432C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8" w:type="dxa"/>
            <w:gridSpan w:val="2"/>
            <w:noWrap w:val="0"/>
            <w:vAlign w:val="center"/>
          </w:tcPr>
          <w:p w14:paraId="4360EC7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主要生态服务功能</w:t>
            </w:r>
          </w:p>
        </w:tc>
        <w:tc>
          <w:tcPr>
            <w:tcW w:w="6328" w:type="dxa"/>
            <w:noWrap w:val="0"/>
            <w:vAlign w:val="center"/>
          </w:tcPr>
          <w:p w14:paraId="639159B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农畜产品生产、荒漠化控制、旅游</w:t>
            </w:r>
          </w:p>
        </w:tc>
      </w:tr>
      <w:tr w14:paraId="7127C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8" w:type="dxa"/>
            <w:gridSpan w:val="2"/>
            <w:noWrap w:val="0"/>
            <w:vAlign w:val="center"/>
          </w:tcPr>
          <w:p w14:paraId="7845F90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主要生态环境问题</w:t>
            </w:r>
          </w:p>
        </w:tc>
        <w:tc>
          <w:tcPr>
            <w:tcW w:w="6328" w:type="dxa"/>
            <w:noWrap w:val="0"/>
            <w:vAlign w:val="center"/>
          </w:tcPr>
          <w:p w14:paraId="292943A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土壤盐渍化、三角洲下部天然水质差、城市污水处理滞后、浮尘天气多、土壤质量下降</w:t>
            </w:r>
          </w:p>
        </w:tc>
      </w:tr>
      <w:tr w14:paraId="32A2D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8" w:type="dxa"/>
            <w:gridSpan w:val="2"/>
            <w:noWrap w:val="0"/>
            <w:vAlign w:val="center"/>
          </w:tcPr>
          <w:p w14:paraId="7C7585D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敏感因子、敏感程度</w:t>
            </w:r>
          </w:p>
        </w:tc>
        <w:tc>
          <w:tcPr>
            <w:tcW w:w="6328" w:type="dxa"/>
            <w:noWrap w:val="0"/>
            <w:vAlign w:val="center"/>
          </w:tcPr>
          <w:p w14:paraId="17C98FC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生物多样性及其生境中度敏感，土地沙漠化、土壤盐渍化高度敏感</w:t>
            </w:r>
          </w:p>
        </w:tc>
      </w:tr>
      <w:tr w14:paraId="11EF0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8" w:type="dxa"/>
            <w:gridSpan w:val="2"/>
            <w:noWrap w:val="0"/>
            <w:vAlign w:val="center"/>
          </w:tcPr>
          <w:p w14:paraId="21F68DF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主要保护目标</w:t>
            </w:r>
          </w:p>
        </w:tc>
        <w:tc>
          <w:tcPr>
            <w:tcW w:w="6328" w:type="dxa"/>
            <w:noWrap w:val="0"/>
            <w:vAlign w:val="center"/>
          </w:tcPr>
          <w:p w14:paraId="4F35FF5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保护人群身体健康、保护水资源、保护农田、保护荒漠植被、保护文物古迹与民俗风情</w:t>
            </w:r>
          </w:p>
        </w:tc>
      </w:tr>
      <w:tr w14:paraId="4E9E0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8" w:type="dxa"/>
            <w:gridSpan w:val="2"/>
            <w:noWrap w:val="0"/>
            <w:vAlign w:val="center"/>
          </w:tcPr>
          <w:p w14:paraId="788DF16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主要保护措施</w:t>
            </w:r>
          </w:p>
        </w:tc>
        <w:tc>
          <w:tcPr>
            <w:tcW w:w="6328" w:type="dxa"/>
            <w:noWrap w:val="0"/>
            <w:vAlign w:val="center"/>
          </w:tcPr>
          <w:p w14:paraId="01E9D48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改善人畜饮用水质、防治地方病、引洪放淤扩大植被覆盖、建设城镇污水处理系统、加强农田投入品的使用管理</w:t>
            </w:r>
          </w:p>
        </w:tc>
      </w:tr>
      <w:tr w14:paraId="65590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8" w:type="dxa"/>
            <w:gridSpan w:val="2"/>
            <w:vAlign w:val="center"/>
          </w:tcPr>
          <w:p w14:paraId="150C509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适宜发展方向</w:t>
            </w:r>
          </w:p>
        </w:tc>
        <w:tc>
          <w:tcPr>
            <w:tcW w:w="6328" w:type="dxa"/>
            <w:vAlign w:val="center"/>
          </w:tcPr>
          <w:p w14:paraId="0E6B3C5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以农牧业为基础，建设棉花及特色林果业基地，发展民俗风情旅游</w:t>
            </w:r>
          </w:p>
        </w:tc>
      </w:tr>
    </w:tbl>
    <w:p w14:paraId="156C0B24">
      <w:pPr>
        <w:pStyle w:val="4"/>
        <w:keepNext/>
        <w:keepLines w:val="0"/>
        <w:pageBreakBefore w:val="0"/>
        <w:widowControl w:val="0"/>
        <w:kinsoku/>
        <w:wordWrap/>
        <w:overflowPunct/>
        <w:topLinePunct w:val="0"/>
        <w:autoSpaceDE/>
        <w:autoSpaceDN/>
        <w:bidi w:val="0"/>
        <w:adjustRightInd w:val="0"/>
        <w:snapToGrid w:val="0"/>
        <w:spacing w:before="168" w:beforeLines="5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4.2.2 植被现状调查与评价</w:t>
      </w:r>
    </w:p>
    <w:p w14:paraId="26B8FBCE">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（1）评价区域植被类型</w:t>
      </w:r>
    </w:p>
    <w:p w14:paraId="7456E367">
      <w:pPr>
        <w:bidi w:val="0"/>
        <w:rPr>
          <w:rFonts w:hint="default" w:ascii="Times New Roman" w:hAnsi="Times New Roman" w:eastAsia="宋体" w:cs="Times New Roman"/>
          <w:color w:val="auto"/>
          <w:kern w:val="0"/>
          <w:szCs w:val="24"/>
          <w:lang w:val="en-US" w:eastAsia="zh-CN" w:bidi="ar"/>
        </w:rPr>
      </w:pPr>
      <w:r>
        <w:rPr>
          <w:rFonts w:hint="default" w:ascii="Times New Roman" w:hAnsi="Times New Roman" w:cs="Times New Roman"/>
          <w:color w:val="auto"/>
          <w:lang w:val="en-US" w:eastAsia="zh-CN"/>
        </w:rPr>
        <w:t>经查阅《中国种子植物区系地理》（吴征镒等著，2011年）和《中国植物区系与植被地理》（陈灵芝等著，2015年），本项目所在区域植物区系属于干旱荒漠带-暖温带荒漠区域-那我的西部极端干旱灌木、半灌木荒漠地带-天山南麓-西昆仑山地半荒漠、草原区。</w:t>
      </w:r>
    </w:p>
    <w:p w14:paraId="53CAE861">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区系是古地中海区系于天山隆起过程中受欧亚森林影响的衍生区系，过渡于古地中海区和泛北极区，并与东亚区系有不少联系。该区系植物种类以菊科占优势，其次为蝶形花科、禾木科、十字花科、毛茛科；蝶形花科的黄芪属、棘豆属，莎草科的薹草属、百合科的葱属是含种最多的属。</w:t>
      </w:r>
    </w:p>
    <w:p w14:paraId="4CE629C8">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（2）评价区植物种类</w:t>
      </w:r>
    </w:p>
    <w:p w14:paraId="47C62DA1">
      <w:pPr>
        <w:bidi w:val="0"/>
        <w:rPr>
          <w:rFonts w:hint="default" w:ascii="Times New Roman" w:hAnsi="Times New Roman" w:eastAsia="宋体" w:cs="Times New Roman"/>
          <w:color w:val="auto"/>
          <w:kern w:val="0"/>
          <w:szCs w:val="24"/>
          <w:lang w:val="en-US" w:eastAsia="zh-CN" w:bidi="ar"/>
        </w:rPr>
      </w:pPr>
      <w:r>
        <w:rPr>
          <w:rFonts w:hint="default" w:ascii="Times New Roman" w:hAnsi="Times New Roman" w:cs="Times New Roman"/>
          <w:color w:val="auto"/>
          <w:lang w:val="en-US" w:eastAsia="zh-CN"/>
        </w:rPr>
        <w:t>项目区分布植被主要为圆叶盐爪爪荒漠，植被主要为圆叶盐爪爪、假木贼和猪毛菜为主。根据现场调查，项目区植被覆盖度约为10%左右。根据《国家重点保护野生植物目录》（国家林业和草原</w:t>
      </w:r>
      <w:r>
        <w:rPr>
          <w:rFonts w:hint="eastAsia" w:cs="Times New Roman"/>
          <w:color w:val="auto"/>
          <w:lang w:val="en-US" w:eastAsia="zh-CN"/>
        </w:rPr>
        <w:t>局</w:t>
      </w:r>
      <w:r>
        <w:rPr>
          <w:rFonts w:hint="default" w:ascii="Times New Roman" w:hAnsi="Times New Roman" w:cs="Times New Roman"/>
          <w:color w:val="auto"/>
          <w:lang w:val="en-US" w:eastAsia="zh-CN"/>
        </w:rPr>
        <w:t>、农业农村部2021年第15号）、《新疆国家重点保护野生植物目录》（新疆维吾尔自治区林业和草原局与农业农村厅）、《新疆维吾尔自治区重点保护野生植物目录》（新政发〔2023〕63号），评价区无保护植物，项目区域内无国家级自治区级重点保护野生植物，评价区植被类型及分布见图4.2-</w:t>
      </w:r>
      <w:r>
        <w:rPr>
          <w:rFonts w:hint="eastAsia" w:cs="Times New Roman"/>
          <w:color w:val="auto"/>
          <w:lang w:val="en-US" w:eastAsia="zh-CN"/>
        </w:rPr>
        <w:t>1</w:t>
      </w:r>
      <w:r>
        <w:rPr>
          <w:rFonts w:hint="default" w:ascii="Times New Roman" w:hAnsi="Times New Roman" w:cs="Times New Roman"/>
          <w:color w:val="auto"/>
          <w:lang w:val="en-US" w:eastAsia="zh-CN"/>
        </w:rPr>
        <w:t>。所在区域各个植物种均具有特定的旱生生理特征，其分布适应于不同的干旱环境，主要植物种类及分布，见下表。</w:t>
      </w:r>
    </w:p>
    <w:p w14:paraId="799F2239">
      <w:pPr>
        <w:pStyle w:val="39"/>
        <w:bidi w:val="0"/>
        <w:rPr>
          <w:rFonts w:hint="default" w:ascii="Times New Roman" w:hAnsi="Times New Roman" w:eastAsia="宋体" w:cs="Times New Roman"/>
          <w:color w:val="auto"/>
          <w:kern w:val="0"/>
          <w:szCs w:val="24"/>
          <w:lang w:val="en-US" w:eastAsia="zh-CN" w:bidi="ar"/>
        </w:rPr>
      </w:pPr>
      <w:r>
        <w:rPr>
          <w:rFonts w:hint="default" w:ascii="Times New Roman" w:hAnsi="Times New Roman" w:cs="Times New Roman"/>
          <w:color w:val="auto"/>
          <w:lang w:val="en-US" w:eastAsia="zh-CN"/>
        </w:rPr>
        <w:t>表4.2-2  主要植物种类及分布</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2"/>
        <w:gridCol w:w="2465"/>
        <w:gridCol w:w="3675"/>
      </w:tblGrid>
      <w:tr w14:paraId="0EA8A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shd w:val="clear" w:color="auto" w:fill="auto"/>
            <w:vAlign w:val="center"/>
          </w:tcPr>
          <w:p w14:paraId="1FB9E15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科</w:t>
            </w:r>
          </w:p>
        </w:tc>
        <w:tc>
          <w:tcPr>
            <w:tcW w:w="2465" w:type="dxa"/>
            <w:shd w:val="clear" w:color="auto" w:fill="auto"/>
            <w:vAlign w:val="center"/>
          </w:tcPr>
          <w:p w14:paraId="4CB856B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种名</w:t>
            </w:r>
          </w:p>
        </w:tc>
        <w:tc>
          <w:tcPr>
            <w:tcW w:w="3675" w:type="dxa"/>
            <w:shd w:val="clear" w:color="auto" w:fill="auto"/>
            <w:vAlign w:val="center"/>
          </w:tcPr>
          <w:p w14:paraId="1E4E060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拉丁名</w:t>
            </w:r>
          </w:p>
        </w:tc>
      </w:tr>
      <w:tr w14:paraId="369AA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restart"/>
            <w:shd w:val="clear" w:color="auto" w:fill="auto"/>
            <w:vAlign w:val="center"/>
          </w:tcPr>
          <w:p w14:paraId="508DBF6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杨柳科</w:t>
            </w:r>
            <w:r>
              <w:rPr>
                <w:rFonts w:hint="default" w:ascii="Times New Roman" w:hAnsi="Times New Roman" w:eastAsia="宋体" w:cs="Times New Roman"/>
                <w:i/>
                <w:iCs/>
                <w:color w:val="auto"/>
                <w:sz w:val="21"/>
                <w:szCs w:val="21"/>
                <w:lang w:val="en-US" w:eastAsia="zh-CN"/>
              </w:rPr>
              <w:t>Salicaceae</w:t>
            </w:r>
          </w:p>
        </w:tc>
        <w:tc>
          <w:tcPr>
            <w:tcW w:w="2465" w:type="dxa"/>
            <w:shd w:val="clear" w:color="auto" w:fill="auto"/>
            <w:vAlign w:val="center"/>
          </w:tcPr>
          <w:p w14:paraId="2FA8D02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新疆杨</w:t>
            </w:r>
          </w:p>
        </w:tc>
        <w:tc>
          <w:tcPr>
            <w:tcW w:w="3675" w:type="dxa"/>
            <w:shd w:val="clear" w:color="auto" w:fill="auto"/>
            <w:vAlign w:val="center"/>
          </w:tcPr>
          <w:p w14:paraId="6D75E48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eastAsia="宋体" w:cs="Times New Roman"/>
                <w:i/>
                <w:iCs/>
                <w:color w:val="auto"/>
                <w:sz w:val="21"/>
                <w:szCs w:val="21"/>
                <w:lang w:val="en-US" w:eastAsia="zh-CN"/>
              </w:rPr>
              <w:t>Populus alba</w:t>
            </w:r>
          </w:p>
        </w:tc>
      </w:tr>
      <w:tr w14:paraId="32316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continue"/>
            <w:shd w:val="clear" w:color="auto" w:fill="auto"/>
            <w:vAlign w:val="center"/>
          </w:tcPr>
          <w:p w14:paraId="0FF78EC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2465" w:type="dxa"/>
            <w:shd w:val="clear" w:color="auto" w:fill="auto"/>
            <w:vAlign w:val="center"/>
          </w:tcPr>
          <w:p w14:paraId="7ED5C47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箭杆杨</w:t>
            </w:r>
          </w:p>
        </w:tc>
        <w:tc>
          <w:tcPr>
            <w:tcW w:w="3675" w:type="dxa"/>
            <w:shd w:val="clear" w:color="auto" w:fill="auto"/>
            <w:vAlign w:val="center"/>
          </w:tcPr>
          <w:p w14:paraId="7D35C4A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eastAsia="宋体" w:cs="Times New Roman"/>
                <w:i/>
                <w:iCs/>
                <w:color w:val="auto"/>
                <w:sz w:val="21"/>
                <w:szCs w:val="21"/>
                <w:lang w:val="en-US" w:eastAsia="zh-CN"/>
              </w:rPr>
              <w:t>Populus nigracv Afghanica</w:t>
            </w:r>
          </w:p>
        </w:tc>
      </w:tr>
      <w:tr w14:paraId="6BFB4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shd w:val="clear" w:color="auto" w:fill="auto"/>
            <w:vAlign w:val="center"/>
          </w:tcPr>
          <w:p w14:paraId="3826EC8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麻黄科</w:t>
            </w:r>
            <w:r>
              <w:rPr>
                <w:rFonts w:hint="default" w:ascii="Times New Roman" w:hAnsi="Times New Roman" w:eastAsia="宋体" w:cs="Times New Roman"/>
                <w:i/>
                <w:iCs/>
                <w:color w:val="auto"/>
                <w:sz w:val="21"/>
                <w:szCs w:val="21"/>
                <w:lang w:val="en-US" w:eastAsia="zh-CN"/>
              </w:rPr>
              <w:t>Ephcdraceue</w:t>
            </w:r>
          </w:p>
        </w:tc>
        <w:tc>
          <w:tcPr>
            <w:tcW w:w="2465" w:type="dxa"/>
            <w:shd w:val="clear" w:color="auto" w:fill="auto"/>
            <w:vAlign w:val="center"/>
          </w:tcPr>
          <w:p w14:paraId="1FA6351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膜果麻黄</w:t>
            </w:r>
          </w:p>
        </w:tc>
        <w:tc>
          <w:tcPr>
            <w:tcW w:w="3675" w:type="dxa"/>
            <w:shd w:val="clear" w:color="auto" w:fill="auto"/>
            <w:vAlign w:val="center"/>
          </w:tcPr>
          <w:p w14:paraId="23CB953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eastAsia="宋体" w:cs="Times New Roman"/>
                <w:i/>
                <w:iCs/>
                <w:color w:val="auto"/>
                <w:sz w:val="21"/>
                <w:szCs w:val="21"/>
                <w:lang w:val="en-US" w:eastAsia="zh-CN"/>
              </w:rPr>
              <w:t>Ephecdra przcwalskii</w:t>
            </w:r>
          </w:p>
        </w:tc>
      </w:tr>
      <w:tr w14:paraId="2ECA8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restart"/>
            <w:shd w:val="clear" w:color="auto" w:fill="auto"/>
            <w:vAlign w:val="center"/>
          </w:tcPr>
          <w:p w14:paraId="299726C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aps w:val="0"/>
                <w:color w:val="auto"/>
                <w:spacing w:val="0"/>
                <w:sz w:val="21"/>
                <w:szCs w:val="21"/>
                <w:shd w:val="clear" w:fill="FFFFFF"/>
              </w:rPr>
              <w:t>藜</w:t>
            </w:r>
            <w:r>
              <w:rPr>
                <w:rFonts w:hint="default" w:ascii="Times New Roman" w:hAnsi="Times New Roman" w:eastAsia="宋体" w:cs="Times New Roman"/>
                <w:i w:val="0"/>
                <w:iCs w:val="0"/>
                <w:caps w:val="0"/>
                <w:color w:val="auto"/>
                <w:spacing w:val="0"/>
                <w:sz w:val="21"/>
                <w:szCs w:val="21"/>
                <w:shd w:val="clear" w:fill="FFFFFF"/>
                <w:lang w:val="en-US" w:eastAsia="zh-CN"/>
              </w:rPr>
              <w:t>科</w:t>
            </w:r>
            <w:r>
              <w:rPr>
                <w:rFonts w:hint="default" w:ascii="Times New Roman" w:hAnsi="Times New Roman" w:eastAsia="宋体" w:cs="Times New Roman"/>
                <w:i/>
                <w:iCs/>
                <w:caps w:val="0"/>
                <w:color w:val="auto"/>
                <w:spacing w:val="0"/>
                <w:sz w:val="21"/>
                <w:szCs w:val="21"/>
                <w:shd w:val="clear" w:fill="FFFFFF"/>
                <w:lang w:val="en-US" w:eastAsia="zh-CN"/>
              </w:rPr>
              <w:t>Chenopodiaccae</w:t>
            </w:r>
          </w:p>
        </w:tc>
        <w:tc>
          <w:tcPr>
            <w:tcW w:w="2465" w:type="dxa"/>
            <w:shd w:val="clear" w:color="auto" w:fill="auto"/>
            <w:vAlign w:val="center"/>
          </w:tcPr>
          <w:p w14:paraId="3BE5C94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圆叶盐爪爪</w:t>
            </w:r>
          </w:p>
        </w:tc>
        <w:tc>
          <w:tcPr>
            <w:tcW w:w="3675" w:type="dxa"/>
            <w:shd w:val="clear" w:color="auto" w:fill="auto"/>
            <w:vAlign w:val="center"/>
          </w:tcPr>
          <w:p w14:paraId="7C0DF8B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K.Schrenkianum</w:t>
            </w:r>
          </w:p>
        </w:tc>
      </w:tr>
      <w:tr w14:paraId="3EB87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continue"/>
            <w:shd w:val="clear" w:color="auto" w:fill="auto"/>
            <w:vAlign w:val="center"/>
          </w:tcPr>
          <w:p w14:paraId="37CC20B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2465" w:type="dxa"/>
            <w:shd w:val="clear" w:color="auto" w:fill="auto"/>
            <w:vAlign w:val="center"/>
          </w:tcPr>
          <w:p w14:paraId="4360431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合头草</w:t>
            </w:r>
          </w:p>
        </w:tc>
        <w:tc>
          <w:tcPr>
            <w:tcW w:w="3675" w:type="dxa"/>
            <w:shd w:val="clear" w:color="auto" w:fill="auto"/>
            <w:vAlign w:val="center"/>
          </w:tcPr>
          <w:p w14:paraId="203B64C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Sympegma regelii Bunge</w:t>
            </w:r>
          </w:p>
        </w:tc>
      </w:tr>
      <w:tr w14:paraId="46CC3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continue"/>
            <w:shd w:val="clear" w:color="auto" w:fill="auto"/>
            <w:vAlign w:val="center"/>
          </w:tcPr>
          <w:p w14:paraId="0445B83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2465" w:type="dxa"/>
            <w:shd w:val="clear" w:color="auto" w:fill="auto"/>
            <w:vAlign w:val="center"/>
          </w:tcPr>
          <w:p w14:paraId="5609A07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刺蓬</w:t>
            </w:r>
          </w:p>
        </w:tc>
        <w:tc>
          <w:tcPr>
            <w:tcW w:w="3675" w:type="dxa"/>
            <w:shd w:val="clear" w:color="auto" w:fill="auto"/>
            <w:vAlign w:val="center"/>
          </w:tcPr>
          <w:p w14:paraId="210159D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Sallsola pestifer</w:t>
            </w:r>
          </w:p>
        </w:tc>
      </w:tr>
      <w:tr w14:paraId="60D9F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continue"/>
            <w:shd w:val="clear" w:color="auto" w:fill="auto"/>
            <w:vAlign w:val="center"/>
          </w:tcPr>
          <w:p w14:paraId="260A525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2465" w:type="dxa"/>
            <w:shd w:val="clear" w:color="auto" w:fill="auto"/>
            <w:vAlign w:val="center"/>
          </w:tcPr>
          <w:p w14:paraId="53358CD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细叶虫实</w:t>
            </w:r>
          </w:p>
        </w:tc>
        <w:tc>
          <w:tcPr>
            <w:tcW w:w="3675" w:type="dxa"/>
            <w:shd w:val="clear" w:color="auto" w:fill="auto"/>
            <w:vAlign w:val="center"/>
          </w:tcPr>
          <w:p w14:paraId="15C4E7A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Corispormum heptapotamicum</w:t>
            </w:r>
          </w:p>
        </w:tc>
      </w:tr>
      <w:tr w14:paraId="47FBF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continue"/>
            <w:shd w:val="clear" w:color="auto" w:fill="auto"/>
            <w:vAlign w:val="center"/>
          </w:tcPr>
          <w:p w14:paraId="47C535C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2465" w:type="dxa"/>
            <w:shd w:val="clear" w:color="auto" w:fill="auto"/>
            <w:vAlign w:val="center"/>
          </w:tcPr>
          <w:p w14:paraId="647CEE1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星状刺果</w:t>
            </w:r>
            <w:r>
              <w:rPr>
                <w:rFonts w:hint="default" w:ascii="Times New Roman" w:hAnsi="Times New Roman" w:eastAsia="宋体" w:cs="Times New Roman"/>
                <w:i w:val="0"/>
                <w:iCs w:val="0"/>
                <w:caps w:val="0"/>
                <w:color w:val="auto"/>
                <w:spacing w:val="0"/>
                <w:sz w:val="21"/>
                <w:szCs w:val="21"/>
                <w:shd w:val="clear" w:fill="FFFFFF"/>
              </w:rPr>
              <w:t>藜</w:t>
            </w:r>
          </w:p>
        </w:tc>
        <w:tc>
          <w:tcPr>
            <w:tcW w:w="3675" w:type="dxa"/>
            <w:shd w:val="clear" w:color="auto" w:fill="auto"/>
            <w:vAlign w:val="center"/>
          </w:tcPr>
          <w:p w14:paraId="61A2BC0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Echinopsilon divaricatum</w:t>
            </w:r>
          </w:p>
        </w:tc>
      </w:tr>
      <w:tr w14:paraId="2DA83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continue"/>
            <w:shd w:val="clear" w:color="auto" w:fill="auto"/>
            <w:vAlign w:val="center"/>
          </w:tcPr>
          <w:p w14:paraId="5251AD2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2465" w:type="dxa"/>
            <w:shd w:val="clear" w:color="auto" w:fill="auto"/>
            <w:vAlign w:val="center"/>
          </w:tcPr>
          <w:p w14:paraId="2DF6613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假木贼</w:t>
            </w:r>
          </w:p>
        </w:tc>
        <w:tc>
          <w:tcPr>
            <w:tcW w:w="3675" w:type="dxa"/>
            <w:shd w:val="clear" w:color="auto" w:fill="auto"/>
            <w:vAlign w:val="center"/>
          </w:tcPr>
          <w:p w14:paraId="44087CF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Anabassis spp.</w:t>
            </w:r>
          </w:p>
        </w:tc>
      </w:tr>
      <w:tr w14:paraId="7863E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restart"/>
            <w:vAlign w:val="center"/>
          </w:tcPr>
          <w:p w14:paraId="0A25EF8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豆科</w:t>
            </w:r>
            <w:r>
              <w:rPr>
                <w:rFonts w:hint="default" w:ascii="Times New Roman" w:hAnsi="Times New Roman" w:eastAsia="宋体" w:cs="Times New Roman"/>
                <w:i/>
                <w:iCs/>
                <w:color w:val="auto"/>
                <w:sz w:val="21"/>
                <w:szCs w:val="21"/>
                <w:lang w:val="en-US" w:eastAsia="zh-CN"/>
              </w:rPr>
              <w:t>Leguminosae</w:t>
            </w:r>
          </w:p>
        </w:tc>
        <w:tc>
          <w:tcPr>
            <w:tcW w:w="2465" w:type="dxa"/>
            <w:shd w:val="clear" w:color="auto" w:fill="auto"/>
            <w:vAlign w:val="center"/>
          </w:tcPr>
          <w:p w14:paraId="0F6F58C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铃铛刺</w:t>
            </w:r>
          </w:p>
        </w:tc>
        <w:tc>
          <w:tcPr>
            <w:tcW w:w="3675" w:type="dxa"/>
            <w:shd w:val="clear" w:color="auto" w:fill="auto"/>
            <w:vAlign w:val="center"/>
          </w:tcPr>
          <w:p w14:paraId="7BA9CBC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Halimodendron halodendron</w:t>
            </w:r>
          </w:p>
        </w:tc>
      </w:tr>
      <w:tr w14:paraId="4C6C0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continue"/>
            <w:vAlign w:val="center"/>
          </w:tcPr>
          <w:p w14:paraId="6AB330A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2465" w:type="dxa"/>
            <w:shd w:val="clear" w:color="auto" w:fill="auto"/>
            <w:vAlign w:val="center"/>
          </w:tcPr>
          <w:p w14:paraId="378BD78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白花苦豆子</w:t>
            </w:r>
          </w:p>
        </w:tc>
        <w:tc>
          <w:tcPr>
            <w:tcW w:w="3675" w:type="dxa"/>
            <w:shd w:val="clear" w:color="auto" w:fill="auto"/>
            <w:vAlign w:val="center"/>
          </w:tcPr>
          <w:p w14:paraId="2CC034B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Sqpbora alopecuroides</w:t>
            </w:r>
          </w:p>
        </w:tc>
      </w:tr>
      <w:tr w14:paraId="11FAE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continue"/>
            <w:vAlign w:val="center"/>
          </w:tcPr>
          <w:p w14:paraId="2448C74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2465" w:type="dxa"/>
            <w:shd w:val="clear" w:color="auto" w:fill="auto"/>
            <w:vAlign w:val="center"/>
          </w:tcPr>
          <w:p w14:paraId="607256E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苦马豆</w:t>
            </w:r>
          </w:p>
        </w:tc>
        <w:tc>
          <w:tcPr>
            <w:tcW w:w="3675" w:type="dxa"/>
            <w:shd w:val="clear" w:color="auto" w:fill="auto"/>
            <w:vAlign w:val="center"/>
          </w:tcPr>
          <w:p w14:paraId="2DA1BED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Sphaorophysa salsula</w:t>
            </w:r>
          </w:p>
        </w:tc>
      </w:tr>
      <w:tr w14:paraId="1398B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continue"/>
            <w:vAlign w:val="center"/>
          </w:tcPr>
          <w:p w14:paraId="7FF7ED9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2465" w:type="dxa"/>
            <w:shd w:val="clear" w:color="auto" w:fill="auto"/>
            <w:vAlign w:val="center"/>
          </w:tcPr>
          <w:p w14:paraId="47DE8C6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疏叶骆驼刺</w:t>
            </w:r>
          </w:p>
        </w:tc>
        <w:tc>
          <w:tcPr>
            <w:tcW w:w="3675" w:type="dxa"/>
            <w:shd w:val="clear" w:color="auto" w:fill="auto"/>
            <w:vAlign w:val="center"/>
          </w:tcPr>
          <w:p w14:paraId="3D8A391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Althagi sparsifolia</w:t>
            </w:r>
          </w:p>
        </w:tc>
      </w:tr>
      <w:tr w14:paraId="1C009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restart"/>
            <w:vAlign w:val="center"/>
          </w:tcPr>
          <w:p w14:paraId="4AE35DB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蒺藜科</w:t>
            </w:r>
            <w:r>
              <w:rPr>
                <w:rFonts w:hint="default" w:ascii="Times New Roman" w:hAnsi="Times New Roman" w:eastAsia="宋体" w:cs="Times New Roman"/>
                <w:i/>
                <w:iCs/>
                <w:color w:val="auto"/>
                <w:sz w:val="21"/>
                <w:szCs w:val="21"/>
                <w:lang w:val="en-US" w:eastAsia="zh-CN"/>
              </w:rPr>
              <w:t>Zyqqphy uaceae</w:t>
            </w:r>
          </w:p>
        </w:tc>
        <w:tc>
          <w:tcPr>
            <w:tcW w:w="2465" w:type="dxa"/>
            <w:vAlign w:val="center"/>
          </w:tcPr>
          <w:p w14:paraId="367562F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骆驼篷</w:t>
            </w:r>
          </w:p>
        </w:tc>
        <w:tc>
          <w:tcPr>
            <w:tcW w:w="3675" w:type="dxa"/>
            <w:vAlign w:val="center"/>
          </w:tcPr>
          <w:p w14:paraId="755F441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eastAsia="宋体" w:cs="Times New Roman"/>
                <w:i/>
                <w:iCs/>
                <w:color w:val="auto"/>
                <w:sz w:val="21"/>
                <w:szCs w:val="21"/>
                <w:lang w:val="en-US" w:eastAsia="zh-CN"/>
              </w:rPr>
              <w:t>Peganum barmlat</w:t>
            </w:r>
          </w:p>
        </w:tc>
      </w:tr>
      <w:tr w14:paraId="4A2C0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continue"/>
            <w:vAlign w:val="center"/>
          </w:tcPr>
          <w:p w14:paraId="3CD6AB0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2465" w:type="dxa"/>
            <w:vAlign w:val="center"/>
          </w:tcPr>
          <w:p w14:paraId="1B6BAEA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西伯利亚白刺</w:t>
            </w:r>
          </w:p>
        </w:tc>
        <w:tc>
          <w:tcPr>
            <w:tcW w:w="3675" w:type="dxa"/>
            <w:vAlign w:val="center"/>
          </w:tcPr>
          <w:p w14:paraId="335D431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eastAsia="宋体" w:cs="Times New Roman"/>
                <w:i/>
                <w:iCs/>
                <w:color w:val="auto"/>
                <w:sz w:val="21"/>
                <w:szCs w:val="21"/>
                <w:lang w:val="en-US" w:eastAsia="zh-CN"/>
              </w:rPr>
              <w:t>Nitraria sibirica</w:t>
            </w:r>
          </w:p>
        </w:tc>
      </w:tr>
      <w:tr w14:paraId="1AF2C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restart"/>
            <w:vAlign w:val="center"/>
          </w:tcPr>
          <w:p w14:paraId="02989F5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胡颓子科</w:t>
            </w:r>
            <w:r>
              <w:rPr>
                <w:rFonts w:hint="default" w:ascii="Times New Roman" w:hAnsi="Times New Roman" w:eastAsia="宋体" w:cs="Times New Roman"/>
                <w:i/>
                <w:iCs/>
                <w:color w:val="auto"/>
                <w:sz w:val="21"/>
                <w:szCs w:val="21"/>
                <w:lang w:val="en-US" w:eastAsia="zh-CN"/>
              </w:rPr>
              <w:t>Elacagnaccae</w:t>
            </w:r>
          </w:p>
        </w:tc>
        <w:tc>
          <w:tcPr>
            <w:tcW w:w="2465" w:type="dxa"/>
            <w:vAlign w:val="center"/>
          </w:tcPr>
          <w:p w14:paraId="70AEB14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尖果沙枣</w:t>
            </w:r>
          </w:p>
        </w:tc>
        <w:tc>
          <w:tcPr>
            <w:tcW w:w="3675" w:type="dxa"/>
            <w:vAlign w:val="center"/>
          </w:tcPr>
          <w:p w14:paraId="1F5BED7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eastAsia="宋体" w:cs="Times New Roman"/>
                <w:i/>
                <w:iCs/>
                <w:color w:val="auto"/>
                <w:sz w:val="21"/>
                <w:szCs w:val="21"/>
                <w:lang w:val="en-US" w:eastAsia="zh-CN"/>
              </w:rPr>
              <w:t>Elacagnus oxycarpa</w:t>
            </w:r>
          </w:p>
        </w:tc>
      </w:tr>
      <w:tr w14:paraId="6860D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continue"/>
            <w:vAlign w:val="center"/>
          </w:tcPr>
          <w:p w14:paraId="3EAFD1D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2465" w:type="dxa"/>
            <w:vAlign w:val="center"/>
          </w:tcPr>
          <w:p w14:paraId="59E76E9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大沙枣</w:t>
            </w:r>
          </w:p>
        </w:tc>
        <w:tc>
          <w:tcPr>
            <w:tcW w:w="3675" w:type="dxa"/>
            <w:vAlign w:val="center"/>
          </w:tcPr>
          <w:p w14:paraId="1EDFAE5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eastAsia="宋体" w:cs="Times New Roman"/>
                <w:i/>
                <w:iCs/>
                <w:color w:val="auto"/>
                <w:sz w:val="21"/>
                <w:szCs w:val="21"/>
                <w:lang w:val="en-US" w:eastAsia="zh-CN"/>
              </w:rPr>
              <w:t>E.Moorcroftii</w:t>
            </w:r>
          </w:p>
        </w:tc>
      </w:tr>
      <w:tr w14:paraId="0D380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Align w:val="center"/>
          </w:tcPr>
          <w:p w14:paraId="4B2E728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茄科</w:t>
            </w:r>
            <w:r>
              <w:rPr>
                <w:rFonts w:hint="default" w:ascii="Times New Roman" w:hAnsi="Times New Roman" w:eastAsia="宋体" w:cs="Times New Roman"/>
                <w:i/>
                <w:iCs/>
                <w:color w:val="auto"/>
                <w:sz w:val="21"/>
                <w:szCs w:val="21"/>
                <w:lang w:val="en-US" w:eastAsia="zh-CN"/>
              </w:rPr>
              <w:t>Selanaceae</w:t>
            </w:r>
          </w:p>
        </w:tc>
        <w:tc>
          <w:tcPr>
            <w:tcW w:w="2465" w:type="dxa"/>
            <w:vAlign w:val="center"/>
          </w:tcPr>
          <w:p w14:paraId="0658516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黑刺</w:t>
            </w:r>
          </w:p>
        </w:tc>
        <w:tc>
          <w:tcPr>
            <w:tcW w:w="3675" w:type="dxa"/>
            <w:vAlign w:val="center"/>
          </w:tcPr>
          <w:p w14:paraId="3036E5E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eastAsia="宋体" w:cs="Times New Roman"/>
                <w:i/>
                <w:iCs/>
                <w:color w:val="auto"/>
                <w:sz w:val="21"/>
                <w:szCs w:val="21"/>
                <w:lang w:val="en-US" w:eastAsia="zh-CN"/>
              </w:rPr>
              <w:t>Lycium rutheulcum</w:t>
            </w:r>
          </w:p>
        </w:tc>
      </w:tr>
      <w:tr w14:paraId="583E8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restart"/>
            <w:shd w:val="clear" w:color="auto" w:fill="auto"/>
            <w:vAlign w:val="center"/>
          </w:tcPr>
          <w:p w14:paraId="363DC53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菊科</w:t>
            </w:r>
            <w:r>
              <w:rPr>
                <w:rFonts w:hint="default" w:ascii="Times New Roman" w:hAnsi="Times New Roman" w:eastAsia="宋体" w:cs="Times New Roman"/>
                <w:i/>
                <w:iCs/>
                <w:color w:val="auto"/>
                <w:sz w:val="21"/>
                <w:szCs w:val="21"/>
                <w:lang w:val="en-US" w:eastAsia="zh-CN"/>
              </w:rPr>
              <w:t>Compositae</w:t>
            </w:r>
          </w:p>
        </w:tc>
        <w:tc>
          <w:tcPr>
            <w:tcW w:w="2465" w:type="dxa"/>
            <w:shd w:val="clear" w:color="auto" w:fill="auto"/>
            <w:vAlign w:val="center"/>
          </w:tcPr>
          <w:p w14:paraId="2F754AA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分枝鸦葱</w:t>
            </w:r>
          </w:p>
        </w:tc>
        <w:tc>
          <w:tcPr>
            <w:tcW w:w="3675" w:type="dxa"/>
            <w:shd w:val="clear" w:color="auto" w:fill="auto"/>
            <w:vAlign w:val="center"/>
          </w:tcPr>
          <w:p w14:paraId="3A5B469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Scorzonera divaricata</w:t>
            </w:r>
          </w:p>
        </w:tc>
      </w:tr>
      <w:tr w14:paraId="1E5DB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continue"/>
            <w:shd w:val="clear" w:color="auto" w:fill="auto"/>
            <w:vAlign w:val="center"/>
          </w:tcPr>
          <w:p w14:paraId="640C055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2465" w:type="dxa"/>
            <w:shd w:val="clear" w:color="auto" w:fill="auto"/>
            <w:vAlign w:val="center"/>
          </w:tcPr>
          <w:p w14:paraId="482CE3A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盐生鸦葱</w:t>
            </w:r>
          </w:p>
        </w:tc>
        <w:tc>
          <w:tcPr>
            <w:tcW w:w="3675" w:type="dxa"/>
            <w:shd w:val="clear" w:color="auto" w:fill="auto"/>
            <w:vAlign w:val="center"/>
          </w:tcPr>
          <w:p w14:paraId="0B8DE0A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S.Salsula</w:t>
            </w:r>
          </w:p>
        </w:tc>
      </w:tr>
      <w:tr w14:paraId="5C3F5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continue"/>
            <w:shd w:val="clear" w:color="auto" w:fill="auto"/>
            <w:vAlign w:val="center"/>
          </w:tcPr>
          <w:p w14:paraId="68F9D5B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2465" w:type="dxa"/>
            <w:shd w:val="clear" w:color="auto" w:fill="auto"/>
            <w:vAlign w:val="center"/>
          </w:tcPr>
          <w:p w14:paraId="2807D13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新疆绢蒿</w:t>
            </w:r>
          </w:p>
        </w:tc>
        <w:tc>
          <w:tcPr>
            <w:tcW w:w="3675" w:type="dxa"/>
            <w:shd w:val="clear" w:color="auto" w:fill="auto"/>
            <w:vAlign w:val="center"/>
          </w:tcPr>
          <w:p w14:paraId="2EB2662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Seriphidium boratalense</w:t>
            </w:r>
          </w:p>
        </w:tc>
      </w:tr>
      <w:tr w14:paraId="2ED77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continue"/>
            <w:shd w:val="clear" w:color="auto" w:fill="auto"/>
            <w:vAlign w:val="center"/>
          </w:tcPr>
          <w:p w14:paraId="4B991F9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2465" w:type="dxa"/>
            <w:shd w:val="clear" w:color="auto" w:fill="auto"/>
            <w:vAlign w:val="center"/>
          </w:tcPr>
          <w:p w14:paraId="28DC5BF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高山绢蒿</w:t>
            </w:r>
          </w:p>
        </w:tc>
        <w:tc>
          <w:tcPr>
            <w:tcW w:w="3675" w:type="dxa"/>
            <w:shd w:val="clear" w:color="auto" w:fill="auto"/>
            <w:vAlign w:val="center"/>
          </w:tcPr>
          <w:p w14:paraId="535F0A2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Seriphidium rhodanthum</w:t>
            </w:r>
          </w:p>
        </w:tc>
      </w:tr>
      <w:tr w14:paraId="6E952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continue"/>
            <w:shd w:val="clear" w:color="auto" w:fill="auto"/>
            <w:vAlign w:val="center"/>
          </w:tcPr>
          <w:p w14:paraId="1179B56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2465" w:type="dxa"/>
            <w:shd w:val="clear" w:color="auto" w:fill="auto"/>
            <w:vAlign w:val="center"/>
          </w:tcPr>
          <w:p w14:paraId="31F698C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小</w:t>
            </w:r>
            <w:r>
              <w:rPr>
                <w:rFonts w:hint="default" w:ascii="Times New Roman" w:hAnsi="Times New Roman" w:eastAsia="宋体" w:cs="Times New Roman"/>
                <w:i w:val="0"/>
                <w:iCs w:val="0"/>
                <w:caps w:val="0"/>
                <w:color w:val="auto"/>
                <w:spacing w:val="0"/>
                <w:sz w:val="21"/>
                <w:szCs w:val="21"/>
                <w:shd w:val="clear" w:fill="FFFFFF"/>
              </w:rPr>
              <w:t>蓟</w:t>
            </w:r>
          </w:p>
        </w:tc>
        <w:tc>
          <w:tcPr>
            <w:tcW w:w="3675" w:type="dxa"/>
            <w:shd w:val="clear" w:color="auto" w:fill="auto"/>
            <w:vAlign w:val="center"/>
          </w:tcPr>
          <w:p w14:paraId="372D9E7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Ciriium setosum</w:t>
            </w:r>
          </w:p>
        </w:tc>
      </w:tr>
      <w:tr w14:paraId="398FCB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continue"/>
            <w:shd w:val="clear" w:color="auto" w:fill="auto"/>
            <w:vAlign w:val="center"/>
          </w:tcPr>
          <w:p w14:paraId="682A041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2465" w:type="dxa"/>
            <w:shd w:val="clear" w:color="auto" w:fill="auto"/>
            <w:vAlign w:val="center"/>
          </w:tcPr>
          <w:p w14:paraId="3D7BB71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花花柴</w:t>
            </w:r>
          </w:p>
        </w:tc>
        <w:tc>
          <w:tcPr>
            <w:tcW w:w="3675" w:type="dxa"/>
            <w:shd w:val="clear" w:color="auto" w:fill="auto"/>
            <w:vAlign w:val="center"/>
          </w:tcPr>
          <w:p w14:paraId="2E35CC1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Karelinia caspica</w:t>
            </w:r>
          </w:p>
        </w:tc>
      </w:tr>
      <w:tr w14:paraId="3B3FC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restart"/>
            <w:vAlign w:val="center"/>
          </w:tcPr>
          <w:p w14:paraId="5CD765A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禾本科</w:t>
            </w:r>
            <w:r>
              <w:rPr>
                <w:rFonts w:hint="default" w:ascii="Times New Roman" w:hAnsi="Times New Roman" w:eastAsia="宋体" w:cs="Times New Roman"/>
                <w:i/>
                <w:iCs/>
                <w:color w:val="auto"/>
                <w:sz w:val="21"/>
                <w:szCs w:val="21"/>
                <w:lang w:val="en-US" w:eastAsia="zh-CN"/>
              </w:rPr>
              <w:t>Gramineae</w:t>
            </w:r>
          </w:p>
        </w:tc>
        <w:tc>
          <w:tcPr>
            <w:tcW w:w="2465" w:type="dxa"/>
            <w:shd w:val="clear" w:color="auto" w:fill="auto"/>
            <w:vAlign w:val="center"/>
          </w:tcPr>
          <w:p w14:paraId="2D46209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芦苇</w:t>
            </w:r>
          </w:p>
        </w:tc>
        <w:tc>
          <w:tcPr>
            <w:tcW w:w="3675" w:type="dxa"/>
            <w:shd w:val="clear" w:color="auto" w:fill="auto"/>
            <w:vAlign w:val="center"/>
          </w:tcPr>
          <w:p w14:paraId="6872DE5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Phragmites communis</w:t>
            </w:r>
          </w:p>
        </w:tc>
      </w:tr>
      <w:tr w14:paraId="20183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continue"/>
            <w:vAlign w:val="center"/>
          </w:tcPr>
          <w:p w14:paraId="5DC617F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2465" w:type="dxa"/>
            <w:shd w:val="clear" w:color="auto" w:fill="auto"/>
            <w:vAlign w:val="center"/>
          </w:tcPr>
          <w:p w14:paraId="61F8E37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镰芒针茅</w:t>
            </w:r>
          </w:p>
        </w:tc>
        <w:tc>
          <w:tcPr>
            <w:tcW w:w="3675" w:type="dxa"/>
            <w:vAlign w:val="center"/>
          </w:tcPr>
          <w:p w14:paraId="2C28E4A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eastAsia="宋体" w:cs="Times New Roman"/>
                <w:i/>
                <w:iCs/>
                <w:color w:val="auto"/>
                <w:sz w:val="21"/>
                <w:szCs w:val="21"/>
                <w:lang w:val="en-US" w:eastAsia="zh-CN"/>
              </w:rPr>
              <w:t>Stipa caucasica Schmalh</w:t>
            </w:r>
          </w:p>
        </w:tc>
      </w:tr>
      <w:tr w14:paraId="5CD43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continue"/>
            <w:vAlign w:val="center"/>
          </w:tcPr>
          <w:p w14:paraId="5311708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2465" w:type="dxa"/>
            <w:shd w:val="clear" w:color="auto" w:fill="auto"/>
            <w:vAlign w:val="center"/>
          </w:tcPr>
          <w:p w14:paraId="57F236B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假苇佛子茅</w:t>
            </w:r>
          </w:p>
        </w:tc>
        <w:tc>
          <w:tcPr>
            <w:tcW w:w="3675" w:type="dxa"/>
            <w:vAlign w:val="center"/>
          </w:tcPr>
          <w:p w14:paraId="53BD5FA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eastAsia="宋体" w:cs="Times New Roman"/>
                <w:i/>
                <w:iCs/>
                <w:color w:val="auto"/>
                <w:sz w:val="21"/>
                <w:szCs w:val="21"/>
                <w:lang w:val="en-US" w:eastAsia="zh-CN"/>
              </w:rPr>
              <w:t>Calamagrostis pseudophramites</w:t>
            </w:r>
          </w:p>
        </w:tc>
      </w:tr>
      <w:tr w14:paraId="5BE80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continue"/>
            <w:vAlign w:val="center"/>
          </w:tcPr>
          <w:p w14:paraId="36E4283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2465" w:type="dxa"/>
            <w:shd w:val="clear" w:color="auto" w:fill="auto"/>
            <w:vAlign w:val="center"/>
          </w:tcPr>
          <w:p w14:paraId="10894C2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佛子茅</w:t>
            </w:r>
          </w:p>
        </w:tc>
        <w:tc>
          <w:tcPr>
            <w:tcW w:w="3675" w:type="dxa"/>
            <w:vAlign w:val="center"/>
          </w:tcPr>
          <w:p w14:paraId="20D15A8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eastAsia="宋体" w:cs="Times New Roman"/>
                <w:i/>
                <w:iCs/>
                <w:color w:val="auto"/>
                <w:sz w:val="21"/>
                <w:szCs w:val="21"/>
                <w:lang w:val="en-US" w:eastAsia="zh-CN"/>
              </w:rPr>
              <w:t>Cepigejos</w:t>
            </w:r>
          </w:p>
        </w:tc>
      </w:tr>
      <w:tr w14:paraId="46A68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continue"/>
            <w:vAlign w:val="center"/>
          </w:tcPr>
          <w:p w14:paraId="3B9D33F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2465" w:type="dxa"/>
            <w:shd w:val="clear" w:color="auto" w:fill="auto"/>
            <w:vAlign w:val="center"/>
          </w:tcPr>
          <w:p w14:paraId="2BE2C80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獐毛</w:t>
            </w:r>
          </w:p>
        </w:tc>
        <w:tc>
          <w:tcPr>
            <w:tcW w:w="3675" w:type="dxa"/>
            <w:vAlign w:val="center"/>
          </w:tcPr>
          <w:p w14:paraId="10C64E3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eastAsia="宋体" w:cs="Times New Roman"/>
                <w:i/>
                <w:iCs/>
                <w:color w:val="auto"/>
                <w:sz w:val="21"/>
                <w:szCs w:val="21"/>
                <w:lang w:val="en-US" w:eastAsia="zh-CN"/>
              </w:rPr>
              <w:t>Aeluropus litoralis</w:t>
            </w:r>
          </w:p>
        </w:tc>
      </w:tr>
      <w:tr w14:paraId="33E59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continue"/>
            <w:vAlign w:val="center"/>
          </w:tcPr>
          <w:p w14:paraId="58D593F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2465" w:type="dxa"/>
            <w:shd w:val="clear" w:color="auto" w:fill="auto"/>
            <w:vAlign w:val="center"/>
          </w:tcPr>
          <w:p w14:paraId="07AFA85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赖草</w:t>
            </w:r>
          </w:p>
        </w:tc>
        <w:tc>
          <w:tcPr>
            <w:tcW w:w="3675" w:type="dxa"/>
            <w:vAlign w:val="center"/>
          </w:tcPr>
          <w:p w14:paraId="62E1ECE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eastAsia="宋体" w:cs="Times New Roman"/>
                <w:i/>
                <w:iCs/>
                <w:color w:val="auto"/>
                <w:sz w:val="21"/>
                <w:szCs w:val="21"/>
                <w:lang w:val="en-US" w:eastAsia="zh-CN"/>
              </w:rPr>
              <w:t>Aneurolepidium seealinud</w:t>
            </w:r>
          </w:p>
        </w:tc>
      </w:tr>
      <w:tr w14:paraId="7AF8B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2" w:type="dxa"/>
            <w:vMerge w:val="continue"/>
            <w:vAlign w:val="center"/>
          </w:tcPr>
          <w:p w14:paraId="3B5F894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2465" w:type="dxa"/>
            <w:vAlign w:val="center"/>
          </w:tcPr>
          <w:p w14:paraId="7EE8166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猪毛菜</w:t>
            </w:r>
          </w:p>
        </w:tc>
        <w:tc>
          <w:tcPr>
            <w:tcW w:w="3675" w:type="dxa"/>
            <w:vAlign w:val="center"/>
          </w:tcPr>
          <w:p w14:paraId="799BBFB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eastAsia="宋体" w:cs="Times New Roman"/>
                <w:i/>
                <w:iCs/>
                <w:color w:val="auto"/>
                <w:sz w:val="21"/>
                <w:szCs w:val="21"/>
                <w:lang w:val="en-US" w:eastAsia="zh-CN"/>
              </w:rPr>
              <w:t>Salsola spp.</w:t>
            </w:r>
          </w:p>
        </w:tc>
      </w:tr>
    </w:tbl>
    <w:p w14:paraId="13CDD4C3">
      <w:pPr>
        <w:keepNext w:val="0"/>
        <w:keepLines w:val="0"/>
        <w:pageBreakBefore w:val="0"/>
        <w:widowControl/>
        <w:suppressLineNumbers w:val="0"/>
        <w:kinsoku/>
        <w:wordWrap/>
        <w:overflowPunct/>
        <w:topLinePunct w:val="0"/>
        <w:autoSpaceDE/>
        <w:autoSpaceDN/>
        <w:bidi w:val="0"/>
        <w:adjustRightInd w:val="0"/>
        <w:snapToGrid w:val="0"/>
        <w:spacing w:before="168" w:beforeLines="5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（1）盐爪爪群系</w:t>
      </w:r>
    </w:p>
    <w:p w14:paraId="389F8BE4">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这一群系分布于天山南坡海拔1600m-2500m的山前倾斜平原上部，群落总盖度为3</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5%，群落种类组成很贫乏，有时伴生有少量琵琶柴。</w:t>
      </w:r>
    </w:p>
    <w:p w14:paraId="495A68EA">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（2）琵琶柴群系</w:t>
      </w:r>
    </w:p>
    <w:p w14:paraId="73F566F1">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这一群系在天山南坡分布在海拔1500m-2500m</w:t>
      </w:r>
      <w:r>
        <w:rPr>
          <w:rFonts w:hint="default" w:ascii="Times New Roman" w:hAnsi="Times New Roman" w:eastAsia="宋体" w:cs="Times New Roman"/>
          <w:color w:val="auto"/>
          <w:kern w:val="0"/>
          <w:sz w:val="24"/>
          <w:szCs w:val="24"/>
          <w:highlight w:val="none"/>
          <w:lang w:val="en-US" w:eastAsia="zh-CN" w:bidi="ar"/>
        </w:rPr>
        <w:t>的山麓洪积扇上部和</w:t>
      </w:r>
      <w:r>
        <w:rPr>
          <w:rFonts w:hint="default" w:ascii="Times New Roman" w:hAnsi="Times New Roman" w:eastAsia="宋体" w:cs="Times New Roman"/>
          <w:color w:val="auto"/>
          <w:kern w:val="0"/>
          <w:sz w:val="24"/>
          <w:szCs w:val="24"/>
          <w:lang w:val="en-US" w:eastAsia="zh-CN" w:bidi="ar"/>
        </w:rPr>
        <w:t>山前的低山带，它所处土壤为砾质石膏棕漠土，琵琶柴在群落中形成高30-50cm的层片，从属片层则由膜果麻黄所形成，群落种类组成简单，群落总盖度15%左右，伴生植物有合头草、盐爪爪等。</w:t>
      </w:r>
    </w:p>
    <w:p w14:paraId="6537D4B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w:t>
      </w:r>
      <w:r>
        <w:rPr>
          <w:rFonts w:hint="eastAsia" w:cs="Times New Roman"/>
          <w:color w:val="auto"/>
          <w:kern w:val="0"/>
          <w:sz w:val="24"/>
          <w:szCs w:val="24"/>
          <w:lang w:val="en-US" w:eastAsia="zh-CN" w:bidi="ar"/>
        </w:rPr>
        <w:t>现场</w:t>
      </w:r>
      <w:r>
        <w:rPr>
          <w:rFonts w:hint="default" w:ascii="Times New Roman" w:hAnsi="Times New Roman" w:eastAsia="宋体" w:cs="Times New Roman"/>
          <w:color w:val="auto"/>
          <w:kern w:val="0"/>
          <w:sz w:val="24"/>
          <w:szCs w:val="24"/>
          <w:lang w:val="en-US" w:eastAsia="zh-CN" w:bidi="ar"/>
        </w:rPr>
        <w:t>调查结果，本项目</w:t>
      </w:r>
      <w:r>
        <w:rPr>
          <w:rFonts w:hint="eastAsia" w:cs="Times New Roman"/>
          <w:color w:val="auto"/>
          <w:kern w:val="0"/>
          <w:sz w:val="24"/>
          <w:szCs w:val="24"/>
          <w:lang w:val="en-US" w:eastAsia="zh-CN" w:bidi="ar"/>
        </w:rPr>
        <w:t>隧道及线路属于荒漠戈壁生态系统，收费站（隧道管理站）占用园地，属于农田生态系统。</w:t>
      </w:r>
      <w:r>
        <w:rPr>
          <w:rFonts w:hint="default" w:ascii="Times New Roman" w:hAnsi="Times New Roman" w:eastAsia="宋体" w:cs="Times New Roman"/>
          <w:color w:val="auto"/>
          <w:kern w:val="0"/>
          <w:sz w:val="24"/>
          <w:szCs w:val="24"/>
          <w:lang w:val="en-US" w:eastAsia="zh-CN" w:bidi="ar"/>
        </w:rPr>
        <w:t>评价区内植物群落结构较简单，多数植物为常见种且分布范围较广。主要为戈壁</w:t>
      </w:r>
      <w:r>
        <w:rPr>
          <w:rFonts w:hint="eastAsia" w:cs="Times New Roman"/>
          <w:color w:val="auto"/>
          <w:kern w:val="0"/>
          <w:sz w:val="24"/>
          <w:szCs w:val="24"/>
          <w:lang w:val="en-US" w:eastAsia="zh-CN" w:bidi="ar"/>
        </w:rPr>
        <w:t>生态系统</w:t>
      </w:r>
      <w:r>
        <w:rPr>
          <w:rFonts w:hint="default" w:ascii="Times New Roman" w:hAnsi="Times New Roman" w:eastAsia="宋体" w:cs="Times New Roman"/>
          <w:color w:val="auto"/>
          <w:kern w:val="0"/>
          <w:sz w:val="24"/>
          <w:szCs w:val="24"/>
          <w:lang w:val="en-US" w:eastAsia="zh-CN" w:bidi="ar"/>
        </w:rPr>
        <w:t>范围内的自然植被类型比较单一，属于典型荒漠植被类型，主要有红柳、沙拐枣、苦豆子、白刺等，</w:t>
      </w:r>
      <w:r>
        <w:rPr>
          <w:rFonts w:hint="eastAsia" w:cs="Times New Roman"/>
          <w:color w:val="auto"/>
          <w:kern w:val="0"/>
          <w:sz w:val="24"/>
          <w:szCs w:val="24"/>
          <w:lang w:val="en-US" w:eastAsia="zh-CN" w:bidi="ar"/>
        </w:rPr>
        <w:t>农田生态系统</w:t>
      </w:r>
      <w:r>
        <w:rPr>
          <w:rFonts w:hint="default" w:ascii="Times New Roman" w:hAnsi="Times New Roman" w:eastAsia="宋体" w:cs="Times New Roman"/>
          <w:color w:val="auto"/>
          <w:kern w:val="0"/>
          <w:sz w:val="24"/>
          <w:szCs w:val="24"/>
          <w:lang w:val="en-US" w:eastAsia="zh-CN" w:bidi="ar"/>
        </w:rPr>
        <w:t>主要有玉米、棉花，果园树种有梨树、桃树、核桃、石榴、葡萄及杏树等，项目区林地树种主要为杨树、柳树。项目区植被现状图见图4.2-1。</w:t>
      </w:r>
    </w:p>
    <w:p w14:paraId="1991B638">
      <w:pPr>
        <w:pStyle w:val="4"/>
        <w:keepNext/>
        <w:keepLines w:val="0"/>
        <w:pageBreakBefore w:val="0"/>
        <w:widowControl w:val="0"/>
        <w:kinsoku/>
        <w:wordWrap/>
        <w:overflowPunct/>
        <w:topLinePunct w:val="0"/>
        <w:autoSpaceDE/>
        <w:autoSpaceDN/>
        <w:bidi w:val="0"/>
        <w:adjustRightInd w:val="0"/>
        <w:snapToGrid w:val="0"/>
        <w:spacing w:before="168" w:beforeLines="5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4.2.3 野生动物现状调查</w:t>
      </w:r>
    </w:p>
    <w:p w14:paraId="2150F83A">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（1）野生动物区划</w:t>
      </w:r>
    </w:p>
    <w:p w14:paraId="66A5D0E5">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本工程位于阿图什市与喀什市之间，根据《中国动物地理》（张荣组，科学出版社，2011）的中国动物地理区划，动物区划属于古北界-中亚亚界-蒙新区、西部荒漠亚区、塔里木盆地小区，该动物区系组成简单，分布于该区的动物以耐旱耐寒</w:t>
      </w:r>
      <w:r>
        <w:rPr>
          <w:rFonts w:hint="eastAsia" w:cs="Times New Roman"/>
          <w:color w:val="auto"/>
          <w:kern w:val="0"/>
          <w:sz w:val="24"/>
          <w:szCs w:val="24"/>
          <w:lang w:val="en-US" w:eastAsia="zh-CN" w:bidi="ar"/>
        </w:rPr>
        <w:t>种类</w:t>
      </w:r>
      <w:r>
        <w:rPr>
          <w:rFonts w:hint="default" w:ascii="Times New Roman" w:hAnsi="Times New Roman" w:cs="Times New Roman"/>
          <w:color w:val="auto"/>
          <w:kern w:val="0"/>
          <w:sz w:val="24"/>
          <w:szCs w:val="24"/>
          <w:lang w:val="en-US" w:eastAsia="zh-CN" w:bidi="ar"/>
        </w:rPr>
        <w:t>为主</w:t>
      </w:r>
      <w:r>
        <w:rPr>
          <w:rFonts w:hint="default" w:ascii="Times New Roman" w:hAnsi="Times New Roman" w:cs="Times New Roman"/>
          <w:color w:val="auto"/>
          <w:kern w:val="0"/>
          <w:sz w:val="24"/>
          <w:szCs w:val="24"/>
          <w:highlight w:val="none"/>
          <w:lang w:val="en-US" w:eastAsia="zh-CN" w:bidi="ar"/>
        </w:rPr>
        <w:t>。</w:t>
      </w:r>
      <w:r>
        <w:rPr>
          <w:rFonts w:hint="default" w:ascii="Times New Roman" w:hAnsi="Times New Roman" w:cs="Times New Roman"/>
          <w:color w:val="auto"/>
          <w:kern w:val="0"/>
          <w:sz w:val="24"/>
          <w:szCs w:val="24"/>
          <w:lang w:val="en-US" w:eastAsia="zh-CN" w:bidi="ar"/>
        </w:rPr>
        <w:t>通过对区域野生动物的实地调查和有关调查资料的查询，主要动物目录见下表。</w:t>
      </w:r>
    </w:p>
    <w:p w14:paraId="4DB94624">
      <w:pPr>
        <w:pStyle w:val="39"/>
        <w:bidi w:val="0"/>
        <w:rPr>
          <w:rFonts w:hint="default" w:ascii="Times New Roman" w:hAnsi="Times New Roman" w:eastAsia="宋体" w:cs="Times New Roman"/>
          <w:color w:val="auto"/>
          <w:kern w:val="0"/>
          <w:szCs w:val="24"/>
          <w:lang w:val="en-US" w:eastAsia="zh-CN" w:bidi="ar"/>
        </w:rPr>
      </w:pPr>
      <w:r>
        <w:rPr>
          <w:rFonts w:hint="default" w:ascii="Times New Roman" w:hAnsi="Times New Roman" w:cs="Times New Roman"/>
          <w:color w:val="auto"/>
          <w:lang w:val="en-US" w:eastAsia="zh-CN"/>
        </w:rPr>
        <w:t>表4.2-3  区域主要动物种类及分布</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1"/>
        <w:gridCol w:w="2495"/>
        <w:gridCol w:w="817"/>
        <w:gridCol w:w="1229"/>
        <w:gridCol w:w="1230"/>
        <w:gridCol w:w="1230"/>
      </w:tblGrid>
      <w:tr w14:paraId="7FFE4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vMerge w:val="restart"/>
            <w:shd w:val="clear" w:color="auto" w:fill="auto"/>
            <w:vAlign w:val="center"/>
          </w:tcPr>
          <w:p w14:paraId="7944CB9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中文名</w:t>
            </w:r>
          </w:p>
        </w:tc>
        <w:tc>
          <w:tcPr>
            <w:tcW w:w="2495" w:type="dxa"/>
            <w:vMerge w:val="restart"/>
            <w:shd w:val="clear" w:color="auto" w:fill="auto"/>
            <w:vAlign w:val="center"/>
          </w:tcPr>
          <w:p w14:paraId="1BC0309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学名</w:t>
            </w:r>
          </w:p>
        </w:tc>
        <w:tc>
          <w:tcPr>
            <w:tcW w:w="817" w:type="dxa"/>
            <w:vMerge w:val="restart"/>
            <w:shd w:val="clear" w:color="auto" w:fill="auto"/>
            <w:vAlign w:val="center"/>
          </w:tcPr>
          <w:p w14:paraId="0271B3E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居住特性</w:t>
            </w:r>
          </w:p>
        </w:tc>
        <w:tc>
          <w:tcPr>
            <w:tcW w:w="3689" w:type="dxa"/>
            <w:gridSpan w:val="3"/>
            <w:vAlign w:val="center"/>
          </w:tcPr>
          <w:p w14:paraId="62B26F2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分布及频度</w:t>
            </w:r>
          </w:p>
        </w:tc>
      </w:tr>
      <w:tr w14:paraId="0B0BA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vMerge w:val="continue"/>
            <w:vAlign w:val="center"/>
          </w:tcPr>
          <w:p w14:paraId="3DE2788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2495" w:type="dxa"/>
            <w:vMerge w:val="continue"/>
            <w:vAlign w:val="center"/>
          </w:tcPr>
          <w:p w14:paraId="6AD3CCB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817" w:type="dxa"/>
            <w:vMerge w:val="continue"/>
            <w:vAlign w:val="center"/>
          </w:tcPr>
          <w:p w14:paraId="5CF3ECA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29" w:type="dxa"/>
            <w:vAlign w:val="center"/>
          </w:tcPr>
          <w:p w14:paraId="712B738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戈壁</w:t>
            </w:r>
          </w:p>
        </w:tc>
        <w:tc>
          <w:tcPr>
            <w:tcW w:w="1230" w:type="dxa"/>
            <w:vAlign w:val="center"/>
          </w:tcPr>
          <w:p w14:paraId="578BC54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绿洲</w:t>
            </w:r>
          </w:p>
        </w:tc>
        <w:tc>
          <w:tcPr>
            <w:tcW w:w="1230" w:type="dxa"/>
            <w:vAlign w:val="center"/>
          </w:tcPr>
          <w:p w14:paraId="6791DEC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山地</w:t>
            </w:r>
          </w:p>
        </w:tc>
      </w:tr>
      <w:tr w14:paraId="3C254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7481F06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两栖、爬行类</w:t>
            </w:r>
          </w:p>
        </w:tc>
        <w:tc>
          <w:tcPr>
            <w:tcW w:w="2495" w:type="dxa"/>
            <w:shd w:val="clear" w:color="auto" w:fill="auto"/>
            <w:vAlign w:val="center"/>
          </w:tcPr>
          <w:p w14:paraId="45F82CA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3</w:t>
            </w:r>
            <w:r>
              <w:rPr>
                <w:rFonts w:hint="default" w:ascii="Times New Roman" w:hAnsi="Times New Roman" w:eastAsia="宋体" w:cs="Times New Roman"/>
                <w:color w:val="auto"/>
                <w:sz w:val="21"/>
                <w:szCs w:val="21"/>
                <w:lang w:val="en-US" w:eastAsia="zh-CN"/>
              </w:rPr>
              <w:t>种</w:t>
            </w:r>
          </w:p>
        </w:tc>
        <w:tc>
          <w:tcPr>
            <w:tcW w:w="817" w:type="dxa"/>
            <w:shd w:val="clear" w:color="auto" w:fill="auto"/>
            <w:vAlign w:val="center"/>
          </w:tcPr>
          <w:p w14:paraId="40D76F4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29" w:type="dxa"/>
            <w:shd w:val="clear" w:color="auto" w:fill="auto"/>
            <w:vAlign w:val="center"/>
          </w:tcPr>
          <w:p w14:paraId="26F011D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30" w:type="dxa"/>
            <w:shd w:val="clear" w:color="auto" w:fill="auto"/>
            <w:vAlign w:val="center"/>
          </w:tcPr>
          <w:p w14:paraId="2980C7E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30" w:type="dxa"/>
            <w:shd w:val="clear" w:color="auto" w:fill="auto"/>
            <w:vAlign w:val="center"/>
          </w:tcPr>
          <w:p w14:paraId="1BB2632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r>
      <w:tr w14:paraId="55EC0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03A447A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南疆沙蜥</w:t>
            </w:r>
          </w:p>
        </w:tc>
        <w:tc>
          <w:tcPr>
            <w:tcW w:w="2495" w:type="dxa"/>
            <w:shd w:val="clear" w:color="auto" w:fill="auto"/>
            <w:vAlign w:val="center"/>
          </w:tcPr>
          <w:p w14:paraId="2947E51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eastAsia="宋体" w:cs="Times New Roman"/>
                <w:i/>
                <w:iCs/>
                <w:color w:val="auto"/>
                <w:sz w:val="21"/>
                <w:szCs w:val="21"/>
                <w:lang w:val="en-US" w:eastAsia="zh-CN"/>
              </w:rPr>
              <w:t>Phrynocephalus forsythi</w:t>
            </w:r>
          </w:p>
        </w:tc>
        <w:tc>
          <w:tcPr>
            <w:tcW w:w="817" w:type="dxa"/>
            <w:shd w:val="clear" w:color="auto" w:fill="auto"/>
            <w:vAlign w:val="center"/>
          </w:tcPr>
          <w:p w14:paraId="206B5DE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29" w:type="dxa"/>
            <w:shd w:val="clear" w:color="auto" w:fill="auto"/>
            <w:vAlign w:val="center"/>
          </w:tcPr>
          <w:p w14:paraId="3F69197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788A33E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30" w:type="dxa"/>
            <w:shd w:val="clear" w:color="auto" w:fill="auto"/>
            <w:vAlign w:val="center"/>
          </w:tcPr>
          <w:p w14:paraId="5C189C6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r>
      <w:tr w14:paraId="47AD9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53E9281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密点麻蜥</w:t>
            </w:r>
          </w:p>
        </w:tc>
        <w:tc>
          <w:tcPr>
            <w:tcW w:w="2495" w:type="dxa"/>
            <w:shd w:val="clear" w:color="auto" w:fill="auto"/>
            <w:vAlign w:val="center"/>
          </w:tcPr>
          <w:p w14:paraId="43C2F27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eastAsia="宋体" w:cs="Times New Roman"/>
                <w:i/>
                <w:iCs/>
                <w:color w:val="auto"/>
                <w:sz w:val="21"/>
                <w:szCs w:val="21"/>
                <w:lang w:val="en-US" w:eastAsia="zh-CN"/>
              </w:rPr>
              <w:t>Eremias multiocellata</w:t>
            </w:r>
          </w:p>
        </w:tc>
        <w:tc>
          <w:tcPr>
            <w:tcW w:w="817" w:type="dxa"/>
            <w:shd w:val="clear" w:color="auto" w:fill="auto"/>
            <w:vAlign w:val="center"/>
          </w:tcPr>
          <w:p w14:paraId="0AE8BD5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29" w:type="dxa"/>
            <w:shd w:val="clear" w:color="auto" w:fill="auto"/>
            <w:vAlign w:val="center"/>
          </w:tcPr>
          <w:p w14:paraId="64D41AD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7D2C157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30" w:type="dxa"/>
            <w:shd w:val="clear" w:color="auto" w:fill="auto"/>
            <w:vAlign w:val="center"/>
          </w:tcPr>
          <w:p w14:paraId="58FC7A2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r>
      <w:tr w14:paraId="29635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423280F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荒漠麻蜥</w:t>
            </w:r>
          </w:p>
        </w:tc>
        <w:tc>
          <w:tcPr>
            <w:tcW w:w="2495" w:type="dxa"/>
            <w:shd w:val="clear" w:color="auto" w:fill="auto"/>
            <w:vAlign w:val="center"/>
          </w:tcPr>
          <w:p w14:paraId="2F21332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eastAsia="宋体" w:cs="Times New Roman"/>
                <w:i/>
                <w:iCs/>
                <w:color w:val="auto"/>
                <w:sz w:val="21"/>
                <w:szCs w:val="21"/>
                <w:lang w:val="en-US" w:eastAsia="zh-CN"/>
              </w:rPr>
              <w:t>Eremias przewalskii</w:t>
            </w:r>
          </w:p>
        </w:tc>
        <w:tc>
          <w:tcPr>
            <w:tcW w:w="817" w:type="dxa"/>
            <w:shd w:val="clear" w:color="auto" w:fill="auto"/>
            <w:vAlign w:val="center"/>
          </w:tcPr>
          <w:p w14:paraId="0D0A25E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29" w:type="dxa"/>
            <w:shd w:val="clear" w:color="auto" w:fill="auto"/>
            <w:vAlign w:val="center"/>
          </w:tcPr>
          <w:p w14:paraId="5C32887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0016ADE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30" w:type="dxa"/>
            <w:shd w:val="clear" w:color="auto" w:fill="auto"/>
            <w:vAlign w:val="center"/>
          </w:tcPr>
          <w:p w14:paraId="3740A3B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r>
      <w:tr w14:paraId="6EFA0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7CD07A8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鸟类</w:t>
            </w:r>
          </w:p>
        </w:tc>
        <w:tc>
          <w:tcPr>
            <w:tcW w:w="2495" w:type="dxa"/>
            <w:shd w:val="clear" w:color="auto" w:fill="auto"/>
            <w:vAlign w:val="center"/>
          </w:tcPr>
          <w:p w14:paraId="6EC7587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27</w:t>
            </w:r>
            <w:r>
              <w:rPr>
                <w:rFonts w:hint="default" w:ascii="Times New Roman" w:hAnsi="Times New Roman" w:eastAsia="宋体" w:cs="Times New Roman"/>
                <w:color w:val="auto"/>
                <w:sz w:val="21"/>
                <w:szCs w:val="21"/>
                <w:lang w:val="en-US" w:eastAsia="zh-CN"/>
              </w:rPr>
              <w:t>种</w:t>
            </w:r>
          </w:p>
        </w:tc>
        <w:tc>
          <w:tcPr>
            <w:tcW w:w="817" w:type="dxa"/>
            <w:shd w:val="clear" w:color="auto" w:fill="auto"/>
            <w:vAlign w:val="center"/>
          </w:tcPr>
          <w:p w14:paraId="7EDD210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229" w:type="dxa"/>
            <w:shd w:val="clear" w:color="auto" w:fill="auto"/>
            <w:vAlign w:val="center"/>
          </w:tcPr>
          <w:p w14:paraId="713C79A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230" w:type="dxa"/>
            <w:shd w:val="clear" w:color="auto" w:fill="auto"/>
            <w:vAlign w:val="center"/>
          </w:tcPr>
          <w:p w14:paraId="0408156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230" w:type="dxa"/>
            <w:shd w:val="clear" w:color="auto" w:fill="auto"/>
            <w:vAlign w:val="center"/>
          </w:tcPr>
          <w:p w14:paraId="1EB15F3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14:paraId="6CBA2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3571DCE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鸢</w:t>
            </w:r>
          </w:p>
        </w:tc>
        <w:tc>
          <w:tcPr>
            <w:tcW w:w="2495" w:type="dxa"/>
            <w:shd w:val="clear" w:color="auto" w:fill="auto"/>
            <w:vAlign w:val="center"/>
          </w:tcPr>
          <w:p w14:paraId="67D0354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Milvus korschun</w:t>
            </w:r>
          </w:p>
        </w:tc>
        <w:tc>
          <w:tcPr>
            <w:tcW w:w="817" w:type="dxa"/>
            <w:shd w:val="clear" w:color="auto" w:fill="auto"/>
            <w:vAlign w:val="center"/>
          </w:tcPr>
          <w:p w14:paraId="2F50A8F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R</w:t>
            </w:r>
          </w:p>
        </w:tc>
        <w:tc>
          <w:tcPr>
            <w:tcW w:w="1229" w:type="dxa"/>
            <w:shd w:val="clear" w:color="auto" w:fill="auto"/>
            <w:vAlign w:val="center"/>
          </w:tcPr>
          <w:p w14:paraId="59DBB9F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3DD4FE3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4CF9F87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r>
      <w:tr w14:paraId="722C5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1ED4A5D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苍鹰</w:t>
            </w:r>
          </w:p>
        </w:tc>
        <w:tc>
          <w:tcPr>
            <w:tcW w:w="2495" w:type="dxa"/>
            <w:shd w:val="clear" w:color="auto" w:fill="auto"/>
            <w:vAlign w:val="center"/>
          </w:tcPr>
          <w:p w14:paraId="6DFAB0A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Accipiter gentiles</w:t>
            </w:r>
          </w:p>
        </w:tc>
        <w:tc>
          <w:tcPr>
            <w:tcW w:w="817" w:type="dxa"/>
            <w:shd w:val="clear" w:color="auto" w:fill="auto"/>
            <w:vAlign w:val="center"/>
          </w:tcPr>
          <w:p w14:paraId="73C594B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B</w:t>
            </w:r>
          </w:p>
        </w:tc>
        <w:tc>
          <w:tcPr>
            <w:tcW w:w="1229" w:type="dxa"/>
            <w:shd w:val="clear" w:color="auto" w:fill="auto"/>
            <w:vAlign w:val="center"/>
          </w:tcPr>
          <w:p w14:paraId="69A8561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4ACC657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110D793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r>
      <w:tr w14:paraId="583CC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24C0BEB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红隼</w:t>
            </w:r>
          </w:p>
        </w:tc>
        <w:tc>
          <w:tcPr>
            <w:tcW w:w="2495" w:type="dxa"/>
            <w:shd w:val="clear" w:color="auto" w:fill="auto"/>
            <w:vAlign w:val="center"/>
          </w:tcPr>
          <w:p w14:paraId="3947CF3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Falco tinnunculus</w:t>
            </w:r>
          </w:p>
        </w:tc>
        <w:tc>
          <w:tcPr>
            <w:tcW w:w="817" w:type="dxa"/>
            <w:shd w:val="clear" w:color="auto" w:fill="auto"/>
            <w:vAlign w:val="center"/>
          </w:tcPr>
          <w:p w14:paraId="09B1CC8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R</w:t>
            </w:r>
          </w:p>
        </w:tc>
        <w:tc>
          <w:tcPr>
            <w:tcW w:w="1229" w:type="dxa"/>
            <w:shd w:val="clear" w:color="auto" w:fill="auto"/>
            <w:vAlign w:val="center"/>
          </w:tcPr>
          <w:p w14:paraId="499B321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6123149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03A8B0D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r>
      <w:tr w14:paraId="24C33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5E49594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石鸡</w:t>
            </w:r>
          </w:p>
        </w:tc>
        <w:tc>
          <w:tcPr>
            <w:tcW w:w="2495" w:type="dxa"/>
            <w:shd w:val="clear" w:color="auto" w:fill="auto"/>
            <w:vAlign w:val="center"/>
          </w:tcPr>
          <w:p w14:paraId="3CDFDD0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Alectoris graeca</w:t>
            </w:r>
          </w:p>
        </w:tc>
        <w:tc>
          <w:tcPr>
            <w:tcW w:w="817" w:type="dxa"/>
            <w:shd w:val="clear" w:color="auto" w:fill="auto"/>
            <w:vAlign w:val="center"/>
          </w:tcPr>
          <w:p w14:paraId="2A2EC2D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B</w:t>
            </w:r>
          </w:p>
        </w:tc>
        <w:tc>
          <w:tcPr>
            <w:tcW w:w="1229" w:type="dxa"/>
            <w:shd w:val="clear" w:color="auto" w:fill="auto"/>
            <w:vAlign w:val="center"/>
          </w:tcPr>
          <w:p w14:paraId="06899B9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230" w:type="dxa"/>
            <w:shd w:val="clear" w:color="auto" w:fill="auto"/>
            <w:vAlign w:val="center"/>
          </w:tcPr>
          <w:p w14:paraId="0FCA218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230" w:type="dxa"/>
            <w:shd w:val="clear" w:color="auto" w:fill="auto"/>
            <w:vAlign w:val="center"/>
          </w:tcPr>
          <w:p w14:paraId="7CDBC6A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r>
      <w:tr w14:paraId="16415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7D1E522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环颈雉</w:t>
            </w:r>
          </w:p>
        </w:tc>
        <w:tc>
          <w:tcPr>
            <w:tcW w:w="2495" w:type="dxa"/>
            <w:shd w:val="clear" w:color="auto" w:fill="auto"/>
            <w:vAlign w:val="center"/>
          </w:tcPr>
          <w:p w14:paraId="0412B7B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Phasianus colchicus</w:t>
            </w:r>
          </w:p>
        </w:tc>
        <w:tc>
          <w:tcPr>
            <w:tcW w:w="817" w:type="dxa"/>
            <w:shd w:val="clear" w:color="auto" w:fill="auto"/>
            <w:vAlign w:val="center"/>
          </w:tcPr>
          <w:p w14:paraId="106E236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R</w:t>
            </w:r>
          </w:p>
        </w:tc>
        <w:tc>
          <w:tcPr>
            <w:tcW w:w="1229" w:type="dxa"/>
            <w:shd w:val="clear" w:color="auto" w:fill="auto"/>
            <w:vAlign w:val="center"/>
          </w:tcPr>
          <w:p w14:paraId="0618D32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230" w:type="dxa"/>
            <w:shd w:val="clear" w:color="auto" w:fill="auto"/>
            <w:vAlign w:val="center"/>
          </w:tcPr>
          <w:p w14:paraId="6D4696C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230" w:type="dxa"/>
            <w:shd w:val="clear" w:color="auto" w:fill="auto"/>
            <w:vAlign w:val="center"/>
          </w:tcPr>
          <w:p w14:paraId="5A957FE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r>
      <w:tr w14:paraId="4F0D1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5FA3AD8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凤头麦鸡</w:t>
            </w:r>
          </w:p>
        </w:tc>
        <w:tc>
          <w:tcPr>
            <w:tcW w:w="2495" w:type="dxa"/>
            <w:shd w:val="clear" w:color="auto" w:fill="auto"/>
            <w:vAlign w:val="center"/>
          </w:tcPr>
          <w:p w14:paraId="5DCEF22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Vanellus vancllus</w:t>
            </w:r>
          </w:p>
        </w:tc>
        <w:tc>
          <w:tcPr>
            <w:tcW w:w="817" w:type="dxa"/>
            <w:shd w:val="clear" w:color="auto" w:fill="auto"/>
            <w:vAlign w:val="center"/>
          </w:tcPr>
          <w:p w14:paraId="469AC6A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B</w:t>
            </w:r>
          </w:p>
        </w:tc>
        <w:tc>
          <w:tcPr>
            <w:tcW w:w="1229" w:type="dxa"/>
            <w:shd w:val="clear" w:color="auto" w:fill="auto"/>
            <w:vAlign w:val="center"/>
          </w:tcPr>
          <w:p w14:paraId="0FA7857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57E5EB8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230" w:type="dxa"/>
            <w:shd w:val="clear" w:color="auto" w:fill="auto"/>
            <w:vAlign w:val="center"/>
          </w:tcPr>
          <w:p w14:paraId="16C0476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14:paraId="37D7B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24E30D9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毛脚沙鸡</w:t>
            </w:r>
          </w:p>
        </w:tc>
        <w:tc>
          <w:tcPr>
            <w:tcW w:w="2495" w:type="dxa"/>
            <w:shd w:val="clear" w:color="auto" w:fill="auto"/>
            <w:vAlign w:val="center"/>
          </w:tcPr>
          <w:p w14:paraId="77D13A2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Syrrhates paradoxus</w:t>
            </w:r>
          </w:p>
        </w:tc>
        <w:tc>
          <w:tcPr>
            <w:tcW w:w="817" w:type="dxa"/>
            <w:shd w:val="clear" w:color="auto" w:fill="auto"/>
            <w:vAlign w:val="center"/>
          </w:tcPr>
          <w:p w14:paraId="0F42B40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R</w:t>
            </w:r>
          </w:p>
        </w:tc>
        <w:tc>
          <w:tcPr>
            <w:tcW w:w="1229" w:type="dxa"/>
            <w:shd w:val="clear" w:color="auto" w:fill="auto"/>
            <w:vAlign w:val="center"/>
          </w:tcPr>
          <w:p w14:paraId="22694EF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456AE6C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230" w:type="dxa"/>
            <w:shd w:val="clear" w:color="auto" w:fill="auto"/>
            <w:vAlign w:val="center"/>
          </w:tcPr>
          <w:p w14:paraId="63F0026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r>
      <w:tr w14:paraId="084F0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3B1D8D2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原鸽</w:t>
            </w:r>
          </w:p>
        </w:tc>
        <w:tc>
          <w:tcPr>
            <w:tcW w:w="2495" w:type="dxa"/>
            <w:shd w:val="clear" w:color="auto" w:fill="auto"/>
            <w:vAlign w:val="center"/>
          </w:tcPr>
          <w:p w14:paraId="63CDDA9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Columba livia</w:t>
            </w:r>
          </w:p>
        </w:tc>
        <w:tc>
          <w:tcPr>
            <w:tcW w:w="817" w:type="dxa"/>
            <w:shd w:val="clear" w:color="auto" w:fill="auto"/>
            <w:vAlign w:val="center"/>
          </w:tcPr>
          <w:p w14:paraId="6F97A93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R</w:t>
            </w:r>
          </w:p>
        </w:tc>
        <w:tc>
          <w:tcPr>
            <w:tcW w:w="1229" w:type="dxa"/>
            <w:shd w:val="clear" w:color="auto" w:fill="auto"/>
            <w:vAlign w:val="center"/>
          </w:tcPr>
          <w:p w14:paraId="055697F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4AE4F16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105FB1E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r>
      <w:tr w14:paraId="04A16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0081CEC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欧斑鸠</w:t>
            </w:r>
          </w:p>
        </w:tc>
        <w:tc>
          <w:tcPr>
            <w:tcW w:w="2495" w:type="dxa"/>
            <w:shd w:val="clear" w:color="auto" w:fill="auto"/>
            <w:vAlign w:val="center"/>
          </w:tcPr>
          <w:p w14:paraId="607C6E0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Stretopelia turtur</w:t>
            </w:r>
          </w:p>
        </w:tc>
        <w:tc>
          <w:tcPr>
            <w:tcW w:w="817" w:type="dxa"/>
            <w:shd w:val="clear" w:color="auto" w:fill="auto"/>
            <w:vAlign w:val="center"/>
          </w:tcPr>
          <w:p w14:paraId="159B343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B</w:t>
            </w:r>
          </w:p>
        </w:tc>
        <w:tc>
          <w:tcPr>
            <w:tcW w:w="1229" w:type="dxa"/>
            <w:shd w:val="clear" w:color="auto" w:fill="auto"/>
            <w:vAlign w:val="center"/>
          </w:tcPr>
          <w:p w14:paraId="05A80FD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230" w:type="dxa"/>
            <w:shd w:val="clear" w:color="auto" w:fill="auto"/>
            <w:vAlign w:val="center"/>
          </w:tcPr>
          <w:p w14:paraId="594D76F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221F4FE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14:paraId="1C689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3C182BC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灰斑鸠</w:t>
            </w:r>
          </w:p>
        </w:tc>
        <w:tc>
          <w:tcPr>
            <w:tcW w:w="2495" w:type="dxa"/>
            <w:shd w:val="clear" w:color="auto" w:fill="auto"/>
            <w:vAlign w:val="center"/>
          </w:tcPr>
          <w:p w14:paraId="030D18D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 xml:space="preserve">Stretopelia </w:t>
            </w:r>
            <w:r>
              <w:rPr>
                <w:rFonts w:hint="default" w:ascii="Times New Roman" w:hAnsi="Times New Roman" w:cs="Times New Roman"/>
                <w:i/>
                <w:iCs/>
                <w:color w:val="auto"/>
                <w:sz w:val="21"/>
                <w:szCs w:val="21"/>
                <w:lang w:val="en-US" w:eastAsia="zh-CN"/>
              </w:rPr>
              <w:t>decaocto</w:t>
            </w:r>
          </w:p>
        </w:tc>
        <w:tc>
          <w:tcPr>
            <w:tcW w:w="817" w:type="dxa"/>
            <w:shd w:val="clear" w:color="auto" w:fill="auto"/>
            <w:vAlign w:val="center"/>
          </w:tcPr>
          <w:p w14:paraId="1923C15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R</w:t>
            </w:r>
          </w:p>
        </w:tc>
        <w:tc>
          <w:tcPr>
            <w:tcW w:w="1229" w:type="dxa"/>
            <w:shd w:val="clear" w:color="auto" w:fill="auto"/>
            <w:vAlign w:val="center"/>
          </w:tcPr>
          <w:p w14:paraId="0967A02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230" w:type="dxa"/>
            <w:shd w:val="clear" w:color="auto" w:fill="auto"/>
            <w:vAlign w:val="center"/>
          </w:tcPr>
          <w:p w14:paraId="7648EA1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0B76713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14:paraId="50509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00C2C26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大杜鹃</w:t>
            </w:r>
          </w:p>
        </w:tc>
        <w:tc>
          <w:tcPr>
            <w:tcW w:w="2495" w:type="dxa"/>
            <w:shd w:val="clear" w:color="auto" w:fill="auto"/>
            <w:vAlign w:val="center"/>
          </w:tcPr>
          <w:p w14:paraId="3F58419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Cuculus canorus</w:t>
            </w:r>
          </w:p>
        </w:tc>
        <w:tc>
          <w:tcPr>
            <w:tcW w:w="817" w:type="dxa"/>
            <w:shd w:val="clear" w:color="auto" w:fill="auto"/>
            <w:vAlign w:val="center"/>
          </w:tcPr>
          <w:p w14:paraId="6451BA7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S</w:t>
            </w:r>
          </w:p>
        </w:tc>
        <w:tc>
          <w:tcPr>
            <w:tcW w:w="1229" w:type="dxa"/>
            <w:shd w:val="clear" w:color="auto" w:fill="auto"/>
            <w:vAlign w:val="center"/>
          </w:tcPr>
          <w:p w14:paraId="1962F16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230" w:type="dxa"/>
            <w:shd w:val="clear" w:color="auto" w:fill="auto"/>
            <w:vAlign w:val="center"/>
          </w:tcPr>
          <w:p w14:paraId="189DF01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41AA4C2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14:paraId="128D6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5188B07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楼燕</w:t>
            </w:r>
          </w:p>
        </w:tc>
        <w:tc>
          <w:tcPr>
            <w:tcW w:w="2495" w:type="dxa"/>
            <w:shd w:val="clear" w:color="auto" w:fill="auto"/>
            <w:vAlign w:val="center"/>
          </w:tcPr>
          <w:p w14:paraId="62F6729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Apus apus</w:t>
            </w:r>
          </w:p>
        </w:tc>
        <w:tc>
          <w:tcPr>
            <w:tcW w:w="817" w:type="dxa"/>
            <w:shd w:val="clear" w:color="auto" w:fill="auto"/>
            <w:vAlign w:val="center"/>
          </w:tcPr>
          <w:p w14:paraId="660658F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B</w:t>
            </w:r>
          </w:p>
        </w:tc>
        <w:tc>
          <w:tcPr>
            <w:tcW w:w="1229" w:type="dxa"/>
            <w:shd w:val="clear" w:color="auto" w:fill="auto"/>
            <w:vAlign w:val="center"/>
          </w:tcPr>
          <w:p w14:paraId="330ABB8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230" w:type="dxa"/>
            <w:shd w:val="clear" w:color="auto" w:fill="auto"/>
            <w:vAlign w:val="center"/>
          </w:tcPr>
          <w:p w14:paraId="0E4E8CC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1751FB3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r>
      <w:tr w14:paraId="2D8BA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0F1BB0E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戴胜</w:t>
            </w:r>
          </w:p>
        </w:tc>
        <w:tc>
          <w:tcPr>
            <w:tcW w:w="2495" w:type="dxa"/>
            <w:shd w:val="clear" w:color="auto" w:fill="auto"/>
            <w:vAlign w:val="center"/>
          </w:tcPr>
          <w:p w14:paraId="7FB94DA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Upupa epops</w:t>
            </w:r>
          </w:p>
        </w:tc>
        <w:tc>
          <w:tcPr>
            <w:tcW w:w="817" w:type="dxa"/>
            <w:shd w:val="clear" w:color="auto" w:fill="auto"/>
            <w:vAlign w:val="center"/>
          </w:tcPr>
          <w:p w14:paraId="69A01C0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R</w:t>
            </w:r>
          </w:p>
        </w:tc>
        <w:tc>
          <w:tcPr>
            <w:tcW w:w="1229" w:type="dxa"/>
            <w:shd w:val="clear" w:color="auto" w:fill="auto"/>
            <w:vAlign w:val="center"/>
          </w:tcPr>
          <w:p w14:paraId="77A9127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230" w:type="dxa"/>
            <w:shd w:val="clear" w:color="auto" w:fill="auto"/>
            <w:vAlign w:val="center"/>
          </w:tcPr>
          <w:p w14:paraId="2BB9615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1CB6AD3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14:paraId="6230E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3B2FFD5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白翅啄木鸟</w:t>
            </w:r>
          </w:p>
        </w:tc>
        <w:tc>
          <w:tcPr>
            <w:tcW w:w="2495" w:type="dxa"/>
            <w:shd w:val="clear" w:color="auto" w:fill="auto"/>
            <w:vAlign w:val="center"/>
          </w:tcPr>
          <w:p w14:paraId="0B64C68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Dendrocopos leucopterus</w:t>
            </w:r>
          </w:p>
        </w:tc>
        <w:tc>
          <w:tcPr>
            <w:tcW w:w="817" w:type="dxa"/>
            <w:shd w:val="clear" w:color="auto" w:fill="auto"/>
            <w:vAlign w:val="center"/>
          </w:tcPr>
          <w:p w14:paraId="165C8AA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B</w:t>
            </w:r>
          </w:p>
        </w:tc>
        <w:tc>
          <w:tcPr>
            <w:tcW w:w="1229" w:type="dxa"/>
            <w:shd w:val="clear" w:color="auto" w:fill="auto"/>
            <w:vAlign w:val="center"/>
          </w:tcPr>
          <w:p w14:paraId="15AC779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230" w:type="dxa"/>
            <w:shd w:val="clear" w:color="auto" w:fill="auto"/>
            <w:vAlign w:val="center"/>
          </w:tcPr>
          <w:p w14:paraId="5492B3A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40FE4A6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14:paraId="6CC07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0B0CD12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沙百灵</w:t>
            </w:r>
          </w:p>
        </w:tc>
        <w:tc>
          <w:tcPr>
            <w:tcW w:w="2495" w:type="dxa"/>
            <w:shd w:val="clear" w:color="auto" w:fill="auto"/>
            <w:vAlign w:val="center"/>
          </w:tcPr>
          <w:p w14:paraId="17DE69B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Calandrella rufescens</w:t>
            </w:r>
          </w:p>
        </w:tc>
        <w:tc>
          <w:tcPr>
            <w:tcW w:w="817" w:type="dxa"/>
            <w:shd w:val="clear" w:color="auto" w:fill="auto"/>
            <w:vAlign w:val="center"/>
          </w:tcPr>
          <w:p w14:paraId="40D2E1F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R</w:t>
            </w:r>
          </w:p>
        </w:tc>
        <w:tc>
          <w:tcPr>
            <w:tcW w:w="1229" w:type="dxa"/>
            <w:shd w:val="clear" w:color="auto" w:fill="auto"/>
            <w:vAlign w:val="center"/>
          </w:tcPr>
          <w:p w14:paraId="1D43ABC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2FF3CBD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2D034E5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r>
      <w:tr w14:paraId="16D2F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01FA743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凤头百灵</w:t>
            </w:r>
          </w:p>
        </w:tc>
        <w:tc>
          <w:tcPr>
            <w:tcW w:w="2495" w:type="dxa"/>
            <w:shd w:val="clear" w:color="auto" w:fill="auto"/>
            <w:vAlign w:val="center"/>
          </w:tcPr>
          <w:p w14:paraId="3DB2A91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Galerida cristata</w:t>
            </w:r>
          </w:p>
        </w:tc>
        <w:tc>
          <w:tcPr>
            <w:tcW w:w="817" w:type="dxa"/>
            <w:shd w:val="clear" w:color="auto" w:fill="auto"/>
            <w:vAlign w:val="center"/>
          </w:tcPr>
          <w:p w14:paraId="79FC8B0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R</w:t>
            </w:r>
          </w:p>
        </w:tc>
        <w:tc>
          <w:tcPr>
            <w:tcW w:w="1229" w:type="dxa"/>
            <w:shd w:val="clear" w:color="auto" w:fill="auto"/>
            <w:vAlign w:val="center"/>
          </w:tcPr>
          <w:p w14:paraId="5F69698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1E6077D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1121D0A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r>
      <w:tr w14:paraId="139FFB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7AB1BBF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角百灵</w:t>
            </w:r>
          </w:p>
        </w:tc>
        <w:tc>
          <w:tcPr>
            <w:tcW w:w="2495" w:type="dxa"/>
            <w:shd w:val="clear" w:color="auto" w:fill="auto"/>
            <w:vAlign w:val="center"/>
          </w:tcPr>
          <w:p w14:paraId="68F4566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Eremophila alpestris</w:t>
            </w:r>
          </w:p>
        </w:tc>
        <w:tc>
          <w:tcPr>
            <w:tcW w:w="817" w:type="dxa"/>
            <w:shd w:val="clear" w:color="auto" w:fill="auto"/>
            <w:vAlign w:val="center"/>
          </w:tcPr>
          <w:p w14:paraId="284C70A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R</w:t>
            </w:r>
          </w:p>
        </w:tc>
        <w:tc>
          <w:tcPr>
            <w:tcW w:w="1229" w:type="dxa"/>
            <w:shd w:val="clear" w:color="auto" w:fill="auto"/>
            <w:vAlign w:val="center"/>
          </w:tcPr>
          <w:p w14:paraId="3C475F9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244219A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228DF45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r>
      <w:tr w14:paraId="2EF6E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70B55B1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云雀</w:t>
            </w:r>
          </w:p>
        </w:tc>
        <w:tc>
          <w:tcPr>
            <w:tcW w:w="2495" w:type="dxa"/>
            <w:shd w:val="clear" w:color="auto" w:fill="auto"/>
            <w:vAlign w:val="center"/>
          </w:tcPr>
          <w:p w14:paraId="6A15A70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Alauda arvensis</w:t>
            </w:r>
          </w:p>
        </w:tc>
        <w:tc>
          <w:tcPr>
            <w:tcW w:w="817" w:type="dxa"/>
            <w:shd w:val="clear" w:color="auto" w:fill="auto"/>
            <w:vAlign w:val="center"/>
          </w:tcPr>
          <w:p w14:paraId="7450CE1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B</w:t>
            </w:r>
          </w:p>
        </w:tc>
        <w:tc>
          <w:tcPr>
            <w:tcW w:w="1229" w:type="dxa"/>
            <w:shd w:val="clear" w:color="auto" w:fill="auto"/>
            <w:vAlign w:val="center"/>
          </w:tcPr>
          <w:p w14:paraId="23E1BB2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6A03572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3588A15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14:paraId="095ED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127E2C6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白鹡鸰</w:t>
            </w:r>
          </w:p>
        </w:tc>
        <w:tc>
          <w:tcPr>
            <w:tcW w:w="2495" w:type="dxa"/>
            <w:shd w:val="clear" w:color="auto" w:fill="auto"/>
            <w:vAlign w:val="center"/>
          </w:tcPr>
          <w:p w14:paraId="2582CB2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kern w:val="2"/>
                <w:sz w:val="21"/>
                <w:szCs w:val="21"/>
                <w:lang w:val="en-US" w:eastAsia="zh-CN" w:bidi="ar-SA"/>
              </w:rPr>
            </w:pPr>
            <w:r>
              <w:rPr>
                <w:rFonts w:hint="default" w:ascii="Times New Roman" w:hAnsi="Times New Roman" w:eastAsia="宋体" w:cs="Times New Roman"/>
                <w:i/>
                <w:iCs/>
                <w:color w:val="auto"/>
                <w:sz w:val="21"/>
                <w:szCs w:val="21"/>
                <w:lang w:val="en-US" w:eastAsia="zh-CN"/>
              </w:rPr>
              <w:t>Motacilla alba</w:t>
            </w:r>
          </w:p>
        </w:tc>
        <w:tc>
          <w:tcPr>
            <w:tcW w:w="817" w:type="dxa"/>
            <w:shd w:val="clear" w:color="auto" w:fill="auto"/>
            <w:vAlign w:val="center"/>
          </w:tcPr>
          <w:p w14:paraId="036AEA8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B</w:t>
            </w:r>
          </w:p>
        </w:tc>
        <w:tc>
          <w:tcPr>
            <w:tcW w:w="1229" w:type="dxa"/>
            <w:shd w:val="clear" w:color="auto" w:fill="auto"/>
            <w:vAlign w:val="center"/>
          </w:tcPr>
          <w:p w14:paraId="2FDFBFD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545E741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48AEBAC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r>
      <w:tr w14:paraId="0C809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vAlign w:val="center"/>
          </w:tcPr>
          <w:p w14:paraId="488667D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红尾伯劳</w:t>
            </w:r>
          </w:p>
        </w:tc>
        <w:tc>
          <w:tcPr>
            <w:tcW w:w="2495" w:type="dxa"/>
            <w:vAlign w:val="center"/>
          </w:tcPr>
          <w:p w14:paraId="7821003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cs="Times New Roman"/>
                <w:i/>
                <w:iCs/>
                <w:color w:val="auto"/>
                <w:sz w:val="21"/>
                <w:szCs w:val="21"/>
                <w:lang w:val="en-US" w:eastAsia="zh-CN"/>
              </w:rPr>
              <w:t>Lanius cristatus</w:t>
            </w:r>
          </w:p>
        </w:tc>
        <w:tc>
          <w:tcPr>
            <w:tcW w:w="817" w:type="dxa"/>
            <w:vAlign w:val="center"/>
          </w:tcPr>
          <w:p w14:paraId="572D0C4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B</w:t>
            </w:r>
          </w:p>
        </w:tc>
        <w:tc>
          <w:tcPr>
            <w:tcW w:w="1229" w:type="dxa"/>
            <w:vAlign w:val="center"/>
          </w:tcPr>
          <w:p w14:paraId="57F12F2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230" w:type="dxa"/>
            <w:vAlign w:val="center"/>
          </w:tcPr>
          <w:p w14:paraId="120A3AA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230" w:type="dxa"/>
            <w:vAlign w:val="center"/>
          </w:tcPr>
          <w:p w14:paraId="59E420B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r w14:paraId="188B1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vAlign w:val="center"/>
          </w:tcPr>
          <w:p w14:paraId="5A2371A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喜鹊</w:t>
            </w:r>
          </w:p>
        </w:tc>
        <w:tc>
          <w:tcPr>
            <w:tcW w:w="2495" w:type="dxa"/>
            <w:vAlign w:val="center"/>
          </w:tcPr>
          <w:p w14:paraId="22A6695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cs="Times New Roman"/>
                <w:i/>
                <w:iCs/>
                <w:color w:val="auto"/>
                <w:sz w:val="21"/>
                <w:szCs w:val="21"/>
                <w:lang w:val="en-US" w:eastAsia="zh-CN"/>
              </w:rPr>
              <w:t>Pica pica</w:t>
            </w:r>
          </w:p>
        </w:tc>
        <w:tc>
          <w:tcPr>
            <w:tcW w:w="817" w:type="dxa"/>
            <w:vAlign w:val="center"/>
          </w:tcPr>
          <w:p w14:paraId="67B3E58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R</w:t>
            </w:r>
          </w:p>
        </w:tc>
        <w:tc>
          <w:tcPr>
            <w:tcW w:w="1229" w:type="dxa"/>
            <w:vAlign w:val="center"/>
          </w:tcPr>
          <w:p w14:paraId="33480DE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30" w:type="dxa"/>
            <w:vAlign w:val="center"/>
          </w:tcPr>
          <w:p w14:paraId="59490C1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230" w:type="dxa"/>
            <w:vAlign w:val="center"/>
          </w:tcPr>
          <w:p w14:paraId="55D1251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r w14:paraId="1501F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vAlign w:val="center"/>
          </w:tcPr>
          <w:p w14:paraId="769DA00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黑尾地鸦</w:t>
            </w:r>
          </w:p>
        </w:tc>
        <w:tc>
          <w:tcPr>
            <w:tcW w:w="2495" w:type="dxa"/>
            <w:vAlign w:val="center"/>
          </w:tcPr>
          <w:p w14:paraId="4CB99C3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cs="Times New Roman"/>
                <w:i/>
                <w:iCs/>
                <w:color w:val="auto"/>
                <w:sz w:val="21"/>
                <w:szCs w:val="21"/>
                <w:lang w:val="en-US" w:eastAsia="zh-CN"/>
              </w:rPr>
              <w:t>Podoces hendersoni</w:t>
            </w:r>
          </w:p>
        </w:tc>
        <w:tc>
          <w:tcPr>
            <w:tcW w:w="817" w:type="dxa"/>
            <w:vAlign w:val="center"/>
          </w:tcPr>
          <w:p w14:paraId="263885E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S</w:t>
            </w:r>
          </w:p>
        </w:tc>
        <w:tc>
          <w:tcPr>
            <w:tcW w:w="1229" w:type="dxa"/>
            <w:vAlign w:val="center"/>
          </w:tcPr>
          <w:p w14:paraId="5A6BF29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230" w:type="dxa"/>
            <w:vAlign w:val="center"/>
          </w:tcPr>
          <w:p w14:paraId="1B26AD9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30" w:type="dxa"/>
            <w:vAlign w:val="center"/>
          </w:tcPr>
          <w:p w14:paraId="433CBB2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r>
      <w:tr w14:paraId="18EBF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vAlign w:val="center"/>
          </w:tcPr>
          <w:p w14:paraId="1BCFD16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寒鸦</w:t>
            </w:r>
          </w:p>
        </w:tc>
        <w:tc>
          <w:tcPr>
            <w:tcW w:w="2495" w:type="dxa"/>
            <w:vAlign w:val="center"/>
          </w:tcPr>
          <w:p w14:paraId="629E715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cs="Times New Roman"/>
                <w:i/>
                <w:iCs/>
                <w:color w:val="auto"/>
                <w:sz w:val="21"/>
                <w:szCs w:val="21"/>
                <w:lang w:val="en-US" w:eastAsia="zh-CN"/>
              </w:rPr>
              <w:t>Corvus monsdula</w:t>
            </w:r>
          </w:p>
        </w:tc>
        <w:tc>
          <w:tcPr>
            <w:tcW w:w="817" w:type="dxa"/>
            <w:vAlign w:val="center"/>
          </w:tcPr>
          <w:p w14:paraId="61FA450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w:t>
            </w:r>
          </w:p>
        </w:tc>
        <w:tc>
          <w:tcPr>
            <w:tcW w:w="1229" w:type="dxa"/>
            <w:vAlign w:val="center"/>
          </w:tcPr>
          <w:p w14:paraId="7A6734A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230" w:type="dxa"/>
            <w:vAlign w:val="center"/>
          </w:tcPr>
          <w:p w14:paraId="217B540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230" w:type="dxa"/>
            <w:vAlign w:val="center"/>
          </w:tcPr>
          <w:p w14:paraId="56E59A3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r w14:paraId="2BCBD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vAlign w:val="center"/>
          </w:tcPr>
          <w:p w14:paraId="5E8A616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小嘴乌鸦</w:t>
            </w:r>
          </w:p>
        </w:tc>
        <w:tc>
          <w:tcPr>
            <w:tcW w:w="2495" w:type="dxa"/>
            <w:vAlign w:val="center"/>
          </w:tcPr>
          <w:p w14:paraId="71B6093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cs="Times New Roman"/>
                <w:i/>
                <w:iCs/>
                <w:color w:val="auto"/>
                <w:sz w:val="21"/>
                <w:szCs w:val="21"/>
                <w:lang w:val="en-US" w:eastAsia="zh-CN"/>
              </w:rPr>
              <w:t>Corvua corone</w:t>
            </w:r>
          </w:p>
        </w:tc>
        <w:tc>
          <w:tcPr>
            <w:tcW w:w="817" w:type="dxa"/>
            <w:vAlign w:val="center"/>
          </w:tcPr>
          <w:p w14:paraId="216D6A6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B</w:t>
            </w:r>
          </w:p>
        </w:tc>
        <w:tc>
          <w:tcPr>
            <w:tcW w:w="1229" w:type="dxa"/>
            <w:shd w:val="clear" w:color="auto" w:fill="auto"/>
            <w:vAlign w:val="center"/>
          </w:tcPr>
          <w:p w14:paraId="3ABB1C3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0" w:type="dxa"/>
            <w:shd w:val="clear" w:color="auto" w:fill="auto"/>
            <w:vAlign w:val="center"/>
          </w:tcPr>
          <w:p w14:paraId="74A3B38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w:t>
            </w:r>
          </w:p>
        </w:tc>
        <w:tc>
          <w:tcPr>
            <w:tcW w:w="1230" w:type="dxa"/>
            <w:shd w:val="clear" w:color="auto" w:fill="auto"/>
            <w:vAlign w:val="center"/>
          </w:tcPr>
          <w:p w14:paraId="02E9DEC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w:t>
            </w:r>
          </w:p>
        </w:tc>
      </w:tr>
      <w:tr w14:paraId="6BA95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vAlign w:val="center"/>
          </w:tcPr>
          <w:p w14:paraId="54F961A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树麻雀</w:t>
            </w:r>
          </w:p>
        </w:tc>
        <w:tc>
          <w:tcPr>
            <w:tcW w:w="2495" w:type="dxa"/>
            <w:vAlign w:val="center"/>
          </w:tcPr>
          <w:p w14:paraId="5B698AC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cs="Times New Roman"/>
                <w:i/>
                <w:iCs/>
                <w:color w:val="auto"/>
                <w:sz w:val="21"/>
                <w:szCs w:val="21"/>
                <w:lang w:val="en-US" w:eastAsia="zh-CN"/>
              </w:rPr>
              <w:t>Passer montanus</w:t>
            </w:r>
          </w:p>
        </w:tc>
        <w:tc>
          <w:tcPr>
            <w:tcW w:w="817" w:type="dxa"/>
            <w:vAlign w:val="center"/>
          </w:tcPr>
          <w:p w14:paraId="57A8748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R</w:t>
            </w:r>
          </w:p>
        </w:tc>
        <w:tc>
          <w:tcPr>
            <w:tcW w:w="1229" w:type="dxa"/>
            <w:vAlign w:val="center"/>
          </w:tcPr>
          <w:p w14:paraId="6FE0F90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30" w:type="dxa"/>
            <w:vAlign w:val="center"/>
          </w:tcPr>
          <w:p w14:paraId="1FE9EB8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230" w:type="dxa"/>
            <w:vAlign w:val="center"/>
          </w:tcPr>
          <w:p w14:paraId="3171803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r w14:paraId="1B1A0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vAlign w:val="center"/>
          </w:tcPr>
          <w:p w14:paraId="7C64871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黑顶麻雀</w:t>
            </w:r>
          </w:p>
        </w:tc>
        <w:tc>
          <w:tcPr>
            <w:tcW w:w="2495" w:type="dxa"/>
            <w:vAlign w:val="center"/>
          </w:tcPr>
          <w:p w14:paraId="265AC6E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cs="Times New Roman"/>
                <w:i/>
                <w:iCs/>
                <w:color w:val="auto"/>
                <w:sz w:val="21"/>
                <w:szCs w:val="21"/>
                <w:lang w:val="en-US" w:eastAsia="zh-CN"/>
              </w:rPr>
              <w:t>Passer ammodendri</w:t>
            </w:r>
          </w:p>
        </w:tc>
        <w:tc>
          <w:tcPr>
            <w:tcW w:w="817" w:type="dxa"/>
            <w:vAlign w:val="center"/>
          </w:tcPr>
          <w:p w14:paraId="738455E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R</w:t>
            </w:r>
          </w:p>
        </w:tc>
        <w:tc>
          <w:tcPr>
            <w:tcW w:w="1229" w:type="dxa"/>
            <w:vAlign w:val="center"/>
          </w:tcPr>
          <w:p w14:paraId="7C2E20D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30" w:type="dxa"/>
            <w:vAlign w:val="center"/>
          </w:tcPr>
          <w:p w14:paraId="7DBDDC8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230" w:type="dxa"/>
            <w:vAlign w:val="center"/>
          </w:tcPr>
          <w:p w14:paraId="32E4573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r w14:paraId="6697C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vAlign w:val="center"/>
          </w:tcPr>
          <w:p w14:paraId="3F4AE27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漠雀</w:t>
            </w:r>
          </w:p>
        </w:tc>
        <w:tc>
          <w:tcPr>
            <w:tcW w:w="2495" w:type="dxa"/>
            <w:vAlign w:val="center"/>
          </w:tcPr>
          <w:p w14:paraId="1765189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cs="Times New Roman"/>
                <w:i/>
                <w:iCs/>
                <w:color w:val="auto"/>
                <w:sz w:val="21"/>
                <w:szCs w:val="21"/>
                <w:lang w:val="en-US" w:eastAsia="zh-CN"/>
              </w:rPr>
              <w:t>Rhodopechys githagineus</w:t>
            </w:r>
          </w:p>
        </w:tc>
        <w:tc>
          <w:tcPr>
            <w:tcW w:w="817" w:type="dxa"/>
            <w:vAlign w:val="center"/>
          </w:tcPr>
          <w:p w14:paraId="7F97A46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B</w:t>
            </w:r>
          </w:p>
        </w:tc>
        <w:tc>
          <w:tcPr>
            <w:tcW w:w="1229" w:type="dxa"/>
            <w:vAlign w:val="center"/>
          </w:tcPr>
          <w:p w14:paraId="5C3E342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230" w:type="dxa"/>
            <w:vAlign w:val="center"/>
          </w:tcPr>
          <w:p w14:paraId="0FF54F3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230" w:type="dxa"/>
            <w:vAlign w:val="center"/>
          </w:tcPr>
          <w:p w14:paraId="1BEE6B2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r w14:paraId="4DC77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vAlign w:val="center"/>
          </w:tcPr>
          <w:p w14:paraId="6E1C6AF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哺乳类</w:t>
            </w:r>
          </w:p>
        </w:tc>
        <w:tc>
          <w:tcPr>
            <w:tcW w:w="2495" w:type="dxa"/>
            <w:vAlign w:val="center"/>
          </w:tcPr>
          <w:p w14:paraId="43CF335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w:t>
            </w:r>
            <w:r>
              <w:rPr>
                <w:rFonts w:hint="eastAsia" w:ascii="Times New Roman" w:hAnsi="Times New Roman" w:cs="Times New Roman"/>
                <w:color w:val="auto"/>
                <w:sz w:val="21"/>
                <w:szCs w:val="21"/>
                <w:lang w:val="en-US" w:eastAsia="zh-CN"/>
              </w:rPr>
              <w:t>0</w:t>
            </w:r>
            <w:r>
              <w:rPr>
                <w:rFonts w:hint="default" w:ascii="Times New Roman" w:hAnsi="Times New Roman" w:cs="Times New Roman"/>
                <w:color w:val="auto"/>
                <w:sz w:val="21"/>
                <w:szCs w:val="21"/>
                <w:lang w:val="en-US" w:eastAsia="zh-CN"/>
              </w:rPr>
              <w:t>种</w:t>
            </w:r>
          </w:p>
        </w:tc>
        <w:tc>
          <w:tcPr>
            <w:tcW w:w="817" w:type="dxa"/>
            <w:vAlign w:val="center"/>
          </w:tcPr>
          <w:p w14:paraId="004EA78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29" w:type="dxa"/>
            <w:vAlign w:val="center"/>
          </w:tcPr>
          <w:p w14:paraId="73C5B60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30" w:type="dxa"/>
            <w:vAlign w:val="center"/>
          </w:tcPr>
          <w:p w14:paraId="19B67AD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30" w:type="dxa"/>
            <w:vAlign w:val="center"/>
          </w:tcPr>
          <w:p w14:paraId="69D4B55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r>
      <w:tr w14:paraId="22121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vAlign w:val="center"/>
          </w:tcPr>
          <w:p w14:paraId="731106C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草兔</w:t>
            </w:r>
          </w:p>
        </w:tc>
        <w:tc>
          <w:tcPr>
            <w:tcW w:w="2495" w:type="dxa"/>
            <w:vAlign w:val="center"/>
          </w:tcPr>
          <w:p w14:paraId="204234D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i/>
                <w:iCs/>
                <w:color w:val="auto"/>
                <w:sz w:val="21"/>
                <w:szCs w:val="21"/>
                <w:lang w:val="en-US" w:eastAsia="zh-CN"/>
              </w:rPr>
            </w:pPr>
            <w:r>
              <w:rPr>
                <w:rFonts w:hint="default" w:ascii="Times New Roman" w:hAnsi="Times New Roman" w:cs="Times New Roman"/>
                <w:i/>
                <w:iCs/>
                <w:color w:val="auto"/>
                <w:sz w:val="21"/>
                <w:szCs w:val="21"/>
                <w:lang w:val="en-US" w:eastAsia="zh-CN"/>
              </w:rPr>
              <w:t>Lepus capensis</w:t>
            </w:r>
          </w:p>
        </w:tc>
        <w:tc>
          <w:tcPr>
            <w:tcW w:w="817" w:type="dxa"/>
            <w:vAlign w:val="center"/>
          </w:tcPr>
          <w:p w14:paraId="131212D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229" w:type="dxa"/>
            <w:vAlign w:val="center"/>
          </w:tcPr>
          <w:p w14:paraId="0D3F2A1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30" w:type="dxa"/>
            <w:vAlign w:val="center"/>
          </w:tcPr>
          <w:p w14:paraId="140BD35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30" w:type="dxa"/>
            <w:vAlign w:val="center"/>
          </w:tcPr>
          <w:p w14:paraId="3678EF6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r w14:paraId="3CE25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478509F6">
            <w:pPr>
              <w:pStyle w:val="36"/>
              <w:spacing w:beforeLines="0" w:afterLines="0" w:line="240" w:lineRule="auto"/>
              <w:ind w:firstLine="0" w:firstLineChars="0"/>
              <w:rPr>
                <w:rFonts w:hint="default" w:ascii="Times New Roman" w:hAnsi="Times New Roman" w:eastAsia="Times New Roman" w:cs="Times New Roman"/>
                <w:color w:val="auto"/>
                <w:kern w:val="2"/>
                <w:sz w:val="21"/>
                <w:szCs w:val="21"/>
                <w:highlight w:val="yellow"/>
                <w:lang w:val="en-US" w:eastAsia="zh-CN" w:bidi="ar-SA"/>
              </w:rPr>
            </w:pPr>
            <w:r>
              <w:rPr>
                <w:rFonts w:hint="eastAsia" w:ascii="Times New Roman" w:hAnsi="Times New Roman"/>
                <w:color w:val="auto"/>
                <w:sz w:val="21"/>
                <w:szCs w:val="21"/>
              </w:rPr>
              <w:t>塔里木兔</w:t>
            </w:r>
          </w:p>
        </w:tc>
        <w:tc>
          <w:tcPr>
            <w:tcW w:w="2495" w:type="dxa"/>
            <w:shd w:val="clear" w:color="auto" w:fill="auto"/>
            <w:vAlign w:val="center"/>
          </w:tcPr>
          <w:p w14:paraId="183A0ACC">
            <w:pPr>
              <w:pStyle w:val="36"/>
              <w:spacing w:beforeLines="0" w:afterLines="0" w:line="240" w:lineRule="auto"/>
              <w:ind w:firstLine="0" w:firstLineChars="0"/>
              <w:rPr>
                <w:rFonts w:hint="default" w:ascii="Times New Roman" w:hAnsi="Times New Roman" w:eastAsia="Times New Roman" w:cs="Times New Roman"/>
                <w:i/>
                <w:color w:val="auto"/>
                <w:kern w:val="2"/>
                <w:sz w:val="21"/>
                <w:szCs w:val="21"/>
                <w:lang w:val="en-US" w:eastAsia="zh-CN" w:bidi="ar-SA"/>
              </w:rPr>
            </w:pPr>
            <w:r>
              <w:rPr>
                <w:rFonts w:hint="eastAsia" w:ascii="Times New Roman" w:hAnsi="Times New Roman" w:eastAsia="Times New Roman"/>
                <w:i/>
                <w:color w:val="auto"/>
                <w:sz w:val="21"/>
                <w:szCs w:val="21"/>
              </w:rPr>
              <w:t>Lepus yarkandensis</w:t>
            </w:r>
          </w:p>
        </w:tc>
        <w:tc>
          <w:tcPr>
            <w:tcW w:w="817" w:type="dxa"/>
            <w:shd w:val="clear" w:color="auto" w:fill="auto"/>
            <w:vAlign w:val="center"/>
          </w:tcPr>
          <w:p w14:paraId="5F103C0E">
            <w:pPr>
              <w:pStyle w:val="36"/>
              <w:spacing w:beforeLines="0" w:afterLines="0" w:line="240" w:lineRule="auto"/>
              <w:ind w:firstLine="0" w:firstLineChars="0"/>
              <w:rPr>
                <w:rFonts w:hint="default" w:ascii="Times New Roman" w:hAnsi="Times New Roman" w:eastAsia="Times New Roman" w:cs="Times New Roman"/>
                <w:color w:val="auto"/>
                <w:kern w:val="2"/>
                <w:sz w:val="21"/>
                <w:szCs w:val="21"/>
                <w:lang w:val="en-US" w:eastAsia="zh-CN" w:bidi="ar-SA"/>
              </w:rPr>
            </w:pPr>
            <w:r>
              <w:rPr>
                <w:rFonts w:hint="eastAsia" w:ascii="Times New Roman" w:hAnsi="Times New Roman"/>
                <w:color w:val="auto"/>
                <w:sz w:val="21"/>
                <w:szCs w:val="21"/>
              </w:rPr>
              <w:t>-</w:t>
            </w:r>
          </w:p>
        </w:tc>
        <w:tc>
          <w:tcPr>
            <w:tcW w:w="1229" w:type="dxa"/>
            <w:shd w:val="clear" w:color="auto" w:fill="auto"/>
            <w:vAlign w:val="center"/>
          </w:tcPr>
          <w:p w14:paraId="4D278967">
            <w:pPr>
              <w:pStyle w:val="36"/>
              <w:spacing w:beforeLines="0" w:afterLines="0" w:line="240" w:lineRule="auto"/>
              <w:ind w:firstLine="0" w:firstLineChars="0"/>
              <w:rPr>
                <w:rFonts w:hint="default" w:ascii="Times New Roman" w:hAnsi="Times New Roman" w:eastAsia="Times New Roman" w:cs="Times New Roman"/>
                <w:color w:val="auto"/>
                <w:kern w:val="2"/>
                <w:sz w:val="21"/>
                <w:szCs w:val="21"/>
                <w:lang w:val="en-US" w:eastAsia="zh-CN" w:bidi="ar-SA"/>
              </w:rPr>
            </w:pPr>
          </w:p>
        </w:tc>
        <w:tc>
          <w:tcPr>
            <w:tcW w:w="1230" w:type="dxa"/>
            <w:shd w:val="clear" w:color="auto" w:fill="auto"/>
            <w:vAlign w:val="center"/>
          </w:tcPr>
          <w:p w14:paraId="056236EE">
            <w:pPr>
              <w:pStyle w:val="36"/>
              <w:spacing w:beforeLines="0" w:afterLines="0" w:line="240" w:lineRule="auto"/>
              <w:ind w:firstLine="0" w:firstLineChars="0"/>
              <w:rPr>
                <w:rFonts w:hint="default" w:ascii="Times New Roman" w:hAnsi="Times New Roman" w:eastAsia="Times New Roman" w:cs="Times New Roman"/>
                <w:color w:val="auto"/>
                <w:kern w:val="2"/>
                <w:sz w:val="21"/>
                <w:szCs w:val="21"/>
                <w:lang w:val="en-US" w:eastAsia="zh-CN" w:bidi="ar-SA"/>
              </w:rPr>
            </w:pPr>
            <w:r>
              <w:rPr>
                <w:rFonts w:hint="eastAsia" w:ascii="Times New Roman" w:hAnsi="Times New Roman" w:eastAsia="Times New Roman" w:cs="Times New Roman"/>
                <w:color w:val="auto"/>
                <w:kern w:val="2"/>
                <w:sz w:val="21"/>
                <w:szCs w:val="21"/>
                <w:lang w:val="en-US" w:eastAsia="zh-CN" w:bidi="ar-SA"/>
              </w:rPr>
              <w:t>++</w:t>
            </w:r>
          </w:p>
        </w:tc>
        <w:tc>
          <w:tcPr>
            <w:tcW w:w="1230" w:type="dxa"/>
            <w:shd w:val="clear" w:color="auto" w:fill="auto"/>
            <w:vAlign w:val="center"/>
          </w:tcPr>
          <w:p w14:paraId="294382CA">
            <w:pPr>
              <w:pStyle w:val="36"/>
              <w:spacing w:beforeLines="0" w:afterLines="0" w:line="240" w:lineRule="auto"/>
              <w:ind w:firstLine="0" w:firstLineChars="0"/>
              <w:rPr>
                <w:rFonts w:hint="default" w:ascii="Times New Roman" w:hAnsi="Times New Roman" w:eastAsia="Times New Roman" w:cs="Times New Roman"/>
                <w:color w:val="auto"/>
                <w:kern w:val="2"/>
                <w:sz w:val="21"/>
                <w:szCs w:val="21"/>
                <w:lang w:val="en-US" w:eastAsia="zh-CN" w:bidi="ar-SA"/>
              </w:rPr>
            </w:pPr>
            <w:r>
              <w:rPr>
                <w:rFonts w:hint="eastAsia" w:ascii="Times New Roman" w:hAnsi="Times New Roman"/>
                <w:color w:val="auto"/>
                <w:sz w:val="21"/>
                <w:szCs w:val="21"/>
              </w:rPr>
              <w:t>+</w:t>
            </w:r>
          </w:p>
        </w:tc>
      </w:tr>
      <w:tr w14:paraId="62518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vAlign w:val="center"/>
          </w:tcPr>
          <w:p w14:paraId="7DDCD94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三趾跳鼠</w:t>
            </w:r>
          </w:p>
        </w:tc>
        <w:tc>
          <w:tcPr>
            <w:tcW w:w="2495" w:type="dxa"/>
            <w:vAlign w:val="center"/>
          </w:tcPr>
          <w:p w14:paraId="4EA9FE4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i/>
                <w:iCs/>
                <w:color w:val="auto"/>
                <w:sz w:val="21"/>
                <w:szCs w:val="21"/>
                <w:lang w:val="en-US" w:eastAsia="zh-CN"/>
              </w:rPr>
            </w:pPr>
            <w:r>
              <w:rPr>
                <w:rFonts w:hint="default" w:ascii="Times New Roman" w:hAnsi="Times New Roman" w:cs="Times New Roman"/>
                <w:i/>
                <w:iCs/>
                <w:color w:val="auto"/>
                <w:sz w:val="21"/>
                <w:szCs w:val="21"/>
                <w:lang w:val="en-US" w:eastAsia="zh-CN"/>
              </w:rPr>
              <w:t>Dipus sagitta</w:t>
            </w:r>
          </w:p>
        </w:tc>
        <w:tc>
          <w:tcPr>
            <w:tcW w:w="817" w:type="dxa"/>
            <w:vAlign w:val="center"/>
          </w:tcPr>
          <w:p w14:paraId="229E19C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229" w:type="dxa"/>
            <w:vAlign w:val="center"/>
          </w:tcPr>
          <w:p w14:paraId="57D8520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230" w:type="dxa"/>
            <w:vAlign w:val="center"/>
          </w:tcPr>
          <w:p w14:paraId="7B22FA7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230" w:type="dxa"/>
            <w:vAlign w:val="center"/>
          </w:tcPr>
          <w:p w14:paraId="55C4119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r w14:paraId="70D19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vAlign w:val="center"/>
          </w:tcPr>
          <w:p w14:paraId="7463B89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长耳跳鼠</w:t>
            </w:r>
          </w:p>
        </w:tc>
        <w:tc>
          <w:tcPr>
            <w:tcW w:w="2495" w:type="dxa"/>
            <w:vAlign w:val="center"/>
          </w:tcPr>
          <w:p w14:paraId="778EB5F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i/>
                <w:iCs/>
                <w:color w:val="auto"/>
                <w:sz w:val="21"/>
                <w:szCs w:val="21"/>
                <w:lang w:val="en-US" w:eastAsia="zh-CN"/>
              </w:rPr>
            </w:pPr>
            <w:r>
              <w:rPr>
                <w:rFonts w:hint="default" w:ascii="Times New Roman" w:hAnsi="Times New Roman" w:cs="Times New Roman"/>
                <w:i/>
                <w:iCs/>
                <w:color w:val="auto"/>
                <w:sz w:val="21"/>
                <w:szCs w:val="21"/>
                <w:lang w:val="en-US" w:eastAsia="zh-CN"/>
              </w:rPr>
              <w:t>Euchoreutes naso</w:t>
            </w:r>
          </w:p>
        </w:tc>
        <w:tc>
          <w:tcPr>
            <w:tcW w:w="817" w:type="dxa"/>
            <w:vAlign w:val="center"/>
          </w:tcPr>
          <w:p w14:paraId="5798F64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229" w:type="dxa"/>
            <w:vAlign w:val="center"/>
          </w:tcPr>
          <w:p w14:paraId="7CE8D7E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230" w:type="dxa"/>
            <w:vAlign w:val="center"/>
          </w:tcPr>
          <w:p w14:paraId="2D7113B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30" w:type="dxa"/>
            <w:vAlign w:val="center"/>
          </w:tcPr>
          <w:p w14:paraId="78B2D02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r>
      <w:tr w14:paraId="0F9BD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vAlign w:val="center"/>
          </w:tcPr>
          <w:p w14:paraId="79D2820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小家鼠</w:t>
            </w:r>
          </w:p>
        </w:tc>
        <w:tc>
          <w:tcPr>
            <w:tcW w:w="2495" w:type="dxa"/>
            <w:vAlign w:val="center"/>
          </w:tcPr>
          <w:p w14:paraId="11F2804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i/>
                <w:iCs/>
                <w:color w:val="auto"/>
                <w:sz w:val="21"/>
                <w:szCs w:val="21"/>
                <w:lang w:val="en-US" w:eastAsia="zh-CN"/>
              </w:rPr>
            </w:pPr>
            <w:r>
              <w:rPr>
                <w:rFonts w:hint="default" w:ascii="Times New Roman" w:hAnsi="Times New Roman" w:cs="Times New Roman"/>
                <w:i/>
                <w:iCs/>
                <w:color w:val="auto"/>
                <w:sz w:val="21"/>
                <w:szCs w:val="21"/>
                <w:lang w:val="en-US" w:eastAsia="zh-CN"/>
              </w:rPr>
              <w:t>Mus musculus</w:t>
            </w:r>
          </w:p>
        </w:tc>
        <w:tc>
          <w:tcPr>
            <w:tcW w:w="817" w:type="dxa"/>
            <w:vAlign w:val="center"/>
          </w:tcPr>
          <w:p w14:paraId="57A41F2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229" w:type="dxa"/>
            <w:vAlign w:val="center"/>
          </w:tcPr>
          <w:p w14:paraId="7076ED4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30" w:type="dxa"/>
            <w:vAlign w:val="center"/>
          </w:tcPr>
          <w:p w14:paraId="43B2911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230" w:type="dxa"/>
            <w:vAlign w:val="center"/>
          </w:tcPr>
          <w:p w14:paraId="77FFDB4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r>
      <w:tr w14:paraId="7CC1D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vAlign w:val="center"/>
          </w:tcPr>
          <w:p w14:paraId="271D303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褐家鼠</w:t>
            </w:r>
          </w:p>
        </w:tc>
        <w:tc>
          <w:tcPr>
            <w:tcW w:w="2495" w:type="dxa"/>
            <w:vAlign w:val="center"/>
          </w:tcPr>
          <w:p w14:paraId="17DBC8E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i/>
                <w:iCs/>
                <w:color w:val="auto"/>
                <w:sz w:val="21"/>
                <w:szCs w:val="21"/>
                <w:lang w:val="en-US" w:eastAsia="zh-CN"/>
              </w:rPr>
            </w:pPr>
            <w:r>
              <w:rPr>
                <w:rFonts w:hint="default" w:ascii="Times New Roman" w:hAnsi="Times New Roman" w:cs="Times New Roman"/>
                <w:i/>
                <w:iCs/>
                <w:color w:val="auto"/>
                <w:sz w:val="21"/>
                <w:szCs w:val="21"/>
                <w:lang w:val="en-US" w:eastAsia="zh-CN"/>
              </w:rPr>
              <w:t>Rattus noevegicus</w:t>
            </w:r>
          </w:p>
        </w:tc>
        <w:tc>
          <w:tcPr>
            <w:tcW w:w="817" w:type="dxa"/>
            <w:shd w:val="clear" w:color="auto" w:fill="auto"/>
            <w:vAlign w:val="center"/>
          </w:tcPr>
          <w:p w14:paraId="37749AC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w:t>
            </w:r>
          </w:p>
        </w:tc>
        <w:tc>
          <w:tcPr>
            <w:tcW w:w="1229" w:type="dxa"/>
            <w:vAlign w:val="center"/>
          </w:tcPr>
          <w:p w14:paraId="1037D88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30" w:type="dxa"/>
            <w:vAlign w:val="center"/>
          </w:tcPr>
          <w:p w14:paraId="2E868CD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230" w:type="dxa"/>
            <w:vAlign w:val="center"/>
          </w:tcPr>
          <w:p w14:paraId="2FF80ED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r>
      <w:tr w14:paraId="39285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vAlign w:val="center"/>
          </w:tcPr>
          <w:p w14:paraId="38500C1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灰仓鼠</w:t>
            </w:r>
          </w:p>
        </w:tc>
        <w:tc>
          <w:tcPr>
            <w:tcW w:w="2495" w:type="dxa"/>
            <w:vAlign w:val="center"/>
          </w:tcPr>
          <w:p w14:paraId="6B759AE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i/>
                <w:iCs/>
                <w:color w:val="auto"/>
                <w:sz w:val="21"/>
                <w:szCs w:val="21"/>
                <w:lang w:val="en-US" w:eastAsia="zh-CN"/>
              </w:rPr>
            </w:pPr>
            <w:r>
              <w:rPr>
                <w:rFonts w:hint="default" w:ascii="Times New Roman" w:hAnsi="Times New Roman" w:cs="Times New Roman"/>
                <w:i/>
                <w:iCs/>
                <w:color w:val="auto"/>
                <w:sz w:val="21"/>
                <w:szCs w:val="21"/>
                <w:lang w:val="en-US" w:eastAsia="zh-CN"/>
              </w:rPr>
              <w:t>Cricetulus migratorius</w:t>
            </w:r>
          </w:p>
        </w:tc>
        <w:tc>
          <w:tcPr>
            <w:tcW w:w="817" w:type="dxa"/>
            <w:shd w:val="clear" w:color="auto" w:fill="auto"/>
            <w:vAlign w:val="center"/>
          </w:tcPr>
          <w:p w14:paraId="304AEBA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w:t>
            </w:r>
          </w:p>
        </w:tc>
        <w:tc>
          <w:tcPr>
            <w:tcW w:w="1229" w:type="dxa"/>
            <w:vAlign w:val="center"/>
          </w:tcPr>
          <w:p w14:paraId="61AFF2B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30" w:type="dxa"/>
            <w:vAlign w:val="center"/>
          </w:tcPr>
          <w:p w14:paraId="27E744D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230" w:type="dxa"/>
            <w:vAlign w:val="center"/>
          </w:tcPr>
          <w:p w14:paraId="74C33DF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r>
      <w:tr w14:paraId="63AA1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vAlign w:val="center"/>
          </w:tcPr>
          <w:p w14:paraId="540447C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子午沙鼠</w:t>
            </w:r>
          </w:p>
        </w:tc>
        <w:tc>
          <w:tcPr>
            <w:tcW w:w="2495" w:type="dxa"/>
            <w:vAlign w:val="center"/>
          </w:tcPr>
          <w:p w14:paraId="1335CF7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i/>
                <w:iCs/>
                <w:color w:val="auto"/>
                <w:sz w:val="21"/>
                <w:szCs w:val="21"/>
                <w:lang w:val="en-US" w:eastAsia="zh-CN"/>
              </w:rPr>
            </w:pPr>
            <w:r>
              <w:rPr>
                <w:rFonts w:hint="default" w:ascii="Times New Roman" w:hAnsi="Times New Roman" w:cs="Times New Roman"/>
                <w:i/>
                <w:iCs/>
                <w:color w:val="auto"/>
                <w:sz w:val="21"/>
                <w:szCs w:val="21"/>
                <w:lang w:val="en-US" w:eastAsia="zh-CN"/>
              </w:rPr>
              <w:t>Meriones meridianus</w:t>
            </w:r>
          </w:p>
        </w:tc>
        <w:tc>
          <w:tcPr>
            <w:tcW w:w="817" w:type="dxa"/>
            <w:shd w:val="clear" w:color="auto" w:fill="auto"/>
            <w:vAlign w:val="center"/>
          </w:tcPr>
          <w:p w14:paraId="106DA85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w:t>
            </w:r>
          </w:p>
        </w:tc>
        <w:tc>
          <w:tcPr>
            <w:tcW w:w="1229" w:type="dxa"/>
            <w:vAlign w:val="center"/>
          </w:tcPr>
          <w:p w14:paraId="0261F95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230" w:type="dxa"/>
            <w:vAlign w:val="center"/>
          </w:tcPr>
          <w:p w14:paraId="35FF637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30" w:type="dxa"/>
            <w:vAlign w:val="center"/>
          </w:tcPr>
          <w:p w14:paraId="183457A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r>
      <w:tr w14:paraId="1C1F5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vAlign w:val="center"/>
          </w:tcPr>
          <w:p w14:paraId="0627F89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狼</w:t>
            </w:r>
          </w:p>
        </w:tc>
        <w:tc>
          <w:tcPr>
            <w:tcW w:w="2495" w:type="dxa"/>
            <w:vAlign w:val="center"/>
          </w:tcPr>
          <w:p w14:paraId="7EEFA9F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i/>
                <w:iCs/>
                <w:color w:val="auto"/>
                <w:sz w:val="21"/>
                <w:szCs w:val="21"/>
                <w:lang w:val="en-US" w:eastAsia="zh-CN"/>
              </w:rPr>
            </w:pPr>
            <w:r>
              <w:rPr>
                <w:rFonts w:hint="default" w:ascii="Times New Roman" w:hAnsi="Times New Roman" w:cs="Times New Roman"/>
                <w:i/>
                <w:iCs/>
                <w:color w:val="auto"/>
                <w:sz w:val="21"/>
                <w:szCs w:val="21"/>
                <w:lang w:val="en-US" w:eastAsia="zh-CN"/>
              </w:rPr>
              <w:t>Canis lupus</w:t>
            </w:r>
          </w:p>
        </w:tc>
        <w:tc>
          <w:tcPr>
            <w:tcW w:w="817" w:type="dxa"/>
            <w:shd w:val="clear" w:color="auto" w:fill="auto"/>
            <w:vAlign w:val="center"/>
          </w:tcPr>
          <w:p w14:paraId="57E4A58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w:t>
            </w:r>
          </w:p>
        </w:tc>
        <w:tc>
          <w:tcPr>
            <w:tcW w:w="1229" w:type="dxa"/>
            <w:vAlign w:val="center"/>
          </w:tcPr>
          <w:p w14:paraId="578EE5D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230" w:type="dxa"/>
            <w:vAlign w:val="center"/>
          </w:tcPr>
          <w:p w14:paraId="6DD16F0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30" w:type="dxa"/>
            <w:vAlign w:val="center"/>
          </w:tcPr>
          <w:p w14:paraId="2A91A36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14:paraId="5567E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vAlign w:val="center"/>
          </w:tcPr>
          <w:p w14:paraId="566F519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鹅喉羚</w:t>
            </w:r>
          </w:p>
        </w:tc>
        <w:tc>
          <w:tcPr>
            <w:tcW w:w="2495" w:type="dxa"/>
            <w:vAlign w:val="center"/>
          </w:tcPr>
          <w:p w14:paraId="60D9C3B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i/>
                <w:iCs/>
                <w:color w:val="auto"/>
                <w:sz w:val="21"/>
                <w:szCs w:val="21"/>
                <w:lang w:val="en-US" w:eastAsia="zh-CN"/>
              </w:rPr>
            </w:pPr>
            <w:r>
              <w:rPr>
                <w:rFonts w:hint="default" w:ascii="Times New Roman" w:hAnsi="Times New Roman" w:cs="Times New Roman"/>
                <w:i/>
                <w:iCs/>
                <w:color w:val="auto"/>
                <w:sz w:val="21"/>
                <w:szCs w:val="21"/>
                <w:lang w:val="en-US" w:eastAsia="zh-CN"/>
              </w:rPr>
              <w:t>Gazalla subgutturosa</w:t>
            </w:r>
          </w:p>
        </w:tc>
        <w:tc>
          <w:tcPr>
            <w:tcW w:w="817" w:type="dxa"/>
            <w:vAlign w:val="center"/>
          </w:tcPr>
          <w:p w14:paraId="4228553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229" w:type="dxa"/>
            <w:vAlign w:val="center"/>
          </w:tcPr>
          <w:p w14:paraId="463A5A3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230" w:type="dxa"/>
            <w:vAlign w:val="center"/>
          </w:tcPr>
          <w:p w14:paraId="6880EB7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1230" w:type="dxa"/>
            <w:vAlign w:val="center"/>
          </w:tcPr>
          <w:p w14:paraId="038D282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bl>
    <w:p w14:paraId="4DA6440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注：（1）R——留鸟      B——繁殖鸟      W——冬候鸟    S——夏候鸟</w:t>
      </w:r>
    </w:p>
    <w:p w14:paraId="247427D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1"/>
          <w:szCs w:val="21"/>
          <w:lang w:val="en-US" w:eastAsia="zh-CN" w:bidi="ar"/>
        </w:rPr>
        <w:t>（2）</w:t>
      </w:r>
      <w:r>
        <w:rPr>
          <w:rFonts w:hint="default" w:ascii="Times New Roman" w:hAnsi="Times New Roman" w:eastAsia="宋体" w:cs="Times New Roman"/>
          <w:color w:val="auto"/>
          <w:sz w:val="21"/>
          <w:szCs w:val="21"/>
          <w:lang w:val="en-US" w:eastAsia="zh-CN"/>
        </w:rPr>
        <w:t>±：偶见种类    +：常见种     ++：多见种</w:t>
      </w:r>
    </w:p>
    <w:p w14:paraId="5749F3A3">
      <w:pPr>
        <w:keepNext w:val="0"/>
        <w:keepLines w:val="0"/>
        <w:pageBreakBefore w:val="0"/>
        <w:widowControl/>
        <w:suppressLineNumbers w:val="0"/>
        <w:kinsoku/>
        <w:wordWrap/>
        <w:overflowPunct/>
        <w:topLinePunct w:val="0"/>
        <w:autoSpaceDE/>
        <w:autoSpaceDN/>
        <w:bidi w:val="0"/>
        <w:adjustRightInd w:val="0"/>
        <w:snapToGrid w:val="0"/>
        <w:spacing w:before="168" w:beforeLines="5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根据《国家重点保护野生动物名录》（</w:t>
      </w:r>
      <w:r>
        <w:rPr>
          <w:rFonts w:hint="default" w:ascii="Times New Roman" w:hAnsi="Times New Roman" w:cs="Times New Roman"/>
          <w:color w:val="auto"/>
          <w:kern w:val="0"/>
          <w:sz w:val="24"/>
          <w:szCs w:val="24"/>
          <w:lang w:val="en-US" w:eastAsia="zh-CN" w:bidi="ar"/>
        </w:rPr>
        <w:t>国家林业和草原局</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cs="Times New Roman"/>
          <w:color w:val="auto"/>
          <w:kern w:val="0"/>
          <w:sz w:val="24"/>
          <w:szCs w:val="24"/>
          <w:lang w:val="en-US" w:eastAsia="zh-CN" w:bidi="ar"/>
        </w:rPr>
        <w:t>农业农村部</w:t>
      </w:r>
      <w:r>
        <w:rPr>
          <w:rFonts w:hint="default" w:ascii="Times New Roman" w:hAnsi="Times New Roman" w:eastAsia="宋体" w:cs="Times New Roman"/>
          <w:color w:val="auto"/>
          <w:kern w:val="0"/>
          <w:sz w:val="24"/>
          <w:szCs w:val="24"/>
          <w:lang w:val="en-US" w:eastAsia="zh-CN" w:bidi="ar"/>
        </w:rPr>
        <w:t>2021年第3号）、《新疆国家重点保护野生动物目录</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新疆维吾尔自治区重点保护野生动物目录（修订）》（新政发</w:t>
      </w:r>
      <w:r>
        <w:rPr>
          <w:rFonts w:hint="default" w:ascii="Times New Roman" w:hAnsi="Times New Roman" w:cs="Times New Roman"/>
          <w:color w:val="auto"/>
          <w:kern w:val="0"/>
          <w:sz w:val="24"/>
          <w:szCs w:val="24"/>
          <w:lang w:val="en-US" w:eastAsia="zh-CN" w:bidi="ar"/>
        </w:rPr>
        <w:t>〔2022〕75号</w:t>
      </w:r>
      <w:r>
        <w:rPr>
          <w:rFonts w:hint="default" w:ascii="Times New Roman" w:hAnsi="Times New Roman" w:eastAsia="宋体" w:cs="Times New Roman"/>
          <w:color w:val="auto"/>
          <w:kern w:val="0"/>
          <w:sz w:val="24"/>
          <w:szCs w:val="24"/>
          <w:lang w:val="en-US" w:eastAsia="zh-CN" w:bidi="ar"/>
        </w:rPr>
        <w:t>），经过咨询当地林业局野生动物保护科以及生态环境局等单位，该区域共有重点保护动物</w:t>
      </w:r>
      <w:r>
        <w:rPr>
          <w:rFonts w:hint="eastAsia" w:cs="Times New Roman"/>
          <w:color w:val="auto"/>
          <w:kern w:val="0"/>
          <w:sz w:val="24"/>
          <w:szCs w:val="24"/>
          <w:lang w:val="en-US" w:eastAsia="zh-CN" w:bidi="ar"/>
        </w:rPr>
        <w:t>7</w:t>
      </w:r>
      <w:r>
        <w:rPr>
          <w:rFonts w:hint="default" w:ascii="Times New Roman" w:hAnsi="Times New Roman" w:eastAsia="宋体" w:cs="Times New Roman"/>
          <w:color w:val="auto"/>
          <w:kern w:val="0"/>
          <w:sz w:val="24"/>
          <w:szCs w:val="24"/>
          <w:lang w:val="en-US" w:eastAsia="zh-CN" w:bidi="ar"/>
        </w:rPr>
        <w:t>种，均为国家Ⅱ级保护动物，具体详见下表。</w:t>
      </w:r>
    </w:p>
    <w:p w14:paraId="7E4597C7">
      <w:pPr>
        <w:pStyle w:val="39"/>
        <w:bidi w:val="0"/>
        <w:rPr>
          <w:rFonts w:hint="default" w:ascii="Times New Roman" w:hAnsi="Times New Roman" w:eastAsia="宋体" w:cs="Times New Roman"/>
          <w:color w:val="auto"/>
          <w:kern w:val="0"/>
          <w:szCs w:val="24"/>
          <w:lang w:val="en-US" w:eastAsia="zh-CN" w:bidi="ar"/>
        </w:rPr>
      </w:pPr>
      <w:r>
        <w:rPr>
          <w:rFonts w:hint="default" w:ascii="Times New Roman" w:hAnsi="Times New Roman" w:cs="Times New Roman"/>
          <w:color w:val="auto"/>
          <w:lang w:val="en-US" w:eastAsia="zh-CN"/>
        </w:rPr>
        <w:t>表4.2-4  区域重点保护动物</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0"/>
        <w:gridCol w:w="1630"/>
        <w:gridCol w:w="803"/>
        <w:gridCol w:w="767"/>
        <w:gridCol w:w="791"/>
        <w:gridCol w:w="2684"/>
        <w:gridCol w:w="683"/>
        <w:gridCol w:w="664"/>
      </w:tblGrid>
      <w:tr w14:paraId="4EBCC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0" w:type="dxa"/>
            <w:shd w:val="clear" w:color="auto" w:fill="auto"/>
            <w:vAlign w:val="center"/>
          </w:tcPr>
          <w:p w14:paraId="28D66BC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序号</w:t>
            </w:r>
          </w:p>
        </w:tc>
        <w:tc>
          <w:tcPr>
            <w:tcW w:w="1630" w:type="dxa"/>
            <w:shd w:val="clear" w:color="auto" w:fill="auto"/>
            <w:vAlign w:val="center"/>
          </w:tcPr>
          <w:p w14:paraId="3E015C3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物种名称</w:t>
            </w:r>
          </w:p>
        </w:tc>
        <w:tc>
          <w:tcPr>
            <w:tcW w:w="803" w:type="dxa"/>
            <w:shd w:val="clear" w:color="auto" w:fill="auto"/>
            <w:vAlign w:val="center"/>
          </w:tcPr>
          <w:p w14:paraId="0202D7B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保护级别</w:t>
            </w:r>
          </w:p>
        </w:tc>
        <w:tc>
          <w:tcPr>
            <w:tcW w:w="767" w:type="dxa"/>
            <w:shd w:val="clear" w:color="auto" w:fill="auto"/>
            <w:vAlign w:val="center"/>
          </w:tcPr>
          <w:p w14:paraId="12F0DCE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濒危等级</w:t>
            </w:r>
          </w:p>
        </w:tc>
        <w:tc>
          <w:tcPr>
            <w:tcW w:w="791" w:type="dxa"/>
            <w:shd w:val="clear" w:color="auto" w:fill="auto"/>
            <w:vAlign w:val="center"/>
          </w:tcPr>
          <w:p w14:paraId="6ECFA90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特有种（是/否）</w:t>
            </w:r>
          </w:p>
        </w:tc>
        <w:tc>
          <w:tcPr>
            <w:tcW w:w="2684" w:type="dxa"/>
            <w:shd w:val="clear" w:color="auto" w:fill="auto"/>
            <w:vAlign w:val="center"/>
          </w:tcPr>
          <w:p w14:paraId="7DDBEC3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分布区域</w:t>
            </w:r>
          </w:p>
        </w:tc>
        <w:tc>
          <w:tcPr>
            <w:tcW w:w="683" w:type="dxa"/>
            <w:shd w:val="clear" w:color="auto" w:fill="auto"/>
            <w:vAlign w:val="center"/>
          </w:tcPr>
          <w:p w14:paraId="3EF2208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资料来源</w:t>
            </w:r>
          </w:p>
        </w:tc>
        <w:tc>
          <w:tcPr>
            <w:tcW w:w="664" w:type="dxa"/>
            <w:shd w:val="clear" w:color="auto" w:fill="auto"/>
            <w:vAlign w:val="center"/>
          </w:tcPr>
          <w:p w14:paraId="3FC0096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工程是否占用</w:t>
            </w:r>
          </w:p>
        </w:tc>
      </w:tr>
      <w:tr w14:paraId="3FC3E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0" w:type="dxa"/>
            <w:vAlign w:val="center"/>
          </w:tcPr>
          <w:p w14:paraId="7576C31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1630" w:type="dxa"/>
            <w:vAlign w:val="center"/>
          </w:tcPr>
          <w:p w14:paraId="6389999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鹅喉羚（</w:t>
            </w:r>
            <w:r>
              <w:rPr>
                <w:rFonts w:hint="default" w:ascii="Times New Roman" w:hAnsi="Times New Roman" w:eastAsia="宋体" w:cs="Times New Roman"/>
                <w:i/>
                <w:iCs/>
                <w:color w:val="auto"/>
                <w:sz w:val="21"/>
                <w:szCs w:val="21"/>
                <w:lang w:val="en-US" w:eastAsia="zh-CN"/>
              </w:rPr>
              <w:t>Gazalla subgutturosa</w:t>
            </w:r>
            <w:r>
              <w:rPr>
                <w:rFonts w:hint="default" w:ascii="Times New Roman" w:hAnsi="Times New Roman" w:eastAsia="宋体" w:cs="Times New Roman"/>
                <w:color w:val="auto"/>
                <w:sz w:val="21"/>
                <w:szCs w:val="21"/>
                <w:lang w:val="en-US" w:eastAsia="zh-CN"/>
              </w:rPr>
              <w:t>）</w:t>
            </w:r>
          </w:p>
        </w:tc>
        <w:tc>
          <w:tcPr>
            <w:tcW w:w="803" w:type="dxa"/>
            <w:vMerge w:val="restart"/>
            <w:vAlign w:val="center"/>
          </w:tcPr>
          <w:p w14:paraId="6FAA0D1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国家Ⅱ级</w:t>
            </w:r>
          </w:p>
        </w:tc>
        <w:tc>
          <w:tcPr>
            <w:tcW w:w="767" w:type="dxa"/>
            <w:vAlign w:val="center"/>
          </w:tcPr>
          <w:p w14:paraId="5C3842A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LC</w:t>
            </w:r>
          </w:p>
        </w:tc>
        <w:tc>
          <w:tcPr>
            <w:tcW w:w="791" w:type="dxa"/>
            <w:shd w:val="clear" w:color="auto" w:fill="auto"/>
            <w:vAlign w:val="center"/>
          </w:tcPr>
          <w:p w14:paraId="6919E3E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否</w:t>
            </w:r>
          </w:p>
        </w:tc>
        <w:tc>
          <w:tcPr>
            <w:tcW w:w="2684" w:type="dxa"/>
            <w:vAlign w:val="center"/>
          </w:tcPr>
          <w:p w14:paraId="360ECAA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栖息在海拔300m-6000m之间的干燥荒凉的荒漠地区，</w:t>
            </w:r>
            <w:r>
              <w:rPr>
                <w:rFonts w:hint="default" w:ascii="Times New Roman" w:hAnsi="Times New Roman" w:cs="Times New Roman"/>
                <w:color w:val="auto"/>
                <w:sz w:val="21"/>
                <w:szCs w:val="21"/>
                <w:lang w:val="en-US" w:eastAsia="zh-CN"/>
              </w:rPr>
              <w:t>耐旱性</w:t>
            </w:r>
            <w:r>
              <w:rPr>
                <w:rFonts w:hint="default" w:ascii="Times New Roman" w:hAnsi="Times New Roman" w:eastAsia="宋体" w:cs="Times New Roman"/>
                <w:color w:val="auto"/>
                <w:sz w:val="21"/>
                <w:szCs w:val="21"/>
                <w:lang w:val="en-US" w:eastAsia="zh-CN"/>
              </w:rPr>
              <w:t>强，以冰草、野葱、针茅等草类为食。</w:t>
            </w:r>
          </w:p>
        </w:tc>
        <w:tc>
          <w:tcPr>
            <w:tcW w:w="683" w:type="dxa"/>
            <w:vMerge w:val="restart"/>
            <w:vAlign w:val="center"/>
          </w:tcPr>
          <w:p w14:paraId="09A770B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资料收集和现场调查</w:t>
            </w:r>
          </w:p>
        </w:tc>
        <w:tc>
          <w:tcPr>
            <w:tcW w:w="664" w:type="dxa"/>
            <w:shd w:val="clear" w:color="auto" w:fill="auto"/>
            <w:vAlign w:val="center"/>
          </w:tcPr>
          <w:p w14:paraId="78ABBBB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否</w:t>
            </w:r>
          </w:p>
        </w:tc>
      </w:tr>
      <w:tr w14:paraId="36A8F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0" w:type="dxa"/>
            <w:vAlign w:val="center"/>
          </w:tcPr>
          <w:p w14:paraId="28A5379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1630" w:type="dxa"/>
            <w:vAlign w:val="center"/>
          </w:tcPr>
          <w:p w14:paraId="77369E8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鸢（</w:t>
            </w:r>
            <w:r>
              <w:rPr>
                <w:rFonts w:hint="default" w:ascii="Times New Roman" w:hAnsi="Times New Roman" w:eastAsia="宋体" w:cs="Times New Roman"/>
                <w:i/>
                <w:iCs/>
                <w:color w:val="auto"/>
                <w:sz w:val="21"/>
                <w:szCs w:val="21"/>
                <w:lang w:val="en-US" w:eastAsia="zh-CN"/>
              </w:rPr>
              <w:t>Milvus korschun</w:t>
            </w:r>
            <w:r>
              <w:rPr>
                <w:rFonts w:hint="default" w:ascii="Times New Roman" w:hAnsi="Times New Roman" w:eastAsia="宋体" w:cs="Times New Roman"/>
                <w:color w:val="auto"/>
                <w:sz w:val="21"/>
                <w:szCs w:val="21"/>
                <w:lang w:val="en-US" w:eastAsia="zh-CN"/>
              </w:rPr>
              <w:t>）</w:t>
            </w:r>
          </w:p>
        </w:tc>
        <w:tc>
          <w:tcPr>
            <w:tcW w:w="803" w:type="dxa"/>
            <w:vMerge w:val="continue"/>
            <w:vAlign w:val="center"/>
          </w:tcPr>
          <w:p w14:paraId="58F2ADA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767" w:type="dxa"/>
            <w:vAlign w:val="center"/>
          </w:tcPr>
          <w:p w14:paraId="01ACD65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LC</w:t>
            </w:r>
          </w:p>
        </w:tc>
        <w:tc>
          <w:tcPr>
            <w:tcW w:w="791" w:type="dxa"/>
            <w:shd w:val="clear" w:color="auto" w:fill="auto"/>
            <w:vAlign w:val="center"/>
          </w:tcPr>
          <w:p w14:paraId="71307D6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否</w:t>
            </w:r>
          </w:p>
        </w:tc>
        <w:tc>
          <w:tcPr>
            <w:tcW w:w="2684" w:type="dxa"/>
            <w:vAlign w:val="center"/>
          </w:tcPr>
          <w:p w14:paraId="720DE7D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多见于山区林地、城郊及居民点附近。</w:t>
            </w:r>
          </w:p>
        </w:tc>
        <w:tc>
          <w:tcPr>
            <w:tcW w:w="683" w:type="dxa"/>
            <w:vMerge w:val="continue"/>
            <w:vAlign w:val="center"/>
          </w:tcPr>
          <w:p w14:paraId="2AAC636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664" w:type="dxa"/>
            <w:shd w:val="clear" w:color="auto" w:fill="auto"/>
            <w:vAlign w:val="center"/>
          </w:tcPr>
          <w:p w14:paraId="274F2D8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否</w:t>
            </w:r>
          </w:p>
        </w:tc>
      </w:tr>
      <w:tr w14:paraId="04690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0" w:type="dxa"/>
            <w:vAlign w:val="center"/>
          </w:tcPr>
          <w:p w14:paraId="32AA8AE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1630" w:type="dxa"/>
            <w:vAlign w:val="center"/>
          </w:tcPr>
          <w:p w14:paraId="7F2E4A4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苍鹰（</w:t>
            </w:r>
            <w:r>
              <w:rPr>
                <w:rFonts w:hint="default" w:ascii="Times New Roman" w:hAnsi="Times New Roman" w:eastAsia="宋体" w:cs="Times New Roman"/>
                <w:i/>
                <w:iCs/>
                <w:color w:val="auto"/>
                <w:sz w:val="21"/>
                <w:szCs w:val="21"/>
                <w:lang w:val="en-US" w:eastAsia="zh-CN"/>
              </w:rPr>
              <w:t>Accipiter gentiles</w:t>
            </w:r>
            <w:r>
              <w:rPr>
                <w:rFonts w:hint="default" w:ascii="Times New Roman" w:hAnsi="Times New Roman" w:eastAsia="宋体" w:cs="Times New Roman"/>
                <w:color w:val="auto"/>
                <w:sz w:val="21"/>
                <w:szCs w:val="21"/>
                <w:lang w:val="en-US" w:eastAsia="zh-CN"/>
              </w:rPr>
              <w:t>）</w:t>
            </w:r>
          </w:p>
        </w:tc>
        <w:tc>
          <w:tcPr>
            <w:tcW w:w="803" w:type="dxa"/>
            <w:vMerge w:val="continue"/>
            <w:vAlign w:val="center"/>
          </w:tcPr>
          <w:p w14:paraId="24618B8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767" w:type="dxa"/>
            <w:vAlign w:val="center"/>
          </w:tcPr>
          <w:p w14:paraId="7AE841A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LC</w:t>
            </w:r>
          </w:p>
        </w:tc>
        <w:tc>
          <w:tcPr>
            <w:tcW w:w="791" w:type="dxa"/>
            <w:shd w:val="clear" w:color="auto" w:fill="auto"/>
            <w:vAlign w:val="center"/>
          </w:tcPr>
          <w:p w14:paraId="6D16CDD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否</w:t>
            </w:r>
          </w:p>
        </w:tc>
        <w:tc>
          <w:tcPr>
            <w:tcW w:w="2684" w:type="dxa"/>
            <w:vAlign w:val="center"/>
          </w:tcPr>
          <w:p w14:paraId="324E516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苍鹰为森林猛禽，栖息于不同海拔的针叶林、混交林和阔叶林等森林地界，于疏林、林缘和灌丛地带，次生林中也较常见。也见于</w:t>
            </w:r>
            <w:r>
              <w:rPr>
                <w:rFonts w:hint="default" w:ascii="Times New Roman" w:hAnsi="Times New Roman" w:cs="Times New Roman"/>
                <w:color w:val="auto"/>
                <w:sz w:val="21"/>
                <w:szCs w:val="21"/>
                <w:lang w:val="en-US" w:eastAsia="zh-CN"/>
              </w:rPr>
              <w:t>山地</w:t>
            </w:r>
            <w:r>
              <w:rPr>
                <w:rFonts w:hint="default" w:ascii="Times New Roman" w:hAnsi="Times New Roman" w:eastAsia="宋体" w:cs="Times New Roman"/>
                <w:color w:val="auto"/>
                <w:sz w:val="21"/>
                <w:szCs w:val="21"/>
                <w:lang w:val="en-US" w:eastAsia="zh-CN"/>
              </w:rPr>
              <w:t>平原和丘陵地带的疏林和小块林内，是森林中肉食性猛禽</w:t>
            </w:r>
          </w:p>
        </w:tc>
        <w:tc>
          <w:tcPr>
            <w:tcW w:w="683" w:type="dxa"/>
            <w:vMerge w:val="continue"/>
            <w:vAlign w:val="center"/>
          </w:tcPr>
          <w:p w14:paraId="796B0E2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664" w:type="dxa"/>
            <w:shd w:val="clear" w:color="auto" w:fill="auto"/>
            <w:vAlign w:val="center"/>
          </w:tcPr>
          <w:p w14:paraId="5FCCDE5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否</w:t>
            </w:r>
          </w:p>
        </w:tc>
      </w:tr>
      <w:tr w14:paraId="4742F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0" w:type="dxa"/>
            <w:vAlign w:val="center"/>
          </w:tcPr>
          <w:p w14:paraId="4C03EFC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1630" w:type="dxa"/>
            <w:vAlign w:val="center"/>
          </w:tcPr>
          <w:p w14:paraId="311FBDE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红隼（</w:t>
            </w:r>
            <w:r>
              <w:rPr>
                <w:rFonts w:hint="default" w:ascii="Times New Roman" w:hAnsi="Times New Roman" w:eastAsia="宋体" w:cs="Times New Roman"/>
                <w:i/>
                <w:iCs/>
                <w:color w:val="auto"/>
                <w:sz w:val="21"/>
                <w:szCs w:val="21"/>
                <w:lang w:val="en-US" w:eastAsia="zh-CN"/>
              </w:rPr>
              <w:t>Falco tinnunculus</w:t>
            </w:r>
            <w:r>
              <w:rPr>
                <w:rFonts w:hint="default" w:ascii="Times New Roman" w:hAnsi="Times New Roman" w:eastAsia="宋体" w:cs="Times New Roman"/>
                <w:color w:val="auto"/>
                <w:sz w:val="21"/>
                <w:szCs w:val="21"/>
                <w:lang w:val="en-US" w:eastAsia="zh-CN"/>
              </w:rPr>
              <w:t>）</w:t>
            </w:r>
          </w:p>
        </w:tc>
        <w:tc>
          <w:tcPr>
            <w:tcW w:w="803" w:type="dxa"/>
            <w:vMerge w:val="continue"/>
            <w:vAlign w:val="center"/>
          </w:tcPr>
          <w:p w14:paraId="20C5965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767" w:type="dxa"/>
            <w:vAlign w:val="center"/>
          </w:tcPr>
          <w:p w14:paraId="593286F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LC</w:t>
            </w:r>
          </w:p>
        </w:tc>
        <w:tc>
          <w:tcPr>
            <w:tcW w:w="791" w:type="dxa"/>
            <w:shd w:val="clear" w:color="auto" w:fill="auto"/>
            <w:vAlign w:val="center"/>
          </w:tcPr>
          <w:p w14:paraId="20E459D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否</w:t>
            </w:r>
          </w:p>
        </w:tc>
        <w:tc>
          <w:tcPr>
            <w:tcW w:w="2684" w:type="dxa"/>
            <w:vAlign w:val="center"/>
          </w:tcPr>
          <w:p w14:paraId="15DB589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栖息在山区植物稀疏的混合林、开垦耕地及旷野灌丛草地</w:t>
            </w:r>
          </w:p>
        </w:tc>
        <w:tc>
          <w:tcPr>
            <w:tcW w:w="683" w:type="dxa"/>
            <w:vMerge w:val="continue"/>
            <w:vAlign w:val="center"/>
          </w:tcPr>
          <w:p w14:paraId="470DDD7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664" w:type="dxa"/>
            <w:shd w:val="clear" w:color="auto" w:fill="auto"/>
            <w:vAlign w:val="center"/>
          </w:tcPr>
          <w:p w14:paraId="11E212F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否</w:t>
            </w:r>
          </w:p>
        </w:tc>
      </w:tr>
      <w:tr w14:paraId="41961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0" w:type="dxa"/>
            <w:vAlign w:val="center"/>
          </w:tcPr>
          <w:p w14:paraId="579AC7B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5</w:t>
            </w:r>
          </w:p>
        </w:tc>
        <w:tc>
          <w:tcPr>
            <w:tcW w:w="1630" w:type="dxa"/>
            <w:vAlign w:val="center"/>
          </w:tcPr>
          <w:p w14:paraId="07DBE0D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黑尾地鸦</w:t>
            </w:r>
            <w:r>
              <w:rPr>
                <w:rFonts w:hint="eastAsia" w:ascii="Times New Roman" w:hAnsi="Times New Roman" w:cs="Times New Roman"/>
                <w:color w:val="auto"/>
                <w:sz w:val="21"/>
                <w:szCs w:val="21"/>
                <w:lang w:val="en-US" w:eastAsia="zh-CN"/>
              </w:rPr>
              <w:t>（</w:t>
            </w:r>
            <w:r>
              <w:rPr>
                <w:rFonts w:hint="eastAsia" w:ascii="Times New Roman" w:hAnsi="Times New Roman" w:cs="Times New Roman"/>
                <w:i/>
                <w:iCs/>
                <w:color w:val="auto"/>
                <w:sz w:val="21"/>
                <w:szCs w:val="21"/>
                <w:lang w:val="en-US" w:eastAsia="zh-CN"/>
              </w:rPr>
              <w:t>Podoces hendersoni</w:t>
            </w:r>
            <w:r>
              <w:rPr>
                <w:rFonts w:hint="eastAsia" w:ascii="Times New Roman" w:hAnsi="Times New Roman" w:cs="Times New Roman"/>
                <w:color w:val="auto"/>
                <w:sz w:val="21"/>
                <w:szCs w:val="21"/>
                <w:lang w:val="en-US" w:eastAsia="zh-CN"/>
              </w:rPr>
              <w:t>）</w:t>
            </w:r>
          </w:p>
        </w:tc>
        <w:tc>
          <w:tcPr>
            <w:tcW w:w="803" w:type="dxa"/>
            <w:vMerge w:val="continue"/>
            <w:vAlign w:val="center"/>
          </w:tcPr>
          <w:p w14:paraId="57C03CA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767" w:type="dxa"/>
            <w:vAlign w:val="center"/>
          </w:tcPr>
          <w:p w14:paraId="2BD48DA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LC</w:t>
            </w:r>
          </w:p>
        </w:tc>
        <w:tc>
          <w:tcPr>
            <w:tcW w:w="791" w:type="dxa"/>
            <w:shd w:val="clear" w:color="auto" w:fill="auto"/>
            <w:vAlign w:val="center"/>
          </w:tcPr>
          <w:p w14:paraId="3B5CA24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否</w:t>
            </w:r>
          </w:p>
        </w:tc>
        <w:tc>
          <w:tcPr>
            <w:tcW w:w="2684" w:type="dxa"/>
            <w:vAlign w:val="center"/>
          </w:tcPr>
          <w:p w14:paraId="1C30F83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栖于开阔多岩石的地面及稀疏的盐生灌木和半灌木内的地面。是一种适应于干旱、荒漠植被环境</w:t>
            </w:r>
          </w:p>
        </w:tc>
        <w:tc>
          <w:tcPr>
            <w:tcW w:w="683" w:type="dxa"/>
            <w:vMerge w:val="continue"/>
            <w:vAlign w:val="center"/>
          </w:tcPr>
          <w:p w14:paraId="2FE2771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664" w:type="dxa"/>
            <w:shd w:val="clear" w:color="auto" w:fill="auto"/>
            <w:vAlign w:val="center"/>
          </w:tcPr>
          <w:p w14:paraId="0A1460A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否</w:t>
            </w:r>
          </w:p>
        </w:tc>
      </w:tr>
      <w:tr w14:paraId="77AC2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0" w:type="dxa"/>
            <w:vAlign w:val="center"/>
          </w:tcPr>
          <w:p w14:paraId="5976C2A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6</w:t>
            </w:r>
          </w:p>
        </w:tc>
        <w:tc>
          <w:tcPr>
            <w:tcW w:w="1630" w:type="dxa"/>
            <w:vAlign w:val="center"/>
          </w:tcPr>
          <w:p w14:paraId="6D45DB5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塔里木兔（</w:t>
            </w:r>
            <w:r>
              <w:rPr>
                <w:rFonts w:hint="eastAsia" w:ascii="Times New Roman" w:hAnsi="Times New Roman" w:cs="Times New Roman"/>
                <w:i/>
                <w:iCs/>
                <w:color w:val="auto"/>
                <w:sz w:val="21"/>
                <w:szCs w:val="21"/>
                <w:lang w:val="en-US" w:eastAsia="zh-CN"/>
              </w:rPr>
              <w:t>Lepus yarkandensis</w:t>
            </w:r>
            <w:r>
              <w:rPr>
                <w:rFonts w:hint="eastAsia" w:ascii="Times New Roman" w:hAnsi="Times New Roman" w:cs="Times New Roman"/>
                <w:color w:val="auto"/>
                <w:sz w:val="21"/>
                <w:szCs w:val="21"/>
                <w:lang w:val="en-US" w:eastAsia="zh-CN"/>
              </w:rPr>
              <w:t>）</w:t>
            </w:r>
          </w:p>
        </w:tc>
        <w:tc>
          <w:tcPr>
            <w:tcW w:w="803" w:type="dxa"/>
            <w:vMerge w:val="continue"/>
            <w:vAlign w:val="center"/>
          </w:tcPr>
          <w:p w14:paraId="432BC6A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767" w:type="dxa"/>
            <w:vAlign w:val="center"/>
          </w:tcPr>
          <w:p w14:paraId="12376B5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LR</w:t>
            </w:r>
          </w:p>
        </w:tc>
        <w:tc>
          <w:tcPr>
            <w:tcW w:w="791" w:type="dxa"/>
            <w:shd w:val="clear" w:color="auto" w:fill="auto"/>
            <w:vAlign w:val="center"/>
          </w:tcPr>
          <w:p w14:paraId="6467576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否</w:t>
            </w:r>
          </w:p>
        </w:tc>
        <w:tc>
          <w:tcPr>
            <w:tcW w:w="2684" w:type="dxa"/>
            <w:vAlign w:val="center"/>
          </w:tcPr>
          <w:p w14:paraId="6A6153A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栖息在</w:t>
            </w:r>
            <w:r>
              <w:rPr>
                <w:rFonts w:hint="eastAsia" w:ascii="Times New Roman" w:hAnsi="Times New Roman" w:cs="Times New Roman"/>
                <w:color w:val="auto"/>
                <w:sz w:val="21"/>
                <w:szCs w:val="21"/>
                <w:lang w:val="en-US" w:eastAsia="zh-CN"/>
              </w:rPr>
              <w:t>塔里木</w:t>
            </w:r>
            <w:r>
              <w:rPr>
                <w:rFonts w:hint="default" w:ascii="Times New Roman" w:hAnsi="Times New Roman" w:eastAsia="宋体" w:cs="Times New Roman"/>
                <w:color w:val="auto"/>
                <w:sz w:val="21"/>
                <w:szCs w:val="21"/>
                <w:lang w:val="en-US" w:eastAsia="zh-CN"/>
              </w:rPr>
              <w:t>盆地内部和多种沙漠地</w:t>
            </w:r>
            <w:r>
              <w:rPr>
                <w:rFonts w:hint="eastAsia" w:ascii="Times New Roman" w:hAnsi="Times New Roman" w:cs="Times New Roman"/>
                <w:color w:val="auto"/>
                <w:sz w:val="21"/>
                <w:szCs w:val="21"/>
                <w:lang w:val="en-US" w:eastAsia="zh-CN"/>
              </w:rPr>
              <w:t>带</w:t>
            </w:r>
          </w:p>
        </w:tc>
        <w:tc>
          <w:tcPr>
            <w:tcW w:w="683" w:type="dxa"/>
            <w:vMerge w:val="continue"/>
            <w:vAlign w:val="center"/>
          </w:tcPr>
          <w:p w14:paraId="1F14169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664" w:type="dxa"/>
            <w:shd w:val="clear" w:color="auto" w:fill="auto"/>
            <w:vAlign w:val="center"/>
          </w:tcPr>
          <w:p w14:paraId="01AE5D7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否</w:t>
            </w:r>
          </w:p>
        </w:tc>
      </w:tr>
      <w:tr w14:paraId="218E4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0" w:type="dxa"/>
            <w:vAlign w:val="center"/>
          </w:tcPr>
          <w:p w14:paraId="7B203AC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7</w:t>
            </w:r>
          </w:p>
        </w:tc>
        <w:tc>
          <w:tcPr>
            <w:tcW w:w="1630" w:type="dxa"/>
            <w:vAlign w:val="center"/>
          </w:tcPr>
          <w:p w14:paraId="5670A61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狼（</w:t>
            </w:r>
            <w:r>
              <w:rPr>
                <w:rFonts w:hint="eastAsia" w:ascii="Times New Roman" w:hAnsi="Times New Roman" w:cs="Times New Roman"/>
                <w:i/>
                <w:iCs/>
                <w:color w:val="auto"/>
                <w:sz w:val="21"/>
                <w:szCs w:val="21"/>
                <w:lang w:val="en-US" w:eastAsia="zh-CN"/>
              </w:rPr>
              <w:t>Canis lupus</w:t>
            </w:r>
            <w:r>
              <w:rPr>
                <w:rFonts w:hint="eastAsia" w:ascii="Times New Roman" w:hAnsi="Times New Roman" w:cs="Times New Roman"/>
                <w:color w:val="auto"/>
                <w:sz w:val="21"/>
                <w:szCs w:val="21"/>
                <w:lang w:val="en-US" w:eastAsia="zh-CN"/>
              </w:rPr>
              <w:t>）</w:t>
            </w:r>
          </w:p>
        </w:tc>
        <w:tc>
          <w:tcPr>
            <w:tcW w:w="803" w:type="dxa"/>
            <w:vMerge w:val="continue"/>
            <w:vAlign w:val="center"/>
          </w:tcPr>
          <w:p w14:paraId="0AC057B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767" w:type="dxa"/>
            <w:vAlign w:val="center"/>
          </w:tcPr>
          <w:p w14:paraId="7730727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LC</w:t>
            </w:r>
          </w:p>
        </w:tc>
        <w:tc>
          <w:tcPr>
            <w:tcW w:w="791" w:type="dxa"/>
            <w:shd w:val="clear" w:color="auto" w:fill="auto"/>
            <w:vAlign w:val="center"/>
          </w:tcPr>
          <w:p w14:paraId="66F6411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否</w:t>
            </w:r>
          </w:p>
        </w:tc>
        <w:tc>
          <w:tcPr>
            <w:tcW w:w="2684" w:type="dxa"/>
            <w:vAlign w:val="center"/>
          </w:tcPr>
          <w:p w14:paraId="5E0FAAD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栖息环境十分广泛，包括开阔的林地、草原、荒漠、干旱地区、丘陵、山地、森林</w:t>
            </w:r>
            <w:r>
              <w:rPr>
                <w:rFonts w:hint="eastAsia" w:ascii="Times New Roman" w:hAnsi="Times New Roman" w:cs="Times New Roman"/>
                <w:color w:val="auto"/>
                <w:sz w:val="21"/>
                <w:szCs w:val="21"/>
                <w:lang w:val="en-US" w:eastAsia="zh-CN"/>
              </w:rPr>
              <w:t>等。</w:t>
            </w:r>
          </w:p>
        </w:tc>
        <w:tc>
          <w:tcPr>
            <w:tcW w:w="683" w:type="dxa"/>
            <w:vMerge w:val="continue"/>
            <w:vAlign w:val="center"/>
          </w:tcPr>
          <w:p w14:paraId="653B847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664" w:type="dxa"/>
            <w:shd w:val="clear" w:color="auto" w:fill="auto"/>
            <w:vAlign w:val="center"/>
          </w:tcPr>
          <w:p w14:paraId="0AA3942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否</w:t>
            </w:r>
          </w:p>
        </w:tc>
      </w:tr>
    </w:tbl>
    <w:p w14:paraId="251E6C37">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7EFE7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4446F45">
            <w:pPr>
              <w:keepNext w:val="0"/>
              <w:keepLines w:val="0"/>
              <w:widowControl/>
              <w:suppressLineNumbers w:val="0"/>
              <w:ind w:left="0" w:leftChars="0" w:firstLine="0" w:firstLineChars="0"/>
              <w:jc w:val="left"/>
              <w:rPr>
                <w:rFonts w:hint="default" w:ascii="Times New Roman" w:hAnsi="Times New Roman" w:eastAsia="宋体" w:cs="Times New Roman"/>
                <w:color w:val="auto"/>
                <w:kern w:val="0"/>
                <w:sz w:val="24"/>
                <w:szCs w:val="24"/>
                <w:vertAlign w:val="baseline"/>
                <w:lang w:val="en-US" w:eastAsia="zh-CN" w:bidi="ar"/>
              </w:rPr>
            </w:pPr>
            <w:r>
              <w:rPr>
                <w:rFonts w:hint="default" w:ascii="Times New Roman" w:hAnsi="Times New Roman" w:eastAsia="宋体" w:cs="Times New Roman"/>
                <w:color w:val="auto"/>
                <w:kern w:val="0"/>
                <w:sz w:val="24"/>
                <w:szCs w:val="24"/>
                <w:vertAlign w:val="baseline"/>
                <w:lang w:val="en-US" w:eastAsia="zh-CN" w:bidi="ar"/>
              </w:rPr>
              <w:drawing>
                <wp:inline distT="0" distB="0" distL="114300" distR="114300">
                  <wp:extent cx="2585085" cy="1925955"/>
                  <wp:effectExtent l="0" t="0" r="5715" b="17145"/>
                  <wp:docPr id="47" name="图片 47" descr="起点"/>
                  <wp:cNvGraphicFramePr/>
                  <a:graphic xmlns:a="http://schemas.openxmlformats.org/drawingml/2006/main">
                    <a:graphicData uri="http://schemas.openxmlformats.org/drawingml/2006/picture">
                      <pic:pic xmlns:pic="http://schemas.openxmlformats.org/drawingml/2006/picture">
                        <pic:nvPicPr>
                          <pic:cNvPr id="47" name="图片 47" descr="起点"/>
                          <pic:cNvPicPr/>
                        </pic:nvPicPr>
                        <pic:blipFill>
                          <a:blip r:embed="rId42"/>
                          <a:stretch>
                            <a:fillRect/>
                          </a:stretch>
                        </pic:blipFill>
                        <pic:spPr>
                          <a:xfrm>
                            <a:off x="0" y="0"/>
                            <a:ext cx="2585085" cy="1925955"/>
                          </a:xfrm>
                          <a:prstGeom prst="rect">
                            <a:avLst/>
                          </a:prstGeom>
                        </pic:spPr>
                      </pic:pic>
                    </a:graphicData>
                  </a:graphic>
                </wp:inline>
              </w:drawing>
            </w:r>
          </w:p>
        </w:tc>
        <w:tc>
          <w:tcPr>
            <w:tcW w:w="4261" w:type="dxa"/>
          </w:tcPr>
          <w:p w14:paraId="39D63800">
            <w:pPr>
              <w:keepNext w:val="0"/>
              <w:keepLines w:val="0"/>
              <w:widowControl/>
              <w:suppressLineNumbers w:val="0"/>
              <w:ind w:left="0" w:leftChars="0" w:firstLine="0" w:firstLineChars="0"/>
              <w:jc w:val="left"/>
              <w:rPr>
                <w:rFonts w:hint="default" w:ascii="Times New Roman" w:hAnsi="Times New Roman" w:eastAsia="宋体" w:cs="Times New Roman"/>
                <w:color w:val="auto"/>
                <w:kern w:val="0"/>
                <w:sz w:val="24"/>
                <w:szCs w:val="24"/>
                <w:vertAlign w:val="baseline"/>
                <w:lang w:val="en-US" w:eastAsia="zh-CN" w:bidi="ar"/>
              </w:rPr>
            </w:pPr>
            <w:r>
              <w:rPr>
                <w:rFonts w:hint="default" w:ascii="Times New Roman" w:hAnsi="Times New Roman" w:eastAsia="宋体" w:cs="Times New Roman"/>
                <w:color w:val="auto"/>
                <w:kern w:val="0"/>
                <w:sz w:val="24"/>
                <w:szCs w:val="24"/>
                <w:vertAlign w:val="baseline"/>
                <w:lang w:val="en-US" w:eastAsia="zh-CN" w:bidi="ar"/>
              </w:rPr>
              <w:drawing>
                <wp:inline distT="0" distB="0" distL="114300" distR="114300">
                  <wp:extent cx="2585085" cy="1925955"/>
                  <wp:effectExtent l="0" t="0" r="5715" b="17145"/>
                  <wp:docPr id="58" name="图片 58" descr="555"/>
                  <wp:cNvGraphicFramePr/>
                  <a:graphic xmlns:a="http://schemas.openxmlformats.org/drawingml/2006/main">
                    <a:graphicData uri="http://schemas.openxmlformats.org/drawingml/2006/picture">
                      <pic:pic xmlns:pic="http://schemas.openxmlformats.org/drawingml/2006/picture">
                        <pic:nvPicPr>
                          <pic:cNvPr id="58" name="图片 58" descr="555"/>
                          <pic:cNvPicPr/>
                        </pic:nvPicPr>
                        <pic:blipFill>
                          <a:blip r:embed="rId43"/>
                          <a:stretch>
                            <a:fillRect/>
                          </a:stretch>
                        </pic:blipFill>
                        <pic:spPr>
                          <a:xfrm>
                            <a:off x="0" y="0"/>
                            <a:ext cx="2585085" cy="1925955"/>
                          </a:xfrm>
                          <a:prstGeom prst="rect">
                            <a:avLst/>
                          </a:prstGeom>
                        </pic:spPr>
                      </pic:pic>
                    </a:graphicData>
                  </a:graphic>
                </wp:inline>
              </w:drawing>
            </w:r>
          </w:p>
        </w:tc>
      </w:tr>
      <w:tr w14:paraId="23617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FC406C7">
            <w:pPr>
              <w:keepNext w:val="0"/>
              <w:keepLines w:val="0"/>
              <w:widowControl/>
              <w:suppressLineNumbers w:val="0"/>
              <w:ind w:left="0" w:leftChars="0" w:right="0" w:rightChars="0" w:firstLine="0" w:firstLineChars="0"/>
              <w:jc w:val="center"/>
              <w:rPr>
                <w:rFonts w:hint="default" w:ascii="Times New Roman" w:hAnsi="Times New Roman" w:eastAsia="宋体" w:cs="Times New Roman"/>
                <w:color w:val="auto"/>
                <w:kern w:val="0"/>
                <w:sz w:val="24"/>
                <w:szCs w:val="24"/>
                <w:vertAlign w:val="baseline"/>
                <w:lang w:val="en-US" w:eastAsia="zh-CN" w:bidi="ar"/>
              </w:rPr>
            </w:pPr>
            <w:r>
              <w:rPr>
                <w:rFonts w:hint="eastAsia" w:cs="Times New Roman"/>
                <w:color w:val="auto"/>
                <w:kern w:val="0"/>
                <w:sz w:val="24"/>
                <w:szCs w:val="24"/>
                <w:vertAlign w:val="baseline"/>
                <w:lang w:val="en-US" w:eastAsia="zh-CN" w:bidi="ar"/>
              </w:rPr>
              <w:t>线路起点兰干村附近地貌</w:t>
            </w:r>
          </w:p>
        </w:tc>
        <w:tc>
          <w:tcPr>
            <w:tcW w:w="4261" w:type="dxa"/>
          </w:tcPr>
          <w:p w14:paraId="3D746082">
            <w:pPr>
              <w:keepNext w:val="0"/>
              <w:keepLines w:val="0"/>
              <w:widowControl/>
              <w:suppressLineNumbers w:val="0"/>
              <w:ind w:left="0" w:leftChars="0" w:right="0" w:rightChars="0" w:firstLine="0" w:firstLineChars="0"/>
              <w:jc w:val="center"/>
              <w:rPr>
                <w:rFonts w:hint="default" w:ascii="Times New Roman" w:hAnsi="Times New Roman" w:eastAsia="宋体" w:cs="Times New Roman"/>
                <w:color w:val="auto"/>
                <w:kern w:val="0"/>
                <w:sz w:val="24"/>
                <w:szCs w:val="24"/>
                <w:vertAlign w:val="baseline"/>
                <w:lang w:val="en-US" w:eastAsia="zh-CN" w:bidi="ar"/>
              </w:rPr>
            </w:pPr>
            <w:r>
              <w:rPr>
                <w:rFonts w:hint="eastAsia" w:cs="Times New Roman"/>
                <w:color w:val="auto"/>
                <w:kern w:val="0"/>
                <w:sz w:val="24"/>
                <w:szCs w:val="24"/>
                <w:vertAlign w:val="baseline"/>
                <w:lang w:val="en-US" w:eastAsia="zh-CN" w:bidi="ar"/>
              </w:rPr>
              <w:t>隧道起点处地貌植被</w:t>
            </w:r>
          </w:p>
        </w:tc>
      </w:tr>
      <w:tr w14:paraId="1C952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47311C9">
            <w:pPr>
              <w:keepNext w:val="0"/>
              <w:keepLines w:val="0"/>
              <w:widowControl/>
              <w:suppressLineNumbers w:val="0"/>
              <w:ind w:left="0" w:leftChars="0" w:firstLine="0" w:firstLineChars="0"/>
              <w:jc w:val="left"/>
              <w:rPr>
                <w:rFonts w:hint="default" w:ascii="Times New Roman" w:hAnsi="Times New Roman" w:eastAsia="宋体" w:cs="Times New Roman"/>
                <w:color w:val="auto"/>
                <w:kern w:val="0"/>
                <w:sz w:val="24"/>
                <w:szCs w:val="24"/>
                <w:vertAlign w:val="baseline"/>
                <w:lang w:val="en-US" w:eastAsia="zh-CN" w:bidi="ar"/>
              </w:rPr>
            </w:pPr>
            <w:r>
              <w:rPr>
                <w:rFonts w:hint="default" w:ascii="Times New Roman" w:hAnsi="Times New Roman" w:eastAsia="宋体" w:cs="Times New Roman"/>
                <w:color w:val="auto"/>
                <w:kern w:val="0"/>
                <w:sz w:val="24"/>
                <w:szCs w:val="24"/>
                <w:vertAlign w:val="baseline"/>
                <w:lang w:val="en-US" w:eastAsia="zh-CN" w:bidi="ar"/>
              </w:rPr>
              <w:drawing>
                <wp:inline distT="0" distB="0" distL="114300" distR="114300">
                  <wp:extent cx="2585085" cy="1925955"/>
                  <wp:effectExtent l="0" t="0" r="5715" b="17145"/>
                  <wp:docPr id="56" name="图片 56" descr="2222"/>
                  <wp:cNvGraphicFramePr/>
                  <a:graphic xmlns:a="http://schemas.openxmlformats.org/drawingml/2006/main">
                    <a:graphicData uri="http://schemas.openxmlformats.org/drawingml/2006/picture">
                      <pic:pic xmlns:pic="http://schemas.openxmlformats.org/drawingml/2006/picture">
                        <pic:nvPicPr>
                          <pic:cNvPr id="56" name="图片 56" descr="2222"/>
                          <pic:cNvPicPr/>
                        </pic:nvPicPr>
                        <pic:blipFill>
                          <a:blip r:embed="rId44"/>
                          <a:stretch>
                            <a:fillRect/>
                          </a:stretch>
                        </pic:blipFill>
                        <pic:spPr>
                          <a:xfrm>
                            <a:off x="0" y="0"/>
                            <a:ext cx="2585085" cy="1925955"/>
                          </a:xfrm>
                          <a:prstGeom prst="rect">
                            <a:avLst/>
                          </a:prstGeom>
                        </pic:spPr>
                      </pic:pic>
                    </a:graphicData>
                  </a:graphic>
                </wp:inline>
              </w:drawing>
            </w:r>
          </w:p>
        </w:tc>
        <w:tc>
          <w:tcPr>
            <w:tcW w:w="4261" w:type="dxa"/>
          </w:tcPr>
          <w:p w14:paraId="5B6876ED">
            <w:pPr>
              <w:keepNext w:val="0"/>
              <w:keepLines w:val="0"/>
              <w:widowControl/>
              <w:suppressLineNumbers w:val="0"/>
              <w:ind w:left="0" w:leftChars="0" w:firstLine="0" w:firstLineChars="0"/>
              <w:jc w:val="left"/>
              <w:rPr>
                <w:rFonts w:hint="default" w:ascii="Times New Roman" w:hAnsi="Times New Roman" w:eastAsia="宋体" w:cs="Times New Roman"/>
                <w:color w:val="auto"/>
                <w:kern w:val="0"/>
                <w:sz w:val="24"/>
                <w:szCs w:val="24"/>
                <w:vertAlign w:val="baseline"/>
                <w:lang w:val="en-US" w:eastAsia="zh-CN" w:bidi="ar"/>
              </w:rPr>
            </w:pPr>
            <w:r>
              <w:rPr>
                <w:rFonts w:hint="default" w:ascii="Times New Roman" w:hAnsi="Times New Roman" w:eastAsia="宋体" w:cs="Times New Roman"/>
                <w:color w:val="auto"/>
                <w:kern w:val="0"/>
                <w:sz w:val="24"/>
                <w:szCs w:val="24"/>
                <w:vertAlign w:val="baseline"/>
                <w:lang w:val="en-US" w:eastAsia="zh-CN" w:bidi="ar"/>
              </w:rPr>
              <w:drawing>
                <wp:inline distT="0" distB="0" distL="114300" distR="114300">
                  <wp:extent cx="2585085" cy="1925955"/>
                  <wp:effectExtent l="0" t="0" r="5715" b="17145"/>
                  <wp:docPr id="57" name="图片 57" descr="444"/>
                  <wp:cNvGraphicFramePr/>
                  <a:graphic xmlns:a="http://schemas.openxmlformats.org/drawingml/2006/main">
                    <a:graphicData uri="http://schemas.openxmlformats.org/drawingml/2006/picture">
                      <pic:pic xmlns:pic="http://schemas.openxmlformats.org/drawingml/2006/picture">
                        <pic:nvPicPr>
                          <pic:cNvPr id="57" name="图片 57" descr="444"/>
                          <pic:cNvPicPr/>
                        </pic:nvPicPr>
                        <pic:blipFill>
                          <a:blip r:embed="rId45"/>
                          <a:stretch>
                            <a:fillRect/>
                          </a:stretch>
                        </pic:blipFill>
                        <pic:spPr>
                          <a:xfrm>
                            <a:off x="0" y="0"/>
                            <a:ext cx="2585085" cy="1925955"/>
                          </a:xfrm>
                          <a:prstGeom prst="rect">
                            <a:avLst/>
                          </a:prstGeom>
                        </pic:spPr>
                      </pic:pic>
                    </a:graphicData>
                  </a:graphic>
                </wp:inline>
              </w:drawing>
            </w:r>
          </w:p>
        </w:tc>
      </w:tr>
      <w:tr w14:paraId="63286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47F1D727">
            <w:pPr>
              <w:keepNext w:val="0"/>
              <w:keepLines w:val="0"/>
              <w:widowControl/>
              <w:suppressLineNumbers w:val="0"/>
              <w:ind w:left="0" w:leftChars="0" w:right="0" w:rightChars="0" w:firstLine="0" w:firstLineChars="0"/>
              <w:jc w:val="center"/>
              <w:rPr>
                <w:rFonts w:hint="default" w:ascii="Times New Roman" w:hAnsi="Times New Roman" w:eastAsia="宋体" w:cs="Times New Roman"/>
                <w:color w:val="auto"/>
                <w:kern w:val="0"/>
                <w:sz w:val="24"/>
                <w:szCs w:val="24"/>
                <w:vertAlign w:val="baseline"/>
                <w:lang w:val="en-US" w:eastAsia="zh-CN" w:bidi="ar"/>
              </w:rPr>
            </w:pPr>
            <w:r>
              <w:rPr>
                <w:rFonts w:hint="eastAsia" w:cs="Times New Roman"/>
                <w:color w:val="auto"/>
                <w:kern w:val="0"/>
                <w:sz w:val="24"/>
                <w:szCs w:val="24"/>
                <w:vertAlign w:val="baseline"/>
                <w:lang w:val="en-US" w:eastAsia="zh-CN" w:bidi="ar"/>
              </w:rPr>
              <w:t>评价范围内植被</w:t>
            </w:r>
          </w:p>
        </w:tc>
        <w:tc>
          <w:tcPr>
            <w:tcW w:w="4261" w:type="dxa"/>
          </w:tcPr>
          <w:p w14:paraId="7E979DCE">
            <w:pPr>
              <w:keepNext w:val="0"/>
              <w:keepLines w:val="0"/>
              <w:widowControl/>
              <w:suppressLineNumbers w:val="0"/>
              <w:ind w:left="0" w:leftChars="0" w:right="0" w:rightChars="0" w:firstLine="0" w:firstLineChars="0"/>
              <w:jc w:val="center"/>
              <w:rPr>
                <w:rFonts w:hint="default" w:ascii="Times New Roman" w:hAnsi="Times New Roman" w:eastAsia="宋体" w:cs="Times New Roman"/>
                <w:color w:val="auto"/>
                <w:kern w:val="0"/>
                <w:sz w:val="24"/>
                <w:szCs w:val="24"/>
                <w:vertAlign w:val="baseline"/>
                <w:lang w:val="en-US" w:eastAsia="zh-CN" w:bidi="ar"/>
              </w:rPr>
            </w:pPr>
            <w:r>
              <w:rPr>
                <w:rFonts w:hint="eastAsia" w:cs="Times New Roman"/>
                <w:color w:val="auto"/>
                <w:kern w:val="0"/>
                <w:sz w:val="24"/>
                <w:szCs w:val="24"/>
                <w:vertAlign w:val="baseline"/>
                <w:lang w:val="en-US" w:eastAsia="zh-CN" w:bidi="ar"/>
              </w:rPr>
              <w:t>线路终点附近地貌</w:t>
            </w:r>
          </w:p>
        </w:tc>
      </w:tr>
      <w:tr w14:paraId="662522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0142681A">
            <w:pPr>
              <w:keepNext w:val="0"/>
              <w:keepLines w:val="0"/>
              <w:widowControl/>
              <w:suppressLineNumbers w:val="0"/>
              <w:ind w:left="0" w:leftChars="0" w:right="0" w:rightChars="0" w:firstLine="0" w:firstLineChars="0"/>
              <w:jc w:val="center"/>
              <w:rPr>
                <w:rFonts w:hint="eastAsia" w:cs="Times New Roman"/>
                <w:color w:val="auto"/>
                <w:kern w:val="0"/>
                <w:sz w:val="24"/>
                <w:szCs w:val="24"/>
                <w:vertAlign w:val="baseline"/>
                <w:lang w:val="en-US" w:eastAsia="zh-CN" w:bidi="ar"/>
              </w:rPr>
            </w:pPr>
            <w:r>
              <w:rPr>
                <w:rFonts w:hint="eastAsia" w:cs="Times New Roman"/>
                <w:color w:val="auto"/>
                <w:kern w:val="0"/>
                <w:sz w:val="24"/>
                <w:szCs w:val="24"/>
                <w:vertAlign w:val="baseline"/>
                <w:lang w:val="en-US" w:eastAsia="zh-CN" w:bidi="ar"/>
              </w:rPr>
              <w:drawing>
                <wp:inline distT="0" distB="0" distL="114300" distR="114300">
                  <wp:extent cx="2585085" cy="1925955"/>
                  <wp:effectExtent l="0" t="0" r="5715" b="17145"/>
                  <wp:docPr id="48" name="图片 48" descr="bdf9ccf1453c1ae3c8f26e73690e7cb3"/>
                  <wp:cNvGraphicFramePr/>
                  <a:graphic xmlns:a="http://schemas.openxmlformats.org/drawingml/2006/main">
                    <a:graphicData uri="http://schemas.openxmlformats.org/drawingml/2006/picture">
                      <pic:pic xmlns:pic="http://schemas.openxmlformats.org/drawingml/2006/picture">
                        <pic:nvPicPr>
                          <pic:cNvPr id="48" name="图片 48" descr="bdf9ccf1453c1ae3c8f26e73690e7cb3"/>
                          <pic:cNvPicPr/>
                        </pic:nvPicPr>
                        <pic:blipFill>
                          <a:blip r:embed="rId46"/>
                          <a:stretch>
                            <a:fillRect/>
                          </a:stretch>
                        </pic:blipFill>
                        <pic:spPr>
                          <a:xfrm>
                            <a:off x="0" y="0"/>
                            <a:ext cx="2585085" cy="1925955"/>
                          </a:xfrm>
                          <a:prstGeom prst="rect">
                            <a:avLst/>
                          </a:prstGeom>
                        </pic:spPr>
                      </pic:pic>
                    </a:graphicData>
                  </a:graphic>
                </wp:inline>
              </w:drawing>
            </w:r>
          </w:p>
        </w:tc>
        <w:tc>
          <w:tcPr>
            <w:tcW w:w="4261" w:type="dxa"/>
          </w:tcPr>
          <w:p w14:paraId="0FD65F22">
            <w:pPr>
              <w:keepNext w:val="0"/>
              <w:keepLines w:val="0"/>
              <w:widowControl/>
              <w:suppressLineNumbers w:val="0"/>
              <w:ind w:left="0" w:leftChars="0" w:right="0" w:rightChars="0" w:firstLine="0" w:firstLineChars="0"/>
              <w:jc w:val="center"/>
              <w:rPr>
                <w:rFonts w:hint="eastAsia" w:cs="Times New Roman"/>
                <w:color w:val="auto"/>
                <w:kern w:val="0"/>
                <w:sz w:val="24"/>
                <w:szCs w:val="24"/>
                <w:vertAlign w:val="baseline"/>
                <w:lang w:val="en-US" w:eastAsia="zh-CN" w:bidi="ar"/>
              </w:rPr>
            </w:pPr>
            <w:r>
              <w:rPr>
                <w:rFonts w:hint="eastAsia" w:cs="Times New Roman"/>
                <w:color w:val="auto"/>
                <w:kern w:val="0"/>
                <w:sz w:val="24"/>
                <w:szCs w:val="24"/>
                <w:vertAlign w:val="baseline"/>
                <w:lang w:val="en-US" w:eastAsia="zh-CN" w:bidi="ar"/>
              </w:rPr>
              <w:drawing>
                <wp:inline distT="0" distB="0" distL="114300" distR="114300">
                  <wp:extent cx="2585085" cy="1925955"/>
                  <wp:effectExtent l="0" t="0" r="5715" b="17145"/>
                  <wp:docPr id="59" name="图片 59" descr="c3ab0bf060a0f69bf3b396b2a59b841a"/>
                  <wp:cNvGraphicFramePr/>
                  <a:graphic xmlns:a="http://schemas.openxmlformats.org/drawingml/2006/main">
                    <a:graphicData uri="http://schemas.openxmlformats.org/drawingml/2006/picture">
                      <pic:pic xmlns:pic="http://schemas.openxmlformats.org/drawingml/2006/picture">
                        <pic:nvPicPr>
                          <pic:cNvPr id="59" name="图片 59" descr="c3ab0bf060a0f69bf3b396b2a59b841a"/>
                          <pic:cNvPicPr/>
                        </pic:nvPicPr>
                        <pic:blipFill>
                          <a:blip r:embed="rId47"/>
                          <a:stretch>
                            <a:fillRect/>
                          </a:stretch>
                        </pic:blipFill>
                        <pic:spPr>
                          <a:xfrm>
                            <a:off x="0" y="0"/>
                            <a:ext cx="2585085" cy="1925955"/>
                          </a:xfrm>
                          <a:prstGeom prst="rect">
                            <a:avLst/>
                          </a:prstGeom>
                        </pic:spPr>
                      </pic:pic>
                    </a:graphicData>
                  </a:graphic>
                </wp:inline>
              </w:drawing>
            </w:r>
          </w:p>
        </w:tc>
      </w:tr>
      <w:tr w14:paraId="3BEC6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4069F58">
            <w:pPr>
              <w:keepNext w:val="0"/>
              <w:keepLines w:val="0"/>
              <w:widowControl/>
              <w:suppressLineNumbers w:val="0"/>
              <w:ind w:left="0" w:leftChars="0" w:right="0" w:rightChars="0" w:firstLine="0" w:firstLineChars="0"/>
              <w:jc w:val="center"/>
              <w:rPr>
                <w:rFonts w:hint="default" w:cs="Times New Roman"/>
                <w:color w:val="auto"/>
                <w:kern w:val="0"/>
                <w:sz w:val="24"/>
                <w:szCs w:val="24"/>
                <w:vertAlign w:val="baseline"/>
                <w:lang w:val="en-US" w:eastAsia="zh-CN" w:bidi="ar"/>
              </w:rPr>
            </w:pPr>
            <w:r>
              <w:rPr>
                <w:rFonts w:hint="eastAsia" w:cs="Times New Roman"/>
                <w:color w:val="auto"/>
                <w:kern w:val="0"/>
                <w:sz w:val="24"/>
                <w:szCs w:val="24"/>
                <w:vertAlign w:val="baseline"/>
                <w:lang w:val="en-US" w:eastAsia="zh-CN" w:bidi="ar"/>
              </w:rPr>
              <w:t>取土场附近植被</w:t>
            </w:r>
          </w:p>
        </w:tc>
        <w:tc>
          <w:tcPr>
            <w:tcW w:w="4261" w:type="dxa"/>
          </w:tcPr>
          <w:p w14:paraId="3889C38C">
            <w:pPr>
              <w:keepNext w:val="0"/>
              <w:keepLines w:val="0"/>
              <w:widowControl/>
              <w:suppressLineNumbers w:val="0"/>
              <w:ind w:left="0" w:leftChars="0" w:right="0" w:rightChars="0" w:firstLine="0" w:firstLineChars="0"/>
              <w:jc w:val="center"/>
              <w:rPr>
                <w:rFonts w:hint="eastAsia" w:cs="Times New Roman"/>
                <w:color w:val="auto"/>
                <w:kern w:val="0"/>
                <w:sz w:val="24"/>
                <w:szCs w:val="24"/>
                <w:vertAlign w:val="baseline"/>
                <w:lang w:val="en-US" w:eastAsia="zh-CN" w:bidi="ar"/>
              </w:rPr>
            </w:pPr>
            <w:r>
              <w:rPr>
                <w:rFonts w:hint="eastAsia" w:cs="Times New Roman"/>
                <w:color w:val="auto"/>
                <w:kern w:val="0"/>
                <w:sz w:val="24"/>
                <w:szCs w:val="24"/>
                <w:vertAlign w:val="baseline"/>
                <w:lang w:val="en-US" w:eastAsia="zh-CN" w:bidi="ar"/>
              </w:rPr>
              <w:t>取土场附近植被</w:t>
            </w:r>
          </w:p>
        </w:tc>
      </w:tr>
      <w:tr w14:paraId="5DB0A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0D5806E">
            <w:pPr>
              <w:keepNext w:val="0"/>
              <w:keepLines w:val="0"/>
              <w:widowControl/>
              <w:suppressLineNumbers w:val="0"/>
              <w:ind w:left="0" w:leftChars="0" w:right="0" w:rightChars="0" w:firstLine="0" w:firstLineChars="0"/>
              <w:jc w:val="center"/>
              <w:rPr>
                <w:rFonts w:hint="eastAsia" w:cs="Times New Roman"/>
                <w:color w:val="auto"/>
                <w:kern w:val="0"/>
                <w:sz w:val="24"/>
                <w:szCs w:val="24"/>
                <w:vertAlign w:val="baseline"/>
                <w:lang w:val="en-US" w:eastAsia="zh-CN" w:bidi="ar"/>
              </w:rPr>
            </w:pPr>
            <w:r>
              <w:rPr>
                <w:rFonts w:hint="eastAsia" w:cs="Times New Roman"/>
                <w:color w:val="auto"/>
                <w:kern w:val="0"/>
                <w:sz w:val="24"/>
                <w:szCs w:val="24"/>
                <w:vertAlign w:val="baseline"/>
                <w:lang w:val="en-US" w:eastAsia="zh-CN" w:bidi="ar"/>
              </w:rPr>
              <w:drawing>
                <wp:inline distT="0" distB="0" distL="114300" distR="114300">
                  <wp:extent cx="2585085" cy="1925955"/>
                  <wp:effectExtent l="0" t="0" r="5715" b="17145"/>
                  <wp:docPr id="60" name="图片 60" descr="795ce525da6d1ca2c0dae4e162bd24ed"/>
                  <wp:cNvGraphicFramePr/>
                  <a:graphic xmlns:a="http://schemas.openxmlformats.org/drawingml/2006/main">
                    <a:graphicData uri="http://schemas.openxmlformats.org/drawingml/2006/picture">
                      <pic:pic xmlns:pic="http://schemas.openxmlformats.org/drawingml/2006/picture">
                        <pic:nvPicPr>
                          <pic:cNvPr id="60" name="图片 60" descr="795ce525da6d1ca2c0dae4e162bd24ed"/>
                          <pic:cNvPicPr/>
                        </pic:nvPicPr>
                        <pic:blipFill>
                          <a:blip r:embed="rId48"/>
                          <a:srcRect t="12298" b="8638"/>
                          <a:stretch>
                            <a:fillRect/>
                          </a:stretch>
                        </pic:blipFill>
                        <pic:spPr>
                          <a:xfrm>
                            <a:off x="0" y="0"/>
                            <a:ext cx="2585085" cy="1925955"/>
                          </a:xfrm>
                          <a:prstGeom prst="rect">
                            <a:avLst/>
                          </a:prstGeom>
                        </pic:spPr>
                      </pic:pic>
                    </a:graphicData>
                  </a:graphic>
                </wp:inline>
              </w:drawing>
            </w:r>
          </w:p>
        </w:tc>
        <w:tc>
          <w:tcPr>
            <w:tcW w:w="4261" w:type="dxa"/>
          </w:tcPr>
          <w:p w14:paraId="302528C4">
            <w:pPr>
              <w:keepNext w:val="0"/>
              <w:keepLines w:val="0"/>
              <w:widowControl/>
              <w:suppressLineNumbers w:val="0"/>
              <w:ind w:left="0" w:leftChars="0" w:right="0" w:rightChars="0" w:firstLine="0" w:firstLineChars="0"/>
              <w:jc w:val="center"/>
              <w:rPr>
                <w:rFonts w:hint="eastAsia" w:cs="Times New Roman"/>
                <w:color w:val="auto"/>
                <w:kern w:val="0"/>
                <w:sz w:val="24"/>
                <w:szCs w:val="24"/>
                <w:vertAlign w:val="baseline"/>
                <w:lang w:val="en-US" w:eastAsia="zh-CN" w:bidi="ar"/>
              </w:rPr>
            </w:pPr>
            <w:r>
              <w:rPr>
                <w:rFonts w:hint="eastAsia" w:cs="Times New Roman"/>
                <w:color w:val="auto"/>
                <w:kern w:val="0"/>
                <w:sz w:val="24"/>
                <w:szCs w:val="24"/>
                <w:vertAlign w:val="baseline"/>
                <w:lang w:val="en-US" w:eastAsia="zh-CN" w:bidi="ar"/>
              </w:rPr>
              <w:drawing>
                <wp:inline distT="0" distB="0" distL="114300" distR="114300">
                  <wp:extent cx="2564765" cy="1923415"/>
                  <wp:effectExtent l="0" t="0" r="6985" b="635"/>
                  <wp:docPr id="61" name="图片 61" descr="98f1d32b02132ad3346d8f78b086da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98f1d32b02132ad3346d8f78b086da7a"/>
                          <pic:cNvPicPr>
                            <a:picLocks noChangeAspect="1"/>
                          </pic:cNvPicPr>
                        </pic:nvPicPr>
                        <pic:blipFill>
                          <a:blip r:embed="rId49"/>
                          <a:stretch>
                            <a:fillRect/>
                          </a:stretch>
                        </pic:blipFill>
                        <pic:spPr>
                          <a:xfrm>
                            <a:off x="0" y="0"/>
                            <a:ext cx="2564765" cy="1923415"/>
                          </a:xfrm>
                          <a:prstGeom prst="rect">
                            <a:avLst/>
                          </a:prstGeom>
                        </pic:spPr>
                      </pic:pic>
                    </a:graphicData>
                  </a:graphic>
                </wp:inline>
              </w:drawing>
            </w:r>
          </w:p>
        </w:tc>
      </w:tr>
      <w:tr w14:paraId="4C133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900098C">
            <w:pPr>
              <w:keepNext w:val="0"/>
              <w:keepLines w:val="0"/>
              <w:widowControl/>
              <w:suppressLineNumbers w:val="0"/>
              <w:ind w:left="0" w:leftChars="0" w:right="0" w:rightChars="0" w:firstLine="0" w:firstLineChars="0"/>
              <w:jc w:val="center"/>
              <w:rPr>
                <w:rFonts w:hint="default" w:cs="Times New Roman"/>
                <w:color w:val="auto"/>
                <w:kern w:val="0"/>
                <w:sz w:val="24"/>
                <w:szCs w:val="24"/>
                <w:vertAlign w:val="baseline"/>
                <w:lang w:val="en-US" w:eastAsia="zh-CN" w:bidi="ar"/>
              </w:rPr>
            </w:pPr>
            <w:r>
              <w:rPr>
                <w:rFonts w:hint="eastAsia" w:cs="Times New Roman"/>
                <w:color w:val="auto"/>
                <w:kern w:val="0"/>
                <w:sz w:val="24"/>
                <w:szCs w:val="24"/>
                <w:vertAlign w:val="baseline"/>
                <w:lang w:val="en-US" w:eastAsia="zh-CN" w:bidi="ar"/>
              </w:rPr>
              <w:t>施工生产区地貌</w:t>
            </w:r>
          </w:p>
        </w:tc>
        <w:tc>
          <w:tcPr>
            <w:tcW w:w="4261" w:type="dxa"/>
          </w:tcPr>
          <w:p w14:paraId="3CC5DFAC">
            <w:pPr>
              <w:keepNext w:val="0"/>
              <w:keepLines w:val="0"/>
              <w:widowControl/>
              <w:suppressLineNumbers w:val="0"/>
              <w:ind w:left="0" w:leftChars="0" w:right="0" w:rightChars="0" w:firstLine="0" w:firstLineChars="0"/>
              <w:jc w:val="center"/>
              <w:rPr>
                <w:rFonts w:hint="default" w:cs="Times New Roman"/>
                <w:color w:val="auto"/>
                <w:kern w:val="0"/>
                <w:sz w:val="24"/>
                <w:szCs w:val="24"/>
                <w:vertAlign w:val="baseline"/>
                <w:lang w:val="en-US" w:eastAsia="zh-CN" w:bidi="ar"/>
              </w:rPr>
            </w:pPr>
            <w:r>
              <w:rPr>
                <w:rFonts w:hint="eastAsia" w:cs="Times New Roman"/>
                <w:color w:val="auto"/>
                <w:kern w:val="0"/>
                <w:sz w:val="24"/>
                <w:szCs w:val="24"/>
                <w:vertAlign w:val="baseline"/>
                <w:lang w:val="en-US" w:eastAsia="zh-CN" w:bidi="ar"/>
              </w:rPr>
              <w:t>弃土场地貌植被</w:t>
            </w:r>
          </w:p>
        </w:tc>
      </w:tr>
    </w:tbl>
    <w:p w14:paraId="67ADC93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w:t>
      </w:r>
      <w:r>
        <w:rPr>
          <w:rFonts w:hint="default" w:ascii="Times New Roman" w:hAnsi="Times New Roman" w:cs="Times New Roman"/>
          <w:color w:val="auto"/>
          <w:kern w:val="0"/>
          <w:sz w:val="24"/>
          <w:szCs w:val="24"/>
          <w:lang w:val="en-US" w:eastAsia="zh-CN" w:bidi="ar"/>
        </w:rPr>
        <w:t>工程所在区域为低山丘陵区，</w:t>
      </w:r>
      <w:r>
        <w:rPr>
          <w:rFonts w:hint="default" w:ascii="Times New Roman" w:hAnsi="Times New Roman" w:eastAsia="宋体" w:cs="Times New Roman"/>
          <w:color w:val="auto"/>
          <w:kern w:val="0"/>
          <w:sz w:val="24"/>
          <w:szCs w:val="24"/>
          <w:lang w:val="en-US" w:eastAsia="zh-CN" w:bidi="ar"/>
        </w:rPr>
        <w:t>区域</w:t>
      </w:r>
      <w:r>
        <w:rPr>
          <w:rFonts w:hint="default" w:ascii="Times New Roman" w:hAnsi="Times New Roman" w:cs="Times New Roman"/>
          <w:color w:val="auto"/>
          <w:kern w:val="0"/>
          <w:sz w:val="24"/>
          <w:szCs w:val="24"/>
          <w:lang w:val="en-US" w:eastAsia="zh-CN" w:bidi="ar"/>
        </w:rPr>
        <w:t>内主要栖息分布着一些耐旱型野生动物，</w:t>
      </w:r>
      <w:r>
        <w:rPr>
          <w:rFonts w:hint="default" w:ascii="Times New Roman" w:hAnsi="Times New Roman" w:eastAsia="宋体" w:cs="Times New Roman"/>
          <w:color w:val="auto"/>
          <w:kern w:val="0"/>
          <w:sz w:val="24"/>
          <w:szCs w:val="24"/>
          <w:lang w:val="en-US" w:eastAsia="zh-CN" w:bidi="ar"/>
        </w:rPr>
        <w:t>现场调查时未见塔里木兔、鹅喉羚等哺乳类保护动物</w:t>
      </w:r>
      <w:r>
        <w:rPr>
          <w:rFonts w:hint="eastAsia" w:cs="Times New Roman"/>
          <w:color w:val="auto"/>
          <w:kern w:val="0"/>
          <w:sz w:val="24"/>
          <w:szCs w:val="24"/>
          <w:lang w:val="en-US" w:eastAsia="zh-CN" w:bidi="ar"/>
        </w:rPr>
        <w:t>及其粪便</w:t>
      </w:r>
      <w:r>
        <w:rPr>
          <w:rFonts w:hint="default" w:ascii="Times New Roman" w:hAnsi="Times New Roman" w:eastAsia="宋体" w:cs="Times New Roman"/>
          <w:color w:val="auto"/>
          <w:kern w:val="0"/>
          <w:sz w:val="24"/>
          <w:szCs w:val="24"/>
          <w:lang w:val="en-US" w:eastAsia="zh-CN" w:bidi="ar"/>
        </w:rPr>
        <w:t>，由于项目区地处干旱荒漠区，</w:t>
      </w:r>
      <w:r>
        <w:rPr>
          <w:rFonts w:hint="eastAsia" w:cs="Times New Roman"/>
          <w:color w:val="auto"/>
          <w:kern w:val="0"/>
          <w:sz w:val="24"/>
          <w:szCs w:val="24"/>
          <w:lang w:val="en-US" w:eastAsia="zh-CN" w:bidi="ar"/>
        </w:rPr>
        <w:t>缺少水源，</w:t>
      </w:r>
      <w:r>
        <w:rPr>
          <w:rFonts w:hint="default" w:ascii="Times New Roman" w:hAnsi="Times New Roman" w:eastAsia="宋体" w:cs="Times New Roman"/>
          <w:color w:val="auto"/>
          <w:kern w:val="0"/>
          <w:sz w:val="24"/>
          <w:szCs w:val="24"/>
          <w:lang w:val="en-US" w:eastAsia="zh-CN" w:bidi="ar"/>
        </w:rPr>
        <w:t>动物生境较差，人类活动频繁，已难见大中型的野生动物，鸟类多见麻雀、</w:t>
      </w:r>
      <w:r>
        <w:rPr>
          <w:rFonts w:hint="eastAsia" w:cs="Times New Roman"/>
          <w:color w:val="auto"/>
          <w:kern w:val="0"/>
          <w:sz w:val="24"/>
          <w:szCs w:val="24"/>
          <w:lang w:val="en-US" w:eastAsia="zh-CN" w:bidi="ar"/>
        </w:rPr>
        <w:t>沙</w:t>
      </w:r>
      <w:r>
        <w:rPr>
          <w:rFonts w:hint="default" w:ascii="Times New Roman" w:hAnsi="Times New Roman" w:eastAsia="宋体" w:cs="Times New Roman"/>
          <w:color w:val="auto"/>
          <w:kern w:val="0"/>
          <w:sz w:val="24"/>
          <w:szCs w:val="24"/>
          <w:lang w:val="en-US" w:eastAsia="zh-CN" w:bidi="ar"/>
        </w:rPr>
        <w:t>百灵、家燕、乌鸦等常见；爬行类主要是密点麻蜥等；哺乳类有子午沙鼠。</w:t>
      </w:r>
      <w:r>
        <w:rPr>
          <w:rFonts w:hint="eastAsia" w:cs="Times New Roman"/>
          <w:color w:val="auto"/>
          <w:kern w:val="0"/>
          <w:sz w:val="24"/>
          <w:szCs w:val="24"/>
          <w:lang w:val="en-US" w:eastAsia="zh-CN" w:bidi="ar"/>
        </w:rPr>
        <w:t>本项目评价范围内</w:t>
      </w:r>
      <w:r>
        <w:rPr>
          <w:rFonts w:hint="default" w:ascii="Times New Roman" w:hAnsi="Times New Roman" w:cs="Times New Roman"/>
          <w:color w:val="auto"/>
          <w:kern w:val="0"/>
          <w:sz w:val="24"/>
          <w:szCs w:val="24"/>
          <w:lang w:val="en-US" w:eastAsia="zh-CN" w:bidi="ar"/>
        </w:rPr>
        <w:t>动物的数量和密度相对较低</w:t>
      </w:r>
      <w:r>
        <w:rPr>
          <w:rFonts w:hint="default" w:ascii="Times New Roman" w:hAnsi="Times New Roman" w:eastAsia="宋体" w:cs="Times New Roman"/>
          <w:color w:val="auto"/>
          <w:kern w:val="0"/>
          <w:sz w:val="24"/>
          <w:szCs w:val="24"/>
          <w:lang w:val="en-US" w:eastAsia="zh-CN" w:bidi="ar"/>
        </w:rPr>
        <w:t>。</w:t>
      </w:r>
    </w:p>
    <w:p w14:paraId="0FA3D2FF">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4.2.5 土地利用现状</w:t>
      </w:r>
    </w:p>
    <w:p w14:paraId="7FDF305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根据遥感调查结果，采用图形叠加法对评价范围内的生态环境现状进行分析，即将遥感影像与线路进行叠加，并参照《土地利用现状分类》（GB/T 21010-2007），以确定评价范围内的土地利用类型，将成果绘制成土地利用现状图。项目区占地类型主要为其他土地—裸岩石砾地（裸岩石质地、戈壁）以及少量的建设用地及</w:t>
      </w:r>
      <w:r>
        <w:rPr>
          <w:rFonts w:hint="eastAsia" w:cs="Times New Roman"/>
          <w:color w:val="auto"/>
          <w:kern w:val="0"/>
          <w:sz w:val="24"/>
          <w:szCs w:val="24"/>
          <w:lang w:val="en-US" w:eastAsia="zh-CN" w:bidi="ar"/>
        </w:rPr>
        <w:t>园地</w:t>
      </w:r>
      <w:r>
        <w:rPr>
          <w:rFonts w:hint="default" w:ascii="Times New Roman" w:hAnsi="Times New Roman" w:eastAsia="宋体" w:cs="Times New Roman"/>
          <w:color w:val="auto"/>
          <w:kern w:val="0"/>
          <w:sz w:val="24"/>
          <w:szCs w:val="24"/>
          <w:lang w:val="en-US" w:eastAsia="zh-CN" w:bidi="ar"/>
        </w:rPr>
        <w:t>。项目土地利用现状图见图4.2-2。</w:t>
      </w:r>
    </w:p>
    <w:p w14:paraId="35192726">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4.2.6 土壤现状</w:t>
      </w:r>
    </w:p>
    <w:p w14:paraId="1D7B242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根据野外实地调查及参照《新疆土壤</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新疆土壤分布图》中的相关资料，本工程占地范围内的土壤类型主要为</w:t>
      </w:r>
      <w:r>
        <w:rPr>
          <w:rFonts w:hint="eastAsia" w:cs="Times New Roman"/>
          <w:color w:val="auto"/>
          <w:kern w:val="0"/>
          <w:sz w:val="24"/>
          <w:szCs w:val="24"/>
          <w:lang w:val="en-US" w:eastAsia="zh-CN" w:bidi="ar"/>
        </w:rPr>
        <w:t>石质土</w:t>
      </w:r>
      <w:r>
        <w:rPr>
          <w:rFonts w:hint="default" w:ascii="Times New Roman" w:hAnsi="Times New Roman" w:eastAsia="宋体" w:cs="Times New Roman"/>
          <w:color w:val="auto"/>
          <w:kern w:val="0"/>
          <w:sz w:val="24"/>
          <w:szCs w:val="24"/>
          <w:lang w:val="en-US" w:eastAsia="zh-CN" w:bidi="ar"/>
        </w:rPr>
        <w:t>、棕漠土。项目区土壤类型图见图4.2-3。</w:t>
      </w:r>
    </w:p>
    <w:p w14:paraId="0FDB2C6E">
      <w:pPr>
        <w:pStyle w:val="4"/>
        <w:bidi w:val="0"/>
        <w:rPr>
          <w:rFonts w:hint="eastAsia" w:cs="Times New Roman"/>
          <w:color w:val="auto"/>
          <w:lang w:val="en-US" w:eastAsia="zh-CN"/>
        </w:rPr>
      </w:pPr>
      <w:r>
        <w:rPr>
          <w:rFonts w:hint="default" w:ascii="Times New Roman" w:hAnsi="Times New Roman" w:cs="Times New Roman"/>
          <w:color w:val="auto"/>
          <w:lang w:val="en-US" w:eastAsia="zh-CN"/>
        </w:rPr>
        <w:t xml:space="preserve">4.2.7 </w:t>
      </w:r>
      <w:r>
        <w:rPr>
          <w:rFonts w:hint="eastAsia" w:cs="Times New Roman"/>
          <w:color w:val="auto"/>
          <w:lang w:val="en-US" w:eastAsia="zh-CN"/>
        </w:rPr>
        <w:t>沙化土地调查</w:t>
      </w:r>
    </w:p>
    <w:p w14:paraId="136CA0CE">
      <w:pPr>
        <w:rPr>
          <w:rFonts w:hint="default" w:cs="Times New Roman"/>
          <w:color w:val="auto"/>
          <w:lang w:val="en-US" w:eastAsia="zh-CN"/>
        </w:rPr>
      </w:pPr>
      <w:r>
        <w:rPr>
          <w:rFonts w:hint="eastAsia" w:cs="Times New Roman"/>
          <w:color w:val="auto"/>
          <w:lang w:val="en-US" w:eastAsia="zh-CN"/>
        </w:rPr>
        <w:t>根据《新疆第六次沙化监测报告》，监测结果显示：新疆沙化土地面积7468.21万公顷，占监测区总面积47.60%，具有明显沙化趋势的土地面积437.96万公顷，占监测区总面积2.79%，非沙化土地面积7782.95万公顷，占监测区总面积49.61%。本项目位于阿图什市、喀什市境内，本项目占地类型为其他土地—裸岩石砾地（裸岩石质地、戈壁）以及少量的建设用地及农用地，项目占地属于非沙化土地。项目所在区属于荒漠区，根据现场调查基本处于戈壁状态，植被覆盖度较少。本项目与塔克拉玛干沙漠位置关系见图4.2-1。</w:t>
      </w:r>
    </w:p>
    <w:p w14:paraId="140ECD8F">
      <w:pPr>
        <w:rPr>
          <w:rFonts w:hint="eastAsia" w:cs="Times New Roman"/>
          <w:color w:val="auto"/>
          <w:lang w:val="en-US" w:eastAsia="zh-CN"/>
        </w:rPr>
      </w:pPr>
    </w:p>
    <w:p w14:paraId="7D2E2D6E">
      <w:pPr>
        <w:rPr>
          <w:rFonts w:hint="eastAsia" w:cs="Times New Roman"/>
          <w:color w:val="auto"/>
          <w:lang w:val="en-US" w:eastAsia="zh-CN"/>
        </w:rPr>
        <w:sectPr>
          <w:pgSz w:w="11906" w:h="16838"/>
          <w:pgMar w:top="1440" w:right="1800" w:bottom="1440" w:left="1800" w:header="567" w:footer="737" w:gutter="0"/>
          <w:pgBorders>
            <w:top w:val="none" w:sz="0" w:space="0"/>
            <w:left w:val="none" w:sz="0" w:space="0"/>
            <w:bottom w:val="none" w:sz="0" w:space="0"/>
            <w:right w:val="none" w:sz="0" w:space="0"/>
          </w:pgBorders>
          <w:pgNumType w:fmt="decimal"/>
          <w:cols w:space="720" w:num="1"/>
          <w:docGrid w:type="linesAndChars" w:linePitch="333" w:charSpace="200"/>
        </w:sectPr>
      </w:pPr>
    </w:p>
    <w:p w14:paraId="60844832">
      <w:pPr>
        <w:rPr>
          <w:rFonts w:hint="default" w:cs="Times New Roman"/>
          <w:color w:val="auto"/>
          <w:lang w:val="en-US" w:eastAsia="zh-CN"/>
        </w:rPr>
      </w:pPr>
      <w:r>
        <w:rPr>
          <w:rFonts w:hint="default" w:cs="Times New Roman"/>
          <w:color w:val="auto"/>
          <w:lang w:val="en-US" w:eastAsia="zh-CN"/>
        </w:rPr>
        <w:drawing>
          <wp:anchor distT="0" distB="0" distL="114300" distR="114300" simplePos="0" relativeHeight="251681792" behindDoc="1" locked="0" layoutInCell="1" allowOverlap="1">
            <wp:simplePos x="0" y="0"/>
            <wp:positionH relativeFrom="column">
              <wp:posOffset>560070</wp:posOffset>
            </wp:positionH>
            <wp:positionV relativeFrom="paragraph">
              <wp:posOffset>-198120</wp:posOffset>
            </wp:positionV>
            <wp:extent cx="7709535" cy="5452110"/>
            <wp:effectExtent l="0" t="0" r="5715" b="15240"/>
            <wp:wrapNone/>
            <wp:docPr id="30" name="图片 30" descr="c7780b25b32e4116c3a6cd47293219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7780b25b32e4116c3a6cd47293219c9"/>
                    <pic:cNvPicPr>
                      <a:picLocks noChangeAspect="1"/>
                    </pic:cNvPicPr>
                  </pic:nvPicPr>
                  <pic:blipFill>
                    <a:blip r:embed="rId50"/>
                    <a:stretch>
                      <a:fillRect/>
                    </a:stretch>
                  </pic:blipFill>
                  <pic:spPr>
                    <a:xfrm>
                      <a:off x="0" y="0"/>
                      <a:ext cx="7709535" cy="5452110"/>
                    </a:xfrm>
                    <a:prstGeom prst="rect">
                      <a:avLst/>
                    </a:prstGeom>
                  </pic:spPr>
                </pic:pic>
              </a:graphicData>
            </a:graphic>
          </wp:anchor>
        </w:drawing>
      </w:r>
    </w:p>
    <w:p w14:paraId="59AF1BB5">
      <w:pPr>
        <w:rPr>
          <w:rFonts w:hint="default" w:cs="Times New Roman"/>
          <w:color w:val="auto"/>
          <w:lang w:val="en-US" w:eastAsia="zh-CN"/>
        </w:rPr>
      </w:pPr>
    </w:p>
    <w:p w14:paraId="2BC25495">
      <w:pPr>
        <w:rPr>
          <w:rFonts w:hint="default" w:cs="Times New Roman"/>
          <w:color w:val="auto"/>
          <w:lang w:val="en-US" w:eastAsia="zh-CN"/>
        </w:rPr>
        <w:sectPr>
          <w:pgSz w:w="16838" w:h="11906" w:orient="landscape"/>
          <w:pgMar w:top="1800" w:right="1440" w:bottom="1800" w:left="1440" w:header="567" w:footer="737" w:gutter="0"/>
          <w:pgBorders>
            <w:top w:val="none" w:sz="0" w:space="0"/>
            <w:left w:val="none" w:sz="0" w:space="0"/>
            <w:bottom w:val="none" w:sz="0" w:space="0"/>
            <w:right w:val="none" w:sz="0" w:space="0"/>
          </w:pgBorders>
          <w:pgNumType w:fmt="decimal"/>
          <w:cols w:space="720" w:num="1"/>
          <w:docGrid w:type="linesAndChars" w:linePitch="333" w:charSpace="200"/>
        </w:sectPr>
      </w:pPr>
      <w:r>
        <w:rPr>
          <w:color w:val="auto"/>
          <w:sz w:val="24"/>
        </w:rPr>
        <mc:AlternateContent>
          <mc:Choice Requires="wps">
            <w:drawing>
              <wp:anchor distT="0" distB="0" distL="114300" distR="114300" simplePos="0" relativeHeight="251679744" behindDoc="0" locked="0" layoutInCell="1" allowOverlap="1">
                <wp:simplePos x="0" y="0"/>
                <wp:positionH relativeFrom="column">
                  <wp:posOffset>2526030</wp:posOffset>
                </wp:positionH>
                <wp:positionV relativeFrom="paragraph">
                  <wp:posOffset>1189355</wp:posOffset>
                </wp:positionV>
                <wp:extent cx="889000" cy="572135"/>
                <wp:effectExtent l="13970" t="13970" r="30480" b="918845"/>
                <wp:wrapNone/>
                <wp:docPr id="73" name="圆角矩形标注 73"/>
                <wp:cNvGraphicFramePr/>
                <a:graphic xmlns:a="http://schemas.openxmlformats.org/drawingml/2006/main">
                  <a:graphicData uri="http://schemas.microsoft.com/office/word/2010/wordprocessingShape">
                    <wps:wsp>
                      <wps:cNvSpPr/>
                      <wps:spPr>
                        <a:xfrm>
                          <a:off x="2417445" y="2960370"/>
                          <a:ext cx="889000" cy="572135"/>
                        </a:xfrm>
                        <a:prstGeom prst="wedgeRoundRectCallout">
                          <a:avLst>
                            <a:gd name="adj1" fmla="val -47571"/>
                            <a:gd name="adj2" fmla="val 205826"/>
                            <a:gd name="adj3" fmla="val 16667"/>
                          </a:avLst>
                        </a:prstGeom>
                        <a:noFill/>
                        <a:ln w="285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18AB6E6">
                            <w:pPr>
                              <w:ind w:left="0" w:leftChars="0" w:firstLine="0" w:firstLineChars="0"/>
                              <w:jc w:val="both"/>
                              <w:rPr>
                                <w:rFonts w:hint="default" w:eastAsia="宋体"/>
                                <w:lang w:val="en-US" w:eastAsia="zh-CN"/>
                              </w:rPr>
                            </w:pPr>
                            <w:r>
                              <w:rPr>
                                <w:rFonts w:hint="eastAsia"/>
                                <w:b/>
                                <w:bCs/>
                                <w:color w:val="FF0000"/>
                                <w:sz w:val="32"/>
                                <w:szCs w:val="32"/>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98.9pt;margin-top:93.65pt;height:45.05pt;width:70pt;z-index:251679744;v-text-anchor:middle;mso-width-relative:page;mso-height-relative:page;" filled="f" stroked="t" coordsize="21600,21600" o:gfxdata="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At2mgH2QAAAAsB&#10;AAAPAAAAAAAAAAEAIAAAACIAAABkcnMvZG93bnJldi54bWxQSwECFAAUAAAACACHTuJAIS8sNsUC&#10;AABgBQAADgAAAAAAAAABACAAAAAoAQAAZHJzL2Uyb0RvYy54bWxQSwUGAAAAAAYABgBZAQAAXwYA&#10;AAAA&#10;" adj="525,55258,14400">
                <v:fill on="f" focussize="0,0"/>
                <v:stroke weight="2.25pt" color="#FF0000 [2404]" joinstyle="round"/>
                <v:imagedata o:title=""/>
                <o:lock v:ext="edit" aspectratio="f"/>
                <v:textbox>
                  <w:txbxContent>
                    <w:p w14:paraId="718AB6E6">
                      <w:pPr>
                        <w:ind w:left="0" w:leftChars="0" w:firstLine="0" w:firstLineChars="0"/>
                        <w:jc w:val="both"/>
                        <w:rPr>
                          <w:rFonts w:hint="default" w:eastAsia="宋体"/>
                          <w:lang w:val="en-US" w:eastAsia="zh-CN"/>
                        </w:rPr>
                      </w:pPr>
                      <w:r>
                        <w:rPr>
                          <w:rFonts w:hint="eastAsia"/>
                          <w:b/>
                          <w:bCs/>
                          <w:color w:val="FF0000"/>
                          <w:sz w:val="32"/>
                          <w:szCs w:val="32"/>
                          <w:lang w:val="en-US" w:eastAsia="zh-CN"/>
                        </w:rPr>
                        <w:t>本项目</w:t>
                      </w:r>
                    </w:p>
                  </w:txbxContent>
                </v:textbox>
              </v:shape>
            </w:pict>
          </mc:Fallback>
        </mc:AlternateContent>
      </w:r>
      <w:r>
        <w:rPr>
          <w:color w:val="auto"/>
          <w:sz w:val="24"/>
        </w:rPr>
        <mc:AlternateContent>
          <mc:Choice Requires="wps">
            <w:drawing>
              <wp:anchor distT="0" distB="0" distL="114300" distR="114300" simplePos="0" relativeHeight="251680768" behindDoc="0" locked="0" layoutInCell="1" allowOverlap="1">
                <wp:simplePos x="0" y="0"/>
                <wp:positionH relativeFrom="column">
                  <wp:posOffset>2788920</wp:posOffset>
                </wp:positionH>
                <wp:positionV relativeFrom="paragraph">
                  <wp:posOffset>4761865</wp:posOffset>
                </wp:positionV>
                <wp:extent cx="3723005" cy="325755"/>
                <wp:effectExtent l="0" t="0" r="0" b="0"/>
                <wp:wrapNone/>
                <wp:docPr id="75" name="文本框 75"/>
                <wp:cNvGraphicFramePr/>
                <a:graphic xmlns:a="http://schemas.openxmlformats.org/drawingml/2006/main">
                  <a:graphicData uri="http://schemas.microsoft.com/office/word/2010/wordprocessingShape">
                    <wps:wsp>
                      <wps:cNvSpPr txBox="1"/>
                      <wps:spPr>
                        <a:xfrm>
                          <a:off x="4004945" y="6517005"/>
                          <a:ext cx="3723005" cy="3257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FD1942">
                            <w:pPr>
                              <w:ind w:left="0" w:leftChars="0" w:right="0" w:rightChars="0" w:firstLine="0" w:firstLineChars="0"/>
                              <w:jc w:val="center"/>
                              <w:rPr>
                                <w:rFonts w:hint="default" w:eastAsia="宋体"/>
                                <w:lang w:val="en-US" w:eastAsia="zh-CN"/>
                              </w:rPr>
                            </w:pPr>
                            <w:r>
                              <w:rPr>
                                <w:rFonts w:hint="eastAsia"/>
                                <w:b/>
                                <w:bCs/>
                                <w:lang w:val="en-US" w:eastAsia="zh-CN"/>
                              </w:rPr>
                              <w:t>图4.2-1  项目与塔克拉玛干沙漠位置关系</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9.6pt;margin-top:374.95pt;height:25.65pt;width:293.15pt;z-index:251680768;mso-width-relative:page;mso-height-relative:page;" filled="f" stroked="f" coordsize="21600,21600" o:gfxdata="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uK+8+3QAAAAwBAAAPAAAA&#10;AAAAAAEAIAAAACIAAABkcnMvZG93bnJldi54bWxQSwECFAAUAAAACACHTuJA8bQedUkCAAB0BAAA&#10;DgAAAAAAAAABACAAAAAsAQAAZHJzL2Uyb0RvYy54bWxQSwUGAAAAAAYABgBZAQAA5wUAAAAA&#10;">
                <v:fill on="f" focussize="0,0"/>
                <v:stroke on="f" weight="0.5pt"/>
                <v:imagedata o:title=""/>
                <o:lock v:ext="edit" aspectratio="f"/>
                <v:textbox>
                  <w:txbxContent>
                    <w:p w14:paraId="7FFD1942">
                      <w:pPr>
                        <w:ind w:left="0" w:leftChars="0" w:right="0" w:rightChars="0" w:firstLine="0" w:firstLineChars="0"/>
                        <w:jc w:val="center"/>
                        <w:rPr>
                          <w:rFonts w:hint="default" w:eastAsia="宋体"/>
                          <w:lang w:val="en-US" w:eastAsia="zh-CN"/>
                        </w:rPr>
                      </w:pPr>
                      <w:r>
                        <w:rPr>
                          <w:rFonts w:hint="eastAsia"/>
                          <w:b/>
                          <w:bCs/>
                          <w:lang w:val="en-US" w:eastAsia="zh-CN"/>
                        </w:rPr>
                        <w:t>图4.2-1  项目与塔克拉玛干沙漠位置关系</w:t>
                      </w:r>
                    </w:p>
                  </w:txbxContent>
                </v:textbox>
              </v:shape>
            </w:pict>
          </mc:Fallback>
        </mc:AlternateContent>
      </w:r>
    </w:p>
    <w:p w14:paraId="23C2F2C6">
      <w:pPr>
        <w:pStyle w:val="4"/>
        <w:bidi w:val="0"/>
        <w:rPr>
          <w:rFonts w:hint="default" w:ascii="Times New Roman" w:hAnsi="Times New Roman" w:cs="Times New Roman"/>
          <w:color w:val="auto"/>
        </w:rPr>
      </w:pPr>
      <w:r>
        <w:rPr>
          <w:rFonts w:hint="eastAsia" w:cs="Times New Roman"/>
          <w:color w:val="auto"/>
          <w:lang w:val="en-US" w:eastAsia="zh-CN"/>
        </w:rPr>
        <w:t>4.2.8</w:t>
      </w:r>
      <w:r>
        <w:rPr>
          <w:rFonts w:hint="default" w:ascii="Times New Roman" w:hAnsi="Times New Roman" w:cs="Times New Roman"/>
          <w:color w:val="auto"/>
          <w:lang w:val="en-US" w:eastAsia="zh-CN"/>
        </w:rPr>
        <w:t>水土流失现状调查</w:t>
      </w:r>
    </w:p>
    <w:p w14:paraId="7CB28311">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根据《全国水土保持规划国家级水土流失重点预防区和重点治理区复核划分成果》，项目建设区不属于国家级水土流失重点预防区。根据《关于印发新疆自治区级水土流失重点预防区和重点治理区复核划分成果的通知》（新水水保</w:t>
      </w:r>
      <w:r>
        <w:rPr>
          <w:rFonts w:hint="default" w:ascii="Times New Roman" w:hAnsi="Times New Roman" w:cs="Times New Roman"/>
          <w:color w:val="auto"/>
          <w:kern w:val="0"/>
          <w:sz w:val="24"/>
          <w:szCs w:val="24"/>
          <w:lang w:val="en-US" w:eastAsia="zh-CN" w:bidi="ar"/>
        </w:rPr>
        <w:t>〔2019〕4号</w:t>
      </w:r>
      <w:r>
        <w:rPr>
          <w:rFonts w:hint="default" w:ascii="Times New Roman" w:hAnsi="Times New Roman" w:eastAsia="宋体" w:cs="Times New Roman"/>
          <w:color w:val="auto"/>
          <w:kern w:val="0"/>
          <w:sz w:val="24"/>
          <w:szCs w:val="24"/>
          <w:lang w:val="en-US" w:eastAsia="zh-CN" w:bidi="ar"/>
        </w:rPr>
        <w:t>），项目建设区属于自治区级塔里木河流域重点治理区水土流失重点治理区。根据《土壤侵蚀分类分级标准》（SL</w:t>
      </w:r>
      <w:r>
        <w:rPr>
          <w:rFonts w:hint="default" w:ascii="Times New Roman" w:hAnsi="Times New Roman" w:cs="Times New Roman"/>
          <w:color w:val="auto"/>
          <w:kern w:val="0"/>
          <w:sz w:val="24"/>
          <w:szCs w:val="24"/>
          <w:lang w:val="en-US" w:eastAsia="zh-CN" w:bidi="ar"/>
        </w:rPr>
        <w:t xml:space="preserve"> </w:t>
      </w:r>
      <w:r>
        <w:rPr>
          <w:rFonts w:hint="default" w:ascii="Times New Roman" w:hAnsi="Times New Roman" w:eastAsia="宋体" w:cs="Times New Roman"/>
          <w:color w:val="auto"/>
          <w:kern w:val="0"/>
          <w:sz w:val="24"/>
          <w:szCs w:val="24"/>
          <w:lang w:val="en-US" w:eastAsia="zh-CN" w:bidi="ar"/>
        </w:rPr>
        <w:t>190-2007）和《生产建设项目水土流失防治标准》（GB 50434-2018）的相关规定，确定项目属于北方风沙区。</w:t>
      </w:r>
    </w:p>
    <w:p w14:paraId="4F2705D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遵照《土壤侵蚀分类分级标准》（SL</w:t>
      </w:r>
      <w:r>
        <w:rPr>
          <w:rFonts w:hint="default" w:ascii="Times New Roman" w:hAnsi="Times New Roman" w:cs="Times New Roman"/>
          <w:color w:val="auto"/>
          <w:kern w:val="0"/>
          <w:sz w:val="24"/>
          <w:szCs w:val="24"/>
          <w:lang w:val="en-US" w:eastAsia="zh-CN" w:bidi="ar"/>
        </w:rPr>
        <w:t xml:space="preserve"> </w:t>
      </w:r>
      <w:r>
        <w:rPr>
          <w:rFonts w:hint="default" w:ascii="Times New Roman" w:hAnsi="Times New Roman" w:eastAsia="宋体" w:cs="Times New Roman"/>
          <w:color w:val="auto"/>
          <w:kern w:val="0"/>
          <w:sz w:val="24"/>
          <w:szCs w:val="24"/>
          <w:lang w:val="en-US" w:eastAsia="zh-CN" w:bidi="ar"/>
        </w:rPr>
        <w:t>190-2007），结合项目区水土流失调查现状，项目区</w:t>
      </w:r>
      <w:r>
        <w:rPr>
          <w:rFonts w:hint="default" w:ascii="Times New Roman" w:hAnsi="Times New Roman" w:eastAsia="宋体" w:cs="Times New Roman"/>
          <w:color w:val="auto"/>
          <w:kern w:val="0"/>
          <w:sz w:val="24"/>
          <w:szCs w:val="24"/>
          <w:highlight w:val="none"/>
          <w:lang w:val="en-US" w:eastAsia="zh-CN" w:bidi="ar"/>
        </w:rPr>
        <w:t>为轻度风力侵蚀。项</w:t>
      </w:r>
      <w:r>
        <w:rPr>
          <w:rFonts w:hint="default" w:ascii="Times New Roman" w:hAnsi="Times New Roman" w:eastAsia="宋体" w:cs="Times New Roman"/>
          <w:color w:val="auto"/>
          <w:kern w:val="0"/>
          <w:sz w:val="24"/>
          <w:szCs w:val="24"/>
          <w:lang w:val="en-US" w:eastAsia="zh-CN" w:bidi="ar"/>
        </w:rPr>
        <w:t>目区荒漠戈壁区原生地貌土壤侵蚀模数为1800t/km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·a，土壤容许流失量确定为1800t/km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·a。项目区山前冲积扇区原生地貌土壤侵蚀模数为2000t/km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·a，土壤容许流失量确定为2000t/km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·a。</w:t>
      </w:r>
    </w:p>
    <w:p w14:paraId="6A7C875B">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4.2.</w:t>
      </w:r>
      <w:r>
        <w:rPr>
          <w:rFonts w:hint="eastAsia" w:cs="Times New Roman"/>
          <w:color w:val="auto"/>
          <w:lang w:val="en-US" w:eastAsia="zh-CN"/>
        </w:rPr>
        <w:t>9</w:t>
      </w:r>
      <w:r>
        <w:rPr>
          <w:rFonts w:hint="default" w:ascii="Times New Roman" w:hAnsi="Times New Roman" w:cs="Times New Roman"/>
          <w:color w:val="auto"/>
          <w:lang w:val="en-US" w:eastAsia="zh-CN"/>
        </w:rPr>
        <w:t xml:space="preserve"> 生态环境现状评价小结</w:t>
      </w:r>
    </w:p>
    <w:p w14:paraId="731685D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根据《新疆生态功能区划》，本工程沿线地区均属Ⅳ塔里木盆地暖温荒漠及绿洲农业生态区，Ⅳ1 塔里木盆地西部、北部荒漠及绿洲农业生态亚区，57.喀什三角洲绿洲农业盐渍化敏感生态功能区，项目占地范围内植被主要为人工植被，林木主要为杨树、榆树、柳树，农田主要种植玉米、棉花，该区的动物以中亚耐旱型种类为主，由于项目区地处干旱荒漠区，动物生境较差，所以动物的数量和密度相对较低。</w:t>
      </w:r>
    </w:p>
    <w:p w14:paraId="09068B5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本工程评价范围内无自然保护区、风景名胜区、水源保护区等生态特殊敏感区。</w:t>
      </w:r>
    </w:p>
    <w:p w14:paraId="0DE44BA8">
      <w:pPr>
        <w:pStyle w:val="3"/>
        <w:numPr>
          <w:ilvl w:val="1"/>
          <w:numId w:val="0"/>
        </w:numPr>
        <w:bidi w:val="0"/>
        <w:rPr>
          <w:rFonts w:hint="default" w:ascii="Times New Roman" w:hAnsi="Times New Roman" w:cs="Times New Roman"/>
          <w:color w:val="auto"/>
        </w:rPr>
      </w:pPr>
      <w:bookmarkStart w:id="1014" w:name="_Toc24541"/>
      <w:bookmarkStart w:id="1015" w:name="_Toc4890"/>
      <w:bookmarkStart w:id="1016" w:name="_Toc15913"/>
      <w:bookmarkStart w:id="1017" w:name="_Toc19005"/>
      <w:bookmarkStart w:id="1018" w:name="_Toc17554"/>
      <w:bookmarkStart w:id="1019" w:name="_Toc9781"/>
      <w:bookmarkStart w:id="1020" w:name="_Toc32293"/>
      <w:bookmarkStart w:id="1021" w:name="_Toc10231"/>
      <w:bookmarkStart w:id="1022" w:name="_Toc6051"/>
      <w:bookmarkStart w:id="1023" w:name="_Toc1890"/>
      <w:r>
        <w:rPr>
          <w:rFonts w:hint="default" w:ascii="Times New Roman" w:hAnsi="Times New Roman" w:cs="Times New Roman"/>
          <w:color w:val="auto"/>
          <w:lang w:val="en-US" w:eastAsia="zh-CN"/>
        </w:rPr>
        <w:t>4.3 环境空气现状调查及评价</w:t>
      </w:r>
      <w:bookmarkEnd w:id="1014"/>
      <w:bookmarkEnd w:id="1015"/>
      <w:bookmarkEnd w:id="1016"/>
      <w:bookmarkEnd w:id="1017"/>
      <w:bookmarkEnd w:id="1018"/>
      <w:bookmarkEnd w:id="1019"/>
      <w:bookmarkEnd w:id="1020"/>
      <w:bookmarkEnd w:id="1021"/>
      <w:bookmarkEnd w:id="1022"/>
      <w:bookmarkEnd w:id="1023"/>
    </w:p>
    <w:p w14:paraId="740CD9CE">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cs="Times New Roman"/>
          <w:color w:val="auto"/>
          <w:sz w:val="24"/>
        </w:rPr>
        <w:t>根据《环境影响评价技术导则-大气环境》（HJ 2.2-2018），为了解项目区环境空气质量现状，本项目</w:t>
      </w:r>
      <w:r>
        <w:rPr>
          <w:rFonts w:hint="default" w:ascii="Times New Roman" w:hAnsi="Times New Roman" w:eastAsia="宋体" w:cs="Times New Roman"/>
          <w:color w:val="auto"/>
          <w:sz w:val="24"/>
          <w:szCs w:val="24"/>
          <w:lang w:val="en-US" w:eastAsia="zh-CN"/>
        </w:rPr>
        <w:t>采用环境空气质量模型技术支持服务系统（http://data.lem.org.cn/eamds/apply/tostepone.html#）公开发布的202</w:t>
      </w:r>
      <w:r>
        <w:rPr>
          <w:rFonts w:hint="default" w:ascii="Times New Roman" w:hAnsi="Times New Roman" w:cs="Times New Roman"/>
          <w:color w:val="auto"/>
          <w:sz w:val="24"/>
          <w:szCs w:val="24"/>
          <w:lang w:val="en-US" w:eastAsia="zh-CN"/>
        </w:rPr>
        <w:t>4</w:t>
      </w:r>
      <w:r>
        <w:rPr>
          <w:rFonts w:hint="default" w:ascii="Times New Roman" w:hAnsi="Times New Roman" w:eastAsia="宋体" w:cs="Times New Roman"/>
          <w:color w:val="auto"/>
          <w:sz w:val="24"/>
          <w:szCs w:val="24"/>
          <w:lang w:val="en-US" w:eastAsia="zh-CN"/>
        </w:rPr>
        <w:t>年的统计数据，数据源自新疆喀什地区的国控监测点位，</w:t>
      </w:r>
      <w:r>
        <w:rPr>
          <w:rFonts w:hint="default" w:ascii="Times New Roman" w:hAnsi="Times New Roman" w:cs="Times New Roman"/>
          <w:color w:val="auto"/>
          <w:sz w:val="24"/>
        </w:rPr>
        <w:t>数据从时间和空间上均符合H.J</w:t>
      </w:r>
      <w:r>
        <w:rPr>
          <w:rFonts w:hint="default" w:ascii="Times New Roman" w:hAnsi="Times New Roman" w:cs="Times New Roman"/>
          <w:color w:val="auto"/>
          <w:sz w:val="24"/>
          <w:lang w:val="en-US" w:eastAsia="zh-CN"/>
        </w:rPr>
        <w:t xml:space="preserve"> </w:t>
      </w:r>
      <w:r>
        <w:rPr>
          <w:rFonts w:hint="default" w:ascii="Times New Roman" w:hAnsi="Times New Roman" w:cs="Times New Roman"/>
          <w:color w:val="auto"/>
          <w:sz w:val="24"/>
        </w:rPr>
        <w:t>2.2-2018要求。本项目所在区域空气质量现状监测数据统计见</w:t>
      </w:r>
      <w:r>
        <w:rPr>
          <w:rFonts w:hint="default" w:ascii="Times New Roman" w:hAnsi="Times New Roman" w:eastAsia="宋体" w:cs="Times New Roman"/>
          <w:color w:val="auto"/>
          <w:kern w:val="0"/>
          <w:sz w:val="24"/>
          <w:szCs w:val="24"/>
          <w:lang w:val="en-US" w:eastAsia="zh-CN" w:bidi="ar"/>
        </w:rPr>
        <w:t>表4.3-1。</w:t>
      </w:r>
    </w:p>
    <w:p w14:paraId="0FF7ABAC">
      <w:pPr>
        <w:pStyle w:val="38"/>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60" w:lineRule="auto"/>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表</w:t>
      </w:r>
      <w:r>
        <w:rPr>
          <w:rFonts w:hint="default" w:ascii="Times New Roman" w:hAnsi="Times New Roman" w:cs="Times New Roman"/>
          <w:b/>
          <w:color w:val="auto"/>
          <w:sz w:val="21"/>
          <w:szCs w:val="21"/>
          <w:lang w:val="en-US" w:eastAsia="zh-CN"/>
        </w:rPr>
        <w:t>4.</w:t>
      </w:r>
      <w:r>
        <w:rPr>
          <w:rFonts w:hint="default" w:ascii="Times New Roman" w:hAnsi="Times New Roman" w:cs="Times New Roman"/>
          <w:b/>
          <w:color w:val="auto"/>
          <w:sz w:val="21"/>
          <w:szCs w:val="21"/>
        </w:rPr>
        <w:t xml:space="preserve">3-1  </w:t>
      </w:r>
      <w:r>
        <w:rPr>
          <w:rFonts w:hint="default" w:ascii="Times New Roman" w:hAnsi="Times New Roman" w:cs="Times New Roman"/>
          <w:b/>
          <w:color w:val="auto"/>
          <w:sz w:val="21"/>
          <w:szCs w:val="21"/>
          <w:lang w:val="en-US" w:eastAsia="zh-CN"/>
        </w:rPr>
        <w:t>喀什地区</w:t>
      </w:r>
      <w:r>
        <w:rPr>
          <w:rFonts w:hint="default" w:ascii="Times New Roman" w:hAnsi="Times New Roman" w:cs="Times New Roman"/>
          <w:b/>
          <w:color w:val="auto"/>
          <w:sz w:val="21"/>
          <w:szCs w:val="21"/>
        </w:rPr>
        <w:t>空气质量现状监测数据统计表</w:t>
      </w:r>
    </w:p>
    <w:tbl>
      <w:tblPr>
        <w:tblStyle w:val="30"/>
        <w:tblW w:w="4998"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28" w:type="dxa"/>
          <w:bottom w:w="0" w:type="dxa"/>
          <w:right w:w="28" w:type="dxa"/>
        </w:tblCellMar>
      </w:tblPr>
      <w:tblGrid>
        <w:gridCol w:w="1339"/>
        <w:gridCol w:w="1477"/>
        <w:gridCol w:w="1660"/>
        <w:gridCol w:w="1661"/>
        <w:gridCol w:w="1108"/>
        <w:gridCol w:w="1114"/>
      </w:tblGrid>
      <w:tr w14:paraId="7C827E8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0" w:hRule="atLeast"/>
          <w:jc w:val="center"/>
        </w:trPr>
        <w:tc>
          <w:tcPr>
            <w:tcW w:w="800" w:type="pct"/>
            <w:vMerge w:val="restart"/>
            <w:tcBorders>
              <w:tl2br w:val="nil"/>
              <w:tr2bl w:val="nil"/>
            </w:tcBorders>
            <w:noWrap w:val="0"/>
            <w:vAlign w:val="center"/>
          </w:tcPr>
          <w:p w14:paraId="7ACCBE82">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评价因子</w:t>
            </w:r>
          </w:p>
        </w:tc>
        <w:tc>
          <w:tcPr>
            <w:tcW w:w="883" w:type="pct"/>
            <w:vMerge w:val="restart"/>
            <w:tcBorders>
              <w:tl2br w:val="nil"/>
              <w:tr2bl w:val="nil"/>
            </w:tcBorders>
            <w:noWrap w:val="0"/>
            <w:vAlign w:val="center"/>
          </w:tcPr>
          <w:p w14:paraId="049F492C">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年度评价指标</w:t>
            </w:r>
          </w:p>
        </w:tc>
        <w:tc>
          <w:tcPr>
            <w:tcW w:w="992" w:type="pct"/>
            <w:vMerge w:val="restart"/>
            <w:tcBorders>
              <w:tl2br w:val="nil"/>
              <w:tr2bl w:val="nil"/>
            </w:tcBorders>
            <w:noWrap w:val="0"/>
            <w:vAlign w:val="center"/>
          </w:tcPr>
          <w:p w14:paraId="394AB51E">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现状浓度μg/m</w:t>
            </w:r>
            <w:r>
              <w:rPr>
                <w:rFonts w:hint="default" w:ascii="Times New Roman" w:hAnsi="Times New Roman" w:cs="Times New Roman"/>
                <w:color w:val="auto"/>
                <w:kern w:val="0"/>
                <w:sz w:val="21"/>
                <w:szCs w:val="21"/>
                <w:vertAlign w:val="superscript"/>
              </w:rPr>
              <w:t>3</w:t>
            </w:r>
          </w:p>
        </w:tc>
        <w:tc>
          <w:tcPr>
            <w:tcW w:w="993" w:type="pct"/>
            <w:vMerge w:val="restart"/>
            <w:tcBorders>
              <w:tl2br w:val="nil"/>
              <w:tr2bl w:val="nil"/>
            </w:tcBorders>
            <w:noWrap w:val="0"/>
            <w:vAlign w:val="center"/>
          </w:tcPr>
          <w:p w14:paraId="35DEA012">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评价标准μg/m</w:t>
            </w:r>
            <w:r>
              <w:rPr>
                <w:rFonts w:hint="default" w:ascii="Times New Roman" w:hAnsi="Times New Roman" w:cs="Times New Roman"/>
                <w:color w:val="auto"/>
                <w:kern w:val="0"/>
                <w:sz w:val="21"/>
                <w:szCs w:val="21"/>
                <w:vertAlign w:val="superscript"/>
              </w:rPr>
              <w:t>3</w:t>
            </w:r>
          </w:p>
        </w:tc>
        <w:tc>
          <w:tcPr>
            <w:tcW w:w="662" w:type="pct"/>
            <w:vMerge w:val="restart"/>
            <w:tcBorders>
              <w:tl2br w:val="nil"/>
              <w:tr2bl w:val="nil"/>
            </w:tcBorders>
            <w:noWrap w:val="0"/>
            <w:vAlign w:val="center"/>
          </w:tcPr>
          <w:p w14:paraId="028169D0">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占标率/%</w:t>
            </w:r>
          </w:p>
        </w:tc>
        <w:tc>
          <w:tcPr>
            <w:tcW w:w="666" w:type="pct"/>
            <w:vMerge w:val="restart"/>
            <w:tcBorders>
              <w:tl2br w:val="nil"/>
              <w:tr2bl w:val="nil"/>
            </w:tcBorders>
            <w:noWrap w:val="0"/>
            <w:vAlign w:val="center"/>
          </w:tcPr>
          <w:p w14:paraId="5E00BB1C">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达标情况</w:t>
            </w:r>
          </w:p>
        </w:tc>
      </w:tr>
      <w:tr w14:paraId="445AC7F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2" w:hRule="atLeast"/>
          <w:jc w:val="center"/>
        </w:trPr>
        <w:tc>
          <w:tcPr>
            <w:tcW w:w="800" w:type="pct"/>
            <w:vMerge w:val="continue"/>
            <w:tcBorders>
              <w:tl2br w:val="nil"/>
              <w:tr2bl w:val="nil"/>
            </w:tcBorders>
            <w:noWrap w:val="0"/>
            <w:vAlign w:val="center"/>
          </w:tcPr>
          <w:p w14:paraId="2BDB08E1">
            <w:pPr>
              <w:adjustRightInd/>
              <w:snapToGrid/>
              <w:spacing w:line="240" w:lineRule="auto"/>
              <w:ind w:firstLine="0" w:firstLineChars="0"/>
              <w:jc w:val="center"/>
              <w:rPr>
                <w:rFonts w:hint="default" w:ascii="Times New Roman" w:hAnsi="Times New Roman" w:cs="Times New Roman"/>
                <w:color w:val="auto"/>
                <w:kern w:val="0"/>
                <w:sz w:val="21"/>
                <w:szCs w:val="21"/>
              </w:rPr>
            </w:pPr>
          </w:p>
        </w:tc>
        <w:tc>
          <w:tcPr>
            <w:tcW w:w="883" w:type="pct"/>
            <w:vMerge w:val="continue"/>
            <w:tcBorders>
              <w:tl2br w:val="nil"/>
              <w:tr2bl w:val="nil"/>
            </w:tcBorders>
            <w:noWrap w:val="0"/>
            <w:vAlign w:val="center"/>
          </w:tcPr>
          <w:p w14:paraId="181635A4">
            <w:pPr>
              <w:adjustRightInd/>
              <w:snapToGrid/>
              <w:spacing w:line="240" w:lineRule="auto"/>
              <w:ind w:firstLine="0" w:firstLineChars="0"/>
              <w:jc w:val="center"/>
              <w:rPr>
                <w:rFonts w:hint="default" w:ascii="Times New Roman" w:hAnsi="Times New Roman" w:cs="Times New Roman"/>
                <w:color w:val="auto"/>
                <w:kern w:val="0"/>
                <w:sz w:val="21"/>
                <w:szCs w:val="21"/>
              </w:rPr>
            </w:pPr>
          </w:p>
        </w:tc>
        <w:tc>
          <w:tcPr>
            <w:tcW w:w="992" w:type="pct"/>
            <w:vMerge w:val="continue"/>
            <w:tcBorders>
              <w:tl2br w:val="nil"/>
              <w:tr2bl w:val="nil"/>
            </w:tcBorders>
            <w:noWrap w:val="0"/>
            <w:vAlign w:val="center"/>
          </w:tcPr>
          <w:p w14:paraId="0FE3FD84">
            <w:pPr>
              <w:adjustRightInd/>
              <w:snapToGrid/>
              <w:spacing w:line="240" w:lineRule="auto"/>
              <w:ind w:firstLine="0" w:firstLineChars="0"/>
              <w:jc w:val="center"/>
              <w:rPr>
                <w:rFonts w:hint="default" w:ascii="Times New Roman" w:hAnsi="Times New Roman" w:cs="Times New Roman"/>
                <w:color w:val="auto"/>
                <w:kern w:val="0"/>
                <w:sz w:val="21"/>
                <w:szCs w:val="21"/>
              </w:rPr>
            </w:pPr>
          </w:p>
        </w:tc>
        <w:tc>
          <w:tcPr>
            <w:tcW w:w="993" w:type="pct"/>
            <w:vMerge w:val="continue"/>
            <w:tcBorders>
              <w:tl2br w:val="nil"/>
              <w:tr2bl w:val="nil"/>
            </w:tcBorders>
            <w:noWrap w:val="0"/>
            <w:vAlign w:val="center"/>
          </w:tcPr>
          <w:p w14:paraId="4064D863">
            <w:pPr>
              <w:adjustRightInd/>
              <w:snapToGrid/>
              <w:spacing w:line="240" w:lineRule="auto"/>
              <w:ind w:firstLine="0" w:firstLineChars="0"/>
              <w:jc w:val="center"/>
              <w:rPr>
                <w:rFonts w:hint="default" w:ascii="Times New Roman" w:hAnsi="Times New Roman" w:cs="Times New Roman"/>
                <w:color w:val="auto"/>
                <w:kern w:val="0"/>
                <w:sz w:val="21"/>
                <w:szCs w:val="21"/>
              </w:rPr>
            </w:pPr>
          </w:p>
        </w:tc>
        <w:tc>
          <w:tcPr>
            <w:tcW w:w="662" w:type="pct"/>
            <w:vMerge w:val="continue"/>
            <w:tcBorders>
              <w:tl2br w:val="nil"/>
              <w:tr2bl w:val="nil"/>
            </w:tcBorders>
            <w:noWrap w:val="0"/>
            <w:vAlign w:val="center"/>
          </w:tcPr>
          <w:p w14:paraId="32803A51">
            <w:pPr>
              <w:adjustRightInd/>
              <w:snapToGrid/>
              <w:spacing w:line="240" w:lineRule="auto"/>
              <w:ind w:firstLine="0" w:firstLineChars="0"/>
              <w:jc w:val="center"/>
              <w:rPr>
                <w:rFonts w:hint="default" w:ascii="Times New Roman" w:hAnsi="Times New Roman" w:cs="Times New Roman"/>
                <w:color w:val="auto"/>
                <w:kern w:val="0"/>
                <w:sz w:val="21"/>
                <w:szCs w:val="21"/>
              </w:rPr>
            </w:pPr>
          </w:p>
        </w:tc>
        <w:tc>
          <w:tcPr>
            <w:tcW w:w="666" w:type="pct"/>
            <w:vMerge w:val="continue"/>
            <w:tcBorders>
              <w:tl2br w:val="nil"/>
              <w:tr2bl w:val="nil"/>
            </w:tcBorders>
            <w:noWrap w:val="0"/>
            <w:vAlign w:val="center"/>
          </w:tcPr>
          <w:p w14:paraId="119AC133">
            <w:pPr>
              <w:adjustRightInd/>
              <w:snapToGrid/>
              <w:spacing w:line="240" w:lineRule="auto"/>
              <w:ind w:firstLine="0" w:firstLineChars="0"/>
              <w:jc w:val="center"/>
              <w:rPr>
                <w:rFonts w:hint="default" w:ascii="Times New Roman" w:hAnsi="Times New Roman" w:cs="Times New Roman"/>
                <w:color w:val="auto"/>
                <w:kern w:val="0"/>
                <w:sz w:val="21"/>
                <w:szCs w:val="21"/>
              </w:rPr>
            </w:pPr>
          </w:p>
        </w:tc>
      </w:tr>
      <w:tr w14:paraId="6E8FC1F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0" w:hRule="atLeast"/>
          <w:jc w:val="center"/>
        </w:trPr>
        <w:tc>
          <w:tcPr>
            <w:tcW w:w="800" w:type="pct"/>
            <w:tcBorders>
              <w:tl2br w:val="nil"/>
              <w:tr2bl w:val="nil"/>
            </w:tcBorders>
            <w:noWrap w:val="0"/>
            <w:vAlign w:val="center"/>
          </w:tcPr>
          <w:p w14:paraId="6471E93A">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SO</w:t>
            </w:r>
            <w:r>
              <w:rPr>
                <w:rFonts w:hint="default" w:ascii="Times New Roman" w:hAnsi="Times New Roman" w:cs="Times New Roman"/>
                <w:color w:val="auto"/>
                <w:kern w:val="0"/>
                <w:sz w:val="21"/>
                <w:szCs w:val="21"/>
                <w:vertAlign w:val="subscript"/>
              </w:rPr>
              <w:t>2</w:t>
            </w:r>
          </w:p>
        </w:tc>
        <w:tc>
          <w:tcPr>
            <w:tcW w:w="883" w:type="pct"/>
            <w:tcBorders>
              <w:tl2br w:val="nil"/>
              <w:tr2bl w:val="nil"/>
            </w:tcBorders>
            <w:noWrap w:val="0"/>
            <w:vAlign w:val="center"/>
          </w:tcPr>
          <w:p w14:paraId="0008913B">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年平均</w:t>
            </w:r>
          </w:p>
        </w:tc>
        <w:tc>
          <w:tcPr>
            <w:tcW w:w="992" w:type="pct"/>
            <w:tcBorders>
              <w:tl2br w:val="nil"/>
              <w:tr2bl w:val="nil"/>
            </w:tcBorders>
            <w:noWrap w:val="0"/>
            <w:vAlign w:val="center"/>
          </w:tcPr>
          <w:p w14:paraId="6DC034F7">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4</w:t>
            </w:r>
          </w:p>
        </w:tc>
        <w:tc>
          <w:tcPr>
            <w:tcW w:w="993" w:type="pct"/>
            <w:tcBorders>
              <w:tl2br w:val="nil"/>
              <w:tr2bl w:val="nil"/>
            </w:tcBorders>
            <w:noWrap w:val="0"/>
            <w:vAlign w:val="center"/>
          </w:tcPr>
          <w:p w14:paraId="56B6FEB5">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60</w:t>
            </w:r>
          </w:p>
        </w:tc>
        <w:tc>
          <w:tcPr>
            <w:tcW w:w="662" w:type="pct"/>
            <w:tcBorders>
              <w:tl2br w:val="nil"/>
              <w:tr2bl w:val="nil"/>
            </w:tcBorders>
            <w:noWrap w:val="0"/>
            <w:vAlign w:val="center"/>
          </w:tcPr>
          <w:p w14:paraId="10B208F3">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6.67</w:t>
            </w:r>
          </w:p>
        </w:tc>
        <w:tc>
          <w:tcPr>
            <w:tcW w:w="666" w:type="pct"/>
            <w:tcBorders>
              <w:tl2br w:val="nil"/>
              <w:tr2bl w:val="nil"/>
            </w:tcBorders>
            <w:noWrap w:val="0"/>
            <w:vAlign w:val="center"/>
          </w:tcPr>
          <w:p w14:paraId="06E7EF67">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达标</w:t>
            </w:r>
          </w:p>
        </w:tc>
      </w:tr>
      <w:tr w14:paraId="4BF4CBC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0" w:hRule="atLeast"/>
          <w:jc w:val="center"/>
        </w:trPr>
        <w:tc>
          <w:tcPr>
            <w:tcW w:w="800" w:type="pct"/>
            <w:tcBorders>
              <w:tl2br w:val="nil"/>
              <w:tr2bl w:val="nil"/>
            </w:tcBorders>
            <w:noWrap w:val="0"/>
            <w:vAlign w:val="center"/>
          </w:tcPr>
          <w:p w14:paraId="436A0948">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NO</w:t>
            </w:r>
            <w:r>
              <w:rPr>
                <w:rFonts w:hint="default" w:ascii="Times New Roman" w:hAnsi="Times New Roman" w:cs="Times New Roman"/>
                <w:color w:val="auto"/>
                <w:kern w:val="0"/>
                <w:sz w:val="21"/>
                <w:szCs w:val="21"/>
                <w:vertAlign w:val="subscript"/>
              </w:rPr>
              <w:t>2</w:t>
            </w:r>
          </w:p>
        </w:tc>
        <w:tc>
          <w:tcPr>
            <w:tcW w:w="883" w:type="pct"/>
            <w:tcBorders>
              <w:tl2br w:val="nil"/>
              <w:tr2bl w:val="nil"/>
            </w:tcBorders>
            <w:noWrap w:val="0"/>
            <w:vAlign w:val="center"/>
          </w:tcPr>
          <w:p w14:paraId="62F2A0FE">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年平均</w:t>
            </w:r>
          </w:p>
        </w:tc>
        <w:tc>
          <w:tcPr>
            <w:tcW w:w="992" w:type="pct"/>
            <w:tcBorders>
              <w:tl2br w:val="nil"/>
              <w:tr2bl w:val="nil"/>
            </w:tcBorders>
            <w:noWrap w:val="0"/>
            <w:vAlign w:val="center"/>
          </w:tcPr>
          <w:p w14:paraId="61698FDF">
            <w:pPr>
              <w:adjustRightInd/>
              <w:snapToGrid/>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32</w:t>
            </w:r>
          </w:p>
        </w:tc>
        <w:tc>
          <w:tcPr>
            <w:tcW w:w="993" w:type="pct"/>
            <w:tcBorders>
              <w:tl2br w:val="nil"/>
              <w:tr2bl w:val="nil"/>
            </w:tcBorders>
            <w:noWrap w:val="0"/>
            <w:vAlign w:val="center"/>
          </w:tcPr>
          <w:p w14:paraId="33ACF814">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40</w:t>
            </w:r>
          </w:p>
        </w:tc>
        <w:tc>
          <w:tcPr>
            <w:tcW w:w="662" w:type="pct"/>
            <w:tcBorders>
              <w:tl2br w:val="nil"/>
              <w:tr2bl w:val="nil"/>
            </w:tcBorders>
            <w:noWrap w:val="0"/>
            <w:vAlign w:val="center"/>
          </w:tcPr>
          <w:p w14:paraId="671A3C8F">
            <w:pPr>
              <w:adjustRightInd/>
              <w:snapToGrid/>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80</w:t>
            </w:r>
          </w:p>
        </w:tc>
        <w:tc>
          <w:tcPr>
            <w:tcW w:w="666" w:type="pct"/>
            <w:tcBorders>
              <w:tl2br w:val="nil"/>
              <w:tr2bl w:val="nil"/>
            </w:tcBorders>
            <w:noWrap w:val="0"/>
            <w:vAlign w:val="center"/>
          </w:tcPr>
          <w:p w14:paraId="1D2EFD3C">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达标</w:t>
            </w:r>
          </w:p>
        </w:tc>
      </w:tr>
      <w:tr w14:paraId="393EBE9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0" w:hRule="atLeast"/>
          <w:jc w:val="center"/>
        </w:trPr>
        <w:tc>
          <w:tcPr>
            <w:tcW w:w="800" w:type="pct"/>
            <w:tcBorders>
              <w:tl2br w:val="nil"/>
              <w:tr2bl w:val="nil"/>
            </w:tcBorders>
            <w:noWrap w:val="0"/>
            <w:vAlign w:val="center"/>
          </w:tcPr>
          <w:p w14:paraId="6C066289">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CO</w:t>
            </w:r>
          </w:p>
        </w:tc>
        <w:tc>
          <w:tcPr>
            <w:tcW w:w="883" w:type="pct"/>
            <w:tcBorders>
              <w:tl2br w:val="nil"/>
              <w:tr2bl w:val="nil"/>
            </w:tcBorders>
            <w:noWrap w:val="0"/>
            <w:vAlign w:val="center"/>
          </w:tcPr>
          <w:p w14:paraId="3C45BBD0">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日平均第95百分位数</w:t>
            </w:r>
          </w:p>
        </w:tc>
        <w:tc>
          <w:tcPr>
            <w:tcW w:w="992" w:type="pct"/>
            <w:tcBorders>
              <w:tl2br w:val="nil"/>
              <w:tr2bl w:val="nil"/>
            </w:tcBorders>
            <w:noWrap w:val="0"/>
            <w:vAlign w:val="center"/>
          </w:tcPr>
          <w:p w14:paraId="62643923">
            <w:pPr>
              <w:adjustRightInd/>
              <w:snapToGrid/>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2700</w:t>
            </w:r>
          </w:p>
        </w:tc>
        <w:tc>
          <w:tcPr>
            <w:tcW w:w="993" w:type="pct"/>
            <w:tcBorders>
              <w:tl2br w:val="nil"/>
              <w:tr2bl w:val="nil"/>
            </w:tcBorders>
            <w:noWrap w:val="0"/>
            <w:vAlign w:val="center"/>
          </w:tcPr>
          <w:p w14:paraId="27A36FAD">
            <w:pPr>
              <w:adjustRightInd/>
              <w:snapToGrid/>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rPr>
              <w:t>4</w:t>
            </w:r>
            <w:r>
              <w:rPr>
                <w:rFonts w:hint="default" w:ascii="Times New Roman" w:hAnsi="Times New Roman" w:eastAsia="宋体" w:cs="Times New Roman"/>
                <w:color w:val="auto"/>
                <w:kern w:val="0"/>
                <w:sz w:val="21"/>
                <w:szCs w:val="21"/>
                <w:lang w:val="en-US" w:eastAsia="zh-CN"/>
              </w:rPr>
              <w:t>000</w:t>
            </w:r>
          </w:p>
        </w:tc>
        <w:tc>
          <w:tcPr>
            <w:tcW w:w="662" w:type="pct"/>
            <w:tcBorders>
              <w:tl2br w:val="nil"/>
              <w:tr2bl w:val="nil"/>
            </w:tcBorders>
            <w:noWrap w:val="0"/>
            <w:vAlign w:val="center"/>
          </w:tcPr>
          <w:p w14:paraId="104CAB9C">
            <w:pPr>
              <w:adjustRightInd/>
              <w:snapToGrid/>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67.5</w:t>
            </w:r>
          </w:p>
        </w:tc>
        <w:tc>
          <w:tcPr>
            <w:tcW w:w="666" w:type="pct"/>
            <w:tcBorders>
              <w:tl2br w:val="nil"/>
              <w:tr2bl w:val="nil"/>
            </w:tcBorders>
            <w:noWrap w:val="0"/>
            <w:vAlign w:val="center"/>
          </w:tcPr>
          <w:p w14:paraId="68D9AAB1">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达标</w:t>
            </w:r>
          </w:p>
        </w:tc>
      </w:tr>
      <w:tr w14:paraId="2B4D7E7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0" w:hRule="atLeast"/>
          <w:jc w:val="center"/>
        </w:trPr>
        <w:tc>
          <w:tcPr>
            <w:tcW w:w="800" w:type="pct"/>
            <w:tcBorders>
              <w:tl2br w:val="nil"/>
              <w:tr2bl w:val="nil"/>
            </w:tcBorders>
            <w:noWrap w:val="0"/>
            <w:vAlign w:val="center"/>
          </w:tcPr>
          <w:p w14:paraId="0E038346">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O</w:t>
            </w:r>
            <w:r>
              <w:rPr>
                <w:rFonts w:hint="default" w:ascii="Times New Roman" w:hAnsi="Times New Roman" w:cs="Times New Roman"/>
                <w:color w:val="auto"/>
                <w:kern w:val="0"/>
                <w:sz w:val="21"/>
                <w:szCs w:val="21"/>
                <w:vertAlign w:val="subscript"/>
              </w:rPr>
              <w:t>3</w:t>
            </w:r>
          </w:p>
        </w:tc>
        <w:tc>
          <w:tcPr>
            <w:tcW w:w="883" w:type="pct"/>
            <w:tcBorders>
              <w:tl2br w:val="nil"/>
              <w:tr2bl w:val="nil"/>
            </w:tcBorders>
            <w:noWrap w:val="0"/>
            <w:vAlign w:val="center"/>
          </w:tcPr>
          <w:p w14:paraId="05C62651">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日平均第90百分位数</w:t>
            </w:r>
          </w:p>
        </w:tc>
        <w:tc>
          <w:tcPr>
            <w:tcW w:w="992" w:type="pct"/>
            <w:tcBorders>
              <w:tl2br w:val="nil"/>
              <w:tr2bl w:val="nil"/>
            </w:tcBorders>
            <w:noWrap w:val="0"/>
            <w:vAlign w:val="center"/>
          </w:tcPr>
          <w:p w14:paraId="63A1756B">
            <w:pPr>
              <w:adjustRightInd/>
              <w:snapToGrid/>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134</w:t>
            </w:r>
          </w:p>
        </w:tc>
        <w:tc>
          <w:tcPr>
            <w:tcW w:w="993" w:type="pct"/>
            <w:tcBorders>
              <w:tl2br w:val="nil"/>
              <w:tr2bl w:val="nil"/>
            </w:tcBorders>
            <w:noWrap w:val="0"/>
            <w:vAlign w:val="center"/>
          </w:tcPr>
          <w:p w14:paraId="5FC036D4">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160</w:t>
            </w:r>
          </w:p>
        </w:tc>
        <w:tc>
          <w:tcPr>
            <w:tcW w:w="662" w:type="pct"/>
            <w:tcBorders>
              <w:tl2br w:val="nil"/>
              <w:tr2bl w:val="nil"/>
            </w:tcBorders>
            <w:noWrap w:val="0"/>
            <w:vAlign w:val="center"/>
          </w:tcPr>
          <w:p w14:paraId="75C93687">
            <w:pPr>
              <w:adjustRightInd/>
              <w:snapToGrid/>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83.75</w:t>
            </w:r>
          </w:p>
        </w:tc>
        <w:tc>
          <w:tcPr>
            <w:tcW w:w="666" w:type="pct"/>
            <w:tcBorders>
              <w:tl2br w:val="nil"/>
              <w:tr2bl w:val="nil"/>
            </w:tcBorders>
            <w:noWrap w:val="0"/>
            <w:vAlign w:val="center"/>
          </w:tcPr>
          <w:p w14:paraId="211E4260">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达标</w:t>
            </w:r>
          </w:p>
        </w:tc>
      </w:tr>
      <w:tr w14:paraId="5076EDE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0" w:hRule="atLeast"/>
          <w:jc w:val="center"/>
        </w:trPr>
        <w:tc>
          <w:tcPr>
            <w:tcW w:w="800" w:type="pct"/>
            <w:tcBorders>
              <w:tl2br w:val="nil"/>
              <w:tr2bl w:val="nil"/>
            </w:tcBorders>
            <w:noWrap w:val="0"/>
            <w:vAlign w:val="center"/>
          </w:tcPr>
          <w:p w14:paraId="258F8242">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PM</w:t>
            </w:r>
            <w:r>
              <w:rPr>
                <w:rFonts w:hint="default" w:ascii="Times New Roman" w:hAnsi="Times New Roman" w:cs="Times New Roman"/>
                <w:color w:val="auto"/>
                <w:kern w:val="0"/>
                <w:sz w:val="21"/>
                <w:szCs w:val="21"/>
                <w:vertAlign w:val="subscript"/>
              </w:rPr>
              <w:t>10</w:t>
            </w:r>
          </w:p>
        </w:tc>
        <w:tc>
          <w:tcPr>
            <w:tcW w:w="883" w:type="pct"/>
            <w:tcBorders>
              <w:tl2br w:val="nil"/>
              <w:tr2bl w:val="nil"/>
            </w:tcBorders>
            <w:noWrap w:val="0"/>
            <w:vAlign w:val="center"/>
          </w:tcPr>
          <w:p w14:paraId="4B611982">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年平均</w:t>
            </w:r>
          </w:p>
        </w:tc>
        <w:tc>
          <w:tcPr>
            <w:tcW w:w="992" w:type="pct"/>
            <w:tcBorders>
              <w:tl2br w:val="nil"/>
              <w:tr2bl w:val="nil"/>
            </w:tcBorders>
            <w:noWrap w:val="0"/>
            <w:vAlign w:val="center"/>
          </w:tcPr>
          <w:p w14:paraId="47B81496">
            <w:pPr>
              <w:adjustRightInd/>
              <w:snapToGrid/>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94</w:t>
            </w:r>
          </w:p>
        </w:tc>
        <w:tc>
          <w:tcPr>
            <w:tcW w:w="993" w:type="pct"/>
            <w:tcBorders>
              <w:tl2br w:val="nil"/>
              <w:tr2bl w:val="nil"/>
            </w:tcBorders>
            <w:noWrap w:val="0"/>
            <w:vAlign w:val="center"/>
          </w:tcPr>
          <w:p w14:paraId="71C78FF5">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70</w:t>
            </w:r>
          </w:p>
        </w:tc>
        <w:tc>
          <w:tcPr>
            <w:tcW w:w="662" w:type="pct"/>
            <w:tcBorders>
              <w:tl2br w:val="nil"/>
              <w:tr2bl w:val="nil"/>
            </w:tcBorders>
            <w:noWrap w:val="0"/>
            <w:vAlign w:val="center"/>
          </w:tcPr>
          <w:p w14:paraId="329A7158">
            <w:pPr>
              <w:adjustRightInd/>
              <w:snapToGrid/>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134.29</w:t>
            </w:r>
          </w:p>
        </w:tc>
        <w:tc>
          <w:tcPr>
            <w:tcW w:w="666" w:type="pct"/>
            <w:tcBorders>
              <w:tl2br w:val="nil"/>
              <w:tr2bl w:val="nil"/>
            </w:tcBorders>
            <w:noWrap w:val="0"/>
            <w:vAlign w:val="center"/>
          </w:tcPr>
          <w:p w14:paraId="5B6483BE">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不达标</w:t>
            </w:r>
          </w:p>
        </w:tc>
      </w:tr>
      <w:tr w14:paraId="07F58F7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0" w:hRule="atLeast"/>
          <w:jc w:val="center"/>
        </w:trPr>
        <w:tc>
          <w:tcPr>
            <w:tcW w:w="800" w:type="pct"/>
            <w:tcBorders>
              <w:tl2br w:val="nil"/>
              <w:tr2bl w:val="nil"/>
            </w:tcBorders>
            <w:noWrap w:val="0"/>
            <w:vAlign w:val="center"/>
          </w:tcPr>
          <w:p w14:paraId="7A900808">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PM</w:t>
            </w:r>
            <w:r>
              <w:rPr>
                <w:rFonts w:hint="default" w:ascii="Times New Roman" w:hAnsi="Times New Roman" w:cs="Times New Roman"/>
                <w:color w:val="auto"/>
                <w:kern w:val="0"/>
                <w:sz w:val="21"/>
                <w:szCs w:val="21"/>
                <w:vertAlign w:val="subscript"/>
              </w:rPr>
              <w:t>2.5</w:t>
            </w:r>
          </w:p>
        </w:tc>
        <w:tc>
          <w:tcPr>
            <w:tcW w:w="883" w:type="pct"/>
            <w:tcBorders>
              <w:tl2br w:val="nil"/>
              <w:tr2bl w:val="nil"/>
            </w:tcBorders>
            <w:noWrap w:val="0"/>
            <w:vAlign w:val="center"/>
          </w:tcPr>
          <w:p w14:paraId="71229D8F">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年平均</w:t>
            </w:r>
          </w:p>
        </w:tc>
        <w:tc>
          <w:tcPr>
            <w:tcW w:w="992" w:type="pct"/>
            <w:tcBorders>
              <w:tl2br w:val="nil"/>
              <w:tr2bl w:val="nil"/>
            </w:tcBorders>
            <w:noWrap w:val="0"/>
            <w:vAlign w:val="center"/>
          </w:tcPr>
          <w:p w14:paraId="0C5C633E">
            <w:pPr>
              <w:adjustRightInd/>
              <w:snapToGrid/>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33</w:t>
            </w:r>
          </w:p>
        </w:tc>
        <w:tc>
          <w:tcPr>
            <w:tcW w:w="993" w:type="pct"/>
            <w:tcBorders>
              <w:tl2br w:val="nil"/>
              <w:tr2bl w:val="nil"/>
            </w:tcBorders>
            <w:noWrap w:val="0"/>
            <w:vAlign w:val="center"/>
          </w:tcPr>
          <w:p w14:paraId="4E753044">
            <w:pPr>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35</w:t>
            </w:r>
          </w:p>
        </w:tc>
        <w:tc>
          <w:tcPr>
            <w:tcW w:w="662" w:type="pct"/>
            <w:tcBorders>
              <w:tl2br w:val="nil"/>
              <w:tr2bl w:val="nil"/>
            </w:tcBorders>
            <w:noWrap w:val="0"/>
            <w:vAlign w:val="center"/>
          </w:tcPr>
          <w:p w14:paraId="0E00ED3B">
            <w:pPr>
              <w:adjustRightInd/>
              <w:snapToGrid/>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94.29</w:t>
            </w:r>
          </w:p>
        </w:tc>
        <w:tc>
          <w:tcPr>
            <w:tcW w:w="666" w:type="pct"/>
            <w:tcBorders>
              <w:tl2br w:val="nil"/>
              <w:tr2bl w:val="nil"/>
            </w:tcBorders>
            <w:noWrap w:val="0"/>
            <w:vAlign w:val="center"/>
          </w:tcPr>
          <w:p w14:paraId="72E159E6">
            <w:pPr>
              <w:adjustRightInd/>
              <w:snapToGrid/>
              <w:spacing w:line="240" w:lineRule="auto"/>
              <w:ind w:firstLine="0" w:firstLineChars="0"/>
              <w:jc w:val="center"/>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val="en-US" w:eastAsia="zh-CN"/>
              </w:rPr>
              <w:t>达标</w:t>
            </w:r>
          </w:p>
        </w:tc>
      </w:tr>
    </w:tbl>
    <w:p w14:paraId="4B5E2AD4">
      <w:pPr>
        <w:keepNext w:val="0"/>
        <w:keepLines w:val="0"/>
        <w:pageBreakBefore w:val="0"/>
        <w:widowControl w:val="0"/>
        <w:kinsoku/>
        <w:wordWrap/>
        <w:overflowPunct/>
        <w:topLinePunct w:val="0"/>
        <w:autoSpaceDE/>
        <w:autoSpaceDN/>
        <w:bidi w:val="0"/>
        <w:adjustRightInd w:val="0"/>
        <w:snapToGrid w:val="0"/>
        <w:spacing w:before="168" w:beforeLines="50"/>
        <w:textAlignment w:val="auto"/>
        <w:rPr>
          <w:rFonts w:hint="default" w:ascii="Times New Roman" w:hAnsi="Times New Roman" w:cs="Times New Roman"/>
          <w:color w:val="auto"/>
        </w:rPr>
      </w:pPr>
      <w:r>
        <w:rPr>
          <w:rFonts w:hint="default" w:ascii="Times New Roman" w:hAnsi="Times New Roman" w:cs="Times New Roman"/>
          <w:color w:val="auto"/>
          <w:sz w:val="24"/>
          <w:szCs w:val="24"/>
        </w:rPr>
        <w:t>根据上表可知，项目所在区域SO</w:t>
      </w:r>
      <w:r>
        <w:rPr>
          <w:rFonts w:hint="default" w:ascii="Times New Roman" w:hAnsi="Times New Roman" w:cs="Times New Roman"/>
          <w:color w:val="auto"/>
          <w:sz w:val="24"/>
          <w:szCs w:val="24"/>
          <w:vertAlign w:val="subscript"/>
        </w:rPr>
        <w:t>2</w:t>
      </w:r>
      <w:r>
        <w:rPr>
          <w:rFonts w:hint="default" w:ascii="Times New Roman" w:hAnsi="Times New Roman" w:cs="Times New Roman"/>
          <w:color w:val="auto"/>
          <w:sz w:val="24"/>
          <w:szCs w:val="24"/>
        </w:rPr>
        <w:t>、NO</w:t>
      </w:r>
      <w:r>
        <w:rPr>
          <w:rFonts w:hint="default" w:ascii="Times New Roman" w:hAnsi="Times New Roman" w:cs="Times New Roman"/>
          <w:color w:val="auto"/>
          <w:sz w:val="24"/>
          <w:szCs w:val="24"/>
          <w:vertAlign w:val="subscript"/>
        </w:rPr>
        <w:t>2</w:t>
      </w:r>
      <w:r>
        <w:rPr>
          <w:rFonts w:hint="default" w:ascii="Times New Roman" w:hAnsi="Times New Roman" w:cs="Times New Roman"/>
          <w:color w:val="auto"/>
          <w:sz w:val="24"/>
          <w:szCs w:val="24"/>
        </w:rPr>
        <w:t>、PM</w:t>
      </w:r>
      <w:r>
        <w:rPr>
          <w:rFonts w:hint="default" w:ascii="Times New Roman" w:hAnsi="Times New Roman" w:cs="Times New Roman"/>
          <w:color w:val="auto"/>
          <w:sz w:val="24"/>
          <w:szCs w:val="24"/>
          <w:vertAlign w:val="subscript"/>
        </w:rPr>
        <w:t>2.5</w:t>
      </w:r>
      <w:r>
        <w:rPr>
          <w:rFonts w:hint="default" w:ascii="Times New Roman" w:hAnsi="Times New Roman" w:cs="Times New Roman"/>
          <w:color w:val="auto"/>
          <w:sz w:val="24"/>
          <w:szCs w:val="24"/>
        </w:rPr>
        <w:t>年平均浓度均满足《环境空气质量标准》（GB3095-2012）的二级标准要求；O</w:t>
      </w:r>
      <w:r>
        <w:rPr>
          <w:rFonts w:hint="default" w:ascii="Times New Roman" w:hAnsi="Times New Roman" w:cs="Times New Roman"/>
          <w:color w:val="auto"/>
          <w:sz w:val="24"/>
          <w:szCs w:val="24"/>
          <w:vertAlign w:val="subscript"/>
        </w:rPr>
        <w:t>3</w:t>
      </w:r>
      <w:r>
        <w:rPr>
          <w:rFonts w:hint="default" w:ascii="Times New Roman" w:hAnsi="Times New Roman" w:cs="Times New Roman"/>
          <w:color w:val="auto"/>
          <w:sz w:val="24"/>
          <w:szCs w:val="24"/>
        </w:rPr>
        <w:t>最大8小时第90 百分位数日平均浓度及CO第95百分位数日平均浓度均满足《环境空气质量标准》（GB3095-2012）的二级标准要求；PM</w:t>
      </w:r>
      <w:r>
        <w:rPr>
          <w:rFonts w:hint="default" w:ascii="Times New Roman" w:hAnsi="Times New Roman" w:cs="Times New Roman"/>
          <w:color w:val="auto"/>
          <w:sz w:val="24"/>
          <w:szCs w:val="24"/>
          <w:vertAlign w:val="subscript"/>
        </w:rPr>
        <w:t>10</w:t>
      </w:r>
      <w:r>
        <w:rPr>
          <w:rFonts w:hint="default" w:ascii="Times New Roman" w:hAnsi="Times New Roman" w:cs="Times New Roman"/>
          <w:color w:val="auto"/>
          <w:sz w:val="24"/>
          <w:szCs w:val="24"/>
        </w:rPr>
        <w:t>年平均浓度不满足《环境空气质量标准》（GB3095-2012）的二级标准要求，故本项目所在区域为不达标区域。</w:t>
      </w:r>
    </w:p>
    <w:p w14:paraId="4782C60D">
      <w:pPr>
        <w:pStyle w:val="3"/>
        <w:numPr>
          <w:ilvl w:val="1"/>
          <w:numId w:val="0"/>
        </w:numPr>
        <w:bidi w:val="0"/>
        <w:rPr>
          <w:rFonts w:hint="default" w:ascii="Times New Roman" w:hAnsi="Times New Roman" w:cs="Times New Roman"/>
          <w:color w:val="auto"/>
        </w:rPr>
      </w:pPr>
      <w:bookmarkStart w:id="1024" w:name="_Toc24440"/>
      <w:bookmarkStart w:id="1025" w:name="_Toc16876"/>
      <w:bookmarkStart w:id="1026" w:name="_Toc21505"/>
      <w:bookmarkStart w:id="1027" w:name="_Toc29170"/>
      <w:bookmarkStart w:id="1028" w:name="_Toc19161"/>
      <w:bookmarkStart w:id="1029" w:name="_Toc6598"/>
      <w:bookmarkStart w:id="1030" w:name="_Toc27211"/>
      <w:bookmarkStart w:id="1031" w:name="_Toc24032"/>
      <w:bookmarkStart w:id="1032" w:name="_Toc17431"/>
      <w:bookmarkStart w:id="1033" w:name="_Toc8639"/>
      <w:bookmarkStart w:id="1034" w:name="_Toc3388_WPSOffice_Level3"/>
      <w:bookmarkStart w:id="1035" w:name="_Toc2255_WPSOffice_Level3"/>
      <w:r>
        <w:rPr>
          <w:rFonts w:hint="default" w:ascii="Times New Roman" w:hAnsi="Times New Roman" w:cs="Times New Roman"/>
          <w:color w:val="auto"/>
          <w:lang w:val="en-US" w:eastAsia="zh-CN"/>
        </w:rPr>
        <w:t>4.4 声环境现状调查及评价</w:t>
      </w:r>
      <w:bookmarkEnd w:id="1024"/>
      <w:bookmarkEnd w:id="1025"/>
      <w:bookmarkEnd w:id="1026"/>
      <w:bookmarkEnd w:id="1027"/>
      <w:bookmarkEnd w:id="1028"/>
      <w:bookmarkEnd w:id="1029"/>
      <w:bookmarkEnd w:id="1030"/>
      <w:bookmarkEnd w:id="1031"/>
      <w:bookmarkEnd w:id="1032"/>
      <w:bookmarkEnd w:id="1033"/>
    </w:p>
    <w:p w14:paraId="3D064AB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本项目顺接S227阿图什至喀什公路新建工程（道路）项目的终点，项目周边无环境敏感目标。</w:t>
      </w:r>
    </w:p>
    <w:p w14:paraId="7EEA170E">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4.4.1 现状监测布点</w:t>
      </w:r>
    </w:p>
    <w:p w14:paraId="57213F7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本次</w:t>
      </w:r>
      <w:r>
        <w:rPr>
          <w:rFonts w:hint="default" w:ascii="Times New Roman" w:hAnsi="Times New Roman" w:cs="Times New Roman"/>
          <w:color w:val="auto"/>
          <w:kern w:val="0"/>
          <w:sz w:val="24"/>
          <w:szCs w:val="24"/>
          <w:lang w:val="en-US" w:eastAsia="zh-CN" w:bidi="ar"/>
        </w:rPr>
        <w:t>对道路起点、中点、终点进行</w:t>
      </w:r>
      <w:r>
        <w:rPr>
          <w:rFonts w:hint="default" w:ascii="Times New Roman" w:hAnsi="Times New Roman" w:eastAsia="宋体" w:cs="Times New Roman"/>
          <w:color w:val="auto"/>
          <w:kern w:val="0"/>
          <w:sz w:val="24"/>
          <w:szCs w:val="24"/>
          <w:lang w:val="en-US" w:eastAsia="zh-CN" w:bidi="ar"/>
        </w:rPr>
        <w:t>设置了</w:t>
      </w:r>
      <w:r>
        <w:rPr>
          <w:rFonts w:hint="default" w:ascii="Times New Roman" w:hAnsi="Times New Roman"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处</w:t>
      </w:r>
      <w:r>
        <w:rPr>
          <w:rFonts w:hint="default" w:ascii="Times New Roman" w:hAnsi="Times New Roman" w:cs="Times New Roman"/>
          <w:color w:val="auto"/>
          <w:kern w:val="0"/>
          <w:sz w:val="24"/>
          <w:szCs w:val="24"/>
          <w:lang w:val="en-US" w:eastAsia="zh-CN" w:bidi="ar"/>
        </w:rPr>
        <w:t>环境背景噪声</w:t>
      </w:r>
      <w:r>
        <w:rPr>
          <w:rFonts w:hint="default" w:ascii="Times New Roman" w:hAnsi="Times New Roman" w:eastAsia="宋体" w:cs="Times New Roman"/>
          <w:color w:val="auto"/>
          <w:kern w:val="0"/>
          <w:sz w:val="24"/>
          <w:szCs w:val="24"/>
          <w:lang w:val="en-US" w:eastAsia="zh-CN" w:bidi="ar"/>
        </w:rPr>
        <w:t>，监测点位见图4.4-1。</w:t>
      </w:r>
    </w:p>
    <w:p w14:paraId="5CFF1F0F">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4.4.2 监测方法及监测时间</w:t>
      </w:r>
    </w:p>
    <w:p w14:paraId="7FACE401">
      <w:pPr>
        <w:keepNext w:val="0"/>
        <w:keepLines w:val="0"/>
        <w:widowControl/>
        <w:suppressLineNumbers w:val="0"/>
        <w:jc w:val="left"/>
        <w:rPr>
          <w:rFonts w:hint="default" w:ascii="Times New Roman" w:hAnsi="Times New Roman" w:cs="Times New Roman"/>
          <w:color w:val="auto"/>
          <w:highlight w:val="yellow"/>
        </w:rPr>
      </w:pPr>
      <w:r>
        <w:rPr>
          <w:rFonts w:hint="default" w:ascii="Times New Roman" w:hAnsi="Times New Roman" w:eastAsia="宋体" w:cs="Times New Roman"/>
          <w:color w:val="auto"/>
          <w:kern w:val="0"/>
          <w:sz w:val="24"/>
          <w:szCs w:val="24"/>
          <w:highlight w:val="none"/>
          <w:lang w:val="en-US" w:eastAsia="zh-CN" w:bidi="ar"/>
        </w:rPr>
        <w:t>新疆腾龙环境监测有限公司于202</w:t>
      </w:r>
      <w:r>
        <w:rPr>
          <w:rFonts w:hint="default" w:ascii="Times New Roman" w:hAnsi="Times New Roman" w:cs="Times New Roman"/>
          <w:color w:val="auto"/>
          <w:kern w:val="0"/>
          <w:sz w:val="24"/>
          <w:szCs w:val="24"/>
          <w:highlight w:val="none"/>
          <w:lang w:val="en-US" w:eastAsia="zh-CN" w:bidi="ar"/>
        </w:rPr>
        <w:t>6</w:t>
      </w:r>
      <w:r>
        <w:rPr>
          <w:rFonts w:hint="default" w:ascii="Times New Roman" w:hAnsi="Times New Roman" w:eastAsia="宋体" w:cs="Times New Roman"/>
          <w:color w:val="auto"/>
          <w:kern w:val="0"/>
          <w:sz w:val="24"/>
          <w:szCs w:val="24"/>
          <w:highlight w:val="none"/>
          <w:lang w:val="en-US" w:eastAsia="zh-CN" w:bidi="ar"/>
        </w:rPr>
        <w:t>年</w:t>
      </w:r>
      <w:r>
        <w:rPr>
          <w:rFonts w:hint="default" w:ascii="Times New Roman" w:hAnsi="Times New Roman" w:cs="Times New Roman"/>
          <w:color w:val="auto"/>
          <w:kern w:val="0"/>
          <w:sz w:val="24"/>
          <w:szCs w:val="24"/>
          <w:highlight w:val="none"/>
          <w:lang w:val="en-US" w:eastAsia="zh-CN" w:bidi="ar"/>
        </w:rPr>
        <w:t>1</w:t>
      </w:r>
      <w:r>
        <w:rPr>
          <w:rFonts w:hint="default" w:ascii="Times New Roman" w:hAnsi="Times New Roman" w:eastAsia="宋体" w:cs="Times New Roman"/>
          <w:color w:val="auto"/>
          <w:kern w:val="0"/>
          <w:sz w:val="24"/>
          <w:szCs w:val="24"/>
          <w:highlight w:val="none"/>
          <w:lang w:val="en-US" w:eastAsia="zh-CN" w:bidi="ar"/>
        </w:rPr>
        <w:t>月</w:t>
      </w:r>
      <w:r>
        <w:rPr>
          <w:rFonts w:hint="default" w:ascii="Times New Roman" w:hAnsi="Times New Roman" w:cs="Times New Roman"/>
          <w:color w:val="auto"/>
          <w:kern w:val="0"/>
          <w:sz w:val="24"/>
          <w:szCs w:val="24"/>
          <w:highlight w:val="none"/>
          <w:lang w:val="en-US" w:eastAsia="zh-CN" w:bidi="ar"/>
        </w:rPr>
        <w:t>23</w:t>
      </w:r>
      <w:r>
        <w:rPr>
          <w:rFonts w:hint="default" w:ascii="Times New Roman" w:hAnsi="Times New Roman" w:eastAsia="宋体" w:cs="Times New Roman"/>
          <w:color w:val="auto"/>
          <w:kern w:val="0"/>
          <w:sz w:val="24"/>
          <w:szCs w:val="24"/>
          <w:highlight w:val="none"/>
          <w:lang w:val="en-US" w:eastAsia="zh-CN" w:bidi="ar"/>
        </w:rPr>
        <w:t>日-</w:t>
      </w:r>
      <w:r>
        <w:rPr>
          <w:rFonts w:hint="default" w:ascii="Times New Roman" w:hAnsi="Times New Roman" w:cs="Times New Roman"/>
          <w:color w:val="auto"/>
          <w:kern w:val="0"/>
          <w:sz w:val="24"/>
          <w:szCs w:val="24"/>
          <w:highlight w:val="none"/>
          <w:lang w:val="en-US" w:eastAsia="zh-CN" w:bidi="ar"/>
        </w:rPr>
        <w:t>24</w:t>
      </w:r>
      <w:r>
        <w:rPr>
          <w:rFonts w:hint="default" w:ascii="Times New Roman" w:hAnsi="Times New Roman" w:eastAsia="宋体" w:cs="Times New Roman"/>
          <w:color w:val="auto"/>
          <w:kern w:val="0"/>
          <w:sz w:val="24"/>
          <w:szCs w:val="24"/>
          <w:highlight w:val="none"/>
          <w:lang w:val="en-US" w:eastAsia="zh-CN" w:bidi="ar"/>
        </w:rPr>
        <w:t>日进行了声环境现</w:t>
      </w:r>
      <w:r>
        <w:rPr>
          <w:rFonts w:hint="default" w:ascii="Times New Roman" w:hAnsi="Times New Roman" w:cs="Times New Roman"/>
          <w:color w:val="auto"/>
          <w:kern w:val="0"/>
          <w:sz w:val="24"/>
          <w:szCs w:val="24"/>
          <w:highlight w:val="none"/>
          <w:lang w:val="en-US" w:eastAsia="zh-CN" w:bidi="ar"/>
        </w:rPr>
        <w:t>状监</w:t>
      </w:r>
      <w:r>
        <w:rPr>
          <w:rFonts w:hint="default" w:ascii="Times New Roman" w:hAnsi="Times New Roman" w:eastAsia="宋体" w:cs="Times New Roman"/>
          <w:color w:val="auto"/>
          <w:kern w:val="0"/>
          <w:sz w:val="24"/>
          <w:szCs w:val="24"/>
          <w:highlight w:val="none"/>
          <w:lang w:val="en-US" w:eastAsia="zh-CN" w:bidi="ar"/>
        </w:rPr>
        <w:t>测。按《声环境质量标准》（GB 3096-2008）进行，昼夜各测量不低于20min等效声级Leq。测量应在无雨雪、无雷电天气条件下进行，风速为5m/s以上时停止测量。测量时应对传声器加风罩。</w:t>
      </w:r>
    </w:p>
    <w:p w14:paraId="180F46CB">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4.4.3 监测结果</w:t>
      </w:r>
    </w:p>
    <w:p w14:paraId="73A4FC4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噪声现状监测结果具体见表4.4-1。</w:t>
      </w:r>
    </w:p>
    <w:p w14:paraId="7384A89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b/>
          <w:bCs/>
          <w:color w:val="auto"/>
          <w:kern w:val="0"/>
          <w:sz w:val="21"/>
          <w:szCs w:val="21"/>
          <w:lang w:val="en-US" w:eastAsia="zh-CN" w:bidi="ar"/>
        </w:rPr>
        <w:t>表4.4-1 声环境质量现状监测和评价结果 单位：dB(A)</w:t>
      </w:r>
    </w:p>
    <w:tbl>
      <w:tblPr>
        <w:tblStyle w:val="3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3"/>
        <w:gridCol w:w="1897"/>
        <w:gridCol w:w="1776"/>
        <w:gridCol w:w="1391"/>
        <w:gridCol w:w="1216"/>
        <w:gridCol w:w="1576"/>
      </w:tblGrid>
      <w:tr w14:paraId="6E6F1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9" w:type="pct"/>
            <w:vMerge w:val="restart"/>
            <w:vAlign w:val="center"/>
          </w:tcPr>
          <w:p w14:paraId="6BA3BB7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编号</w:t>
            </w:r>
          </w:p>
        </w:tc>
        <w:tc>
          <w:tcPr>
            <w:tcW w:w="1113" w:type="pct"/>
            <w:vMerge w:val="restart"/>
            <w:vAlign w:val="center"/>
          </w:tcPr>
          <w:p w14:paraId="5C98BC6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监测点名称</w:t>
            </w:r>
          </w:p>
        </w:tc>
        <w:tc>
          <w:tcPr>
            <w:tcW w:w="1042" w:type="pct"/>
            <w:vMerge w:val="restart"/>
            <w:vAlign w:val="center"/>
          </w:tcPr>
          <w:p w14:paraId="4ABC9C5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监测时段</w:t>
            </w:r>
          </w:p>
        </w:tc>
        <w:tc>
          <w:tcPr>
            <w:tcW w:w="816" w:type="pct"/>
            <w:vMerge w:val="restart"/>
            <w:vAlign w:val="center"/>
          </w:tcPr>
          <w:p w14:paraId="2434C34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监测结果</w:t>
            </w:r>
          </w:p>
        </w:tc>
        <w:tc>
          <w:tcPr>
            <w:tcW w:w="713" w:type="pct"/>
            <w:vMerge w:val="restart"/>
            <w:vAlign w:val="center"/>
          </w:tcPr>
          <w:p w14:paraId="1B7240B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shd w:val="clear"/>
                <w:lang w:val="en-US" w:eastAsia="zh-CN" w:bidi="ar"/>
              </w:rPr>
              <w:t>评价标准</w:t>
            </w:r>
          </w:p>
        </w:tc>
        <w:tc>
          <w:tcPr>
            <w:tcW w:w="924" w:type="pct"/>
            <w:vMerge w:val="restart"/>
            <w:vAlign w:val="center"/>
          </w:tcPr>
          <w:p w14:paraId="1BB9F59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监测结果评价</w:t>
            </w:r>
          </w:p>
        </w:tc>
      </w:tr>
      <w:tr w14:paraId="3533F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389" w:type="pct"/>
            <w:vMerge w:val="continue"/>
            <w:vAlign w:val="center"/>
          </w:tcPr>
          <w:p w14:paraId="333E6E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4"/>
                <w:sz w:val="21"/>
                <w:szCs w:val="21"/>
                <w:vertAlign w:val="baseline"/>
              </w:rPr>
            </w:pPr>
          </w:p>
        </w:tc>
        <w:tc>
          <w:tcPr>
            <w:tcW w:w="1113" w:type="pct"/>
            <w:vMerge w:val="continue"/>
            <w:vAlign w:val="center"/>
          </w:tcPr>
          <w:p w14:paraId="0B9B57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4"/>
                <w:sz w:val="21"/>
                <w:szCs w:val="21"/>
                <w:vertAlign w:val="baseline"/>
              </w:rPr>
            </w:pPr>
          </w:p>
        </w:tc>
        <w:tc>
          <w:tcPr>
            <w:tcW w:w="1042" w:type="pct"/>
            <w:vMerge w:val="continue"/>
            <w:vAlign w:val="center"/>
          </w:tcPr>
          <w:p w14:paraId="19ED47A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4"/>
                <w:sz w:val="21"/>
                <w:szCs w:val="21"/>
                <w:vertAlign w:val="baseline"/>
              </w:rPr>
            </w:pPr>
          </w:p>
        </w:tc>
        <w:tc>
          <w:tcPr>
            <w:tcW w:w="816" w:type="pct"/>
            <w:vMerge w:val="continue"/>
            <w:vAlign w:val="center"/>
          </w:tcPr>
          <w:p w14:paraId="014AF35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4"/>
                <w:sz w:val="21"/>
                <w:szCs w:val="21"/>
                <w:vertAlign w:val="baseline"/>
              </w:rPr>
            </w:pPr>
          </w:p>
        </w:tc>
        <w:tc>
          <w:tcPr>
            <w:tcW w:w="713" w:type="pct"/>
            <w:vMerge w:val="continue"/>
            <w:vAlign w:val="center"/>
          </w:tcPr>
          <w:p w14:paraId="6075C0F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4"/>
                <w:sz w:val="21"/>
                <w:szCs w:val="21"/>
                <w:vertAlign w:val="baseline"/>
              </w:rPr>
            </w:pPr>
          </w:p>
        </w:tc>
        <w:tc>
          <w:tcPr>
            <w:tcW w:w="924" w:type="pct"/>
            <w:vMerge w:val="continue"/>
            <w:vAlign w:val="center"/>
          </w:tcPr>
          <w:p w14:paraId="039E125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4"/>
                <w:sz w:val="21"/>
                <w:szCs w:val="21"/>
                <w:vertAlign w:val="baseline"/>
              </w:rPr>
            </w:pPr>
          </w:p>
        </w:tc>
      </w:tr>
      <w:tr w14:paraId="11734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9" w:type="pct"/>
            <w:vMerge w:val="restart"/>
            <w:vAlign w:val="center"/>
          </w:tcPr>
          <w:p w14:paraId="4520C1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4"/>
                <w:sz w:val="21"/>
                <w:szCs w:val="21"/>
                <w:vertAlign w:val="baseline"/>
                <w:lang w:val="en-US" w:eastAsia="zh-CN"/>
              </w:rPr>
            </w:pPr>
            <w:r>
              <w:rPr>
                <w:rFonts w:hint="default" w:ascii="Times New Roman" w:hAnsi="Times New Roman" w:cs="Times New Roman"/>
                <w:color w:val="auto"/>
                <w:spacing w:val="4"/>
                <w:sz w:val="21"/>
                <w:szCs w:val="21"/>
                <w:vertAlign w:val="baseline"/>
                <w:lang w:val="en-US" w:eastAsia="zh-CN"/>
              </w:rPr>
              <w:t>1</w:t>
            </w:r>
          </w:p>
        </w:tc>
        <w:tc>
          <w:tcPr>
            <w:tcW w:w="1113" w:type="pct"/>
            <w:vMerge w:val="restart"/>
            <w:vAlign w:val="center"/>
          </w:tcPr>
          <w:p w14:paraId="65C8C17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pacing w:val="4"/>
                <w:sz w:val="21"/>
                <w:szCs w:val="21"/>
                <w:highlight w:val="none"/>
                <w:vertAlign w:val="baseline"/>
                <w:lang w:val="en-US" w:eastAsia="zh-CN"/>
              </w:rPr>
              <w:t>1#起点</w:t>
            </w:r>
          </w:p>
        </w:tc>
        <w:tc>
          <w:tcPr>
            <w:tcW w:w="1042" w:type="pct"/>
            <w:vAlign w:val="center"/>
          </w:tcPr>
          <w:p w14:paraId="1D45828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4"/>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昼间dB（A）</w:t>
            </w:r>
          </w:p>
        </w:tc>
        <w:tc>
          <w:tcPr>
            <w:tcW w:w="816" w:type="pct"/>
            <w:shd w:val="clear" w:color="auto" w:fill="auto"/>
            <w:vAlign w:val="center"/>
          </w:tcPr>
          <w:p w14:paraId="3997362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default" w:ascii="Times New Roman" w:hAnsi="Times New Roman" w:eastAsia="宋体" w:cs="Times New Roman"/>
                <w:b w:val="0"/>
                <w:bCs w:val="0"/>
                <w:color w:val="auto"/>
                <w:spacing w:val="4"/>
                <w:sz w:val="21"/>
                <w:szCs w:val="21"/>
                <w:highlight w:val="none"/>
                <w:vertAlign w:val="baseline"/>
                <w:lang w:val="en-US" w:eastAsia="zh-CN"/>
              </w:rPr>
              <w:t>47</w:t>
            </w:r>
          </w:p>
        </w:tc>
        <w:tc>
          <w:tcPr>
            <w:tcW w:w="713" w:type="pct"/>
            <w:shd w:val="clear" w:color="auto" w:fill="auto"/>
            <w:vAlign w:val="center"/>
          </w:tcPr>
          <w:p w14:paraId="1DD6AB9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default" w:ascii="Times New Roman" w:hAnsi="Times New Roman" w:cs="Times New Roman"/>
                <w:b w:val="0"/>
                <w:bCs w:val="0"/>
                <w:color w:val="auto"/>
                <w:spacing w:val="4"/>
                <w:sz w:val="21"/>
                <w:szCs w:val="21"/>
                <w:highlight w:val="none"/>
                <w:vertAlign w:val="baseline"/>
                <w:lang w:val="en-US" w:eastAsia="zh-CN"/>
              </w:rPr>
              <w:t>60</w:t>
            </w:r>
          </w:p>
        </w:tc>
        <w:tc>
          <w:tcPr>
            <w:tcW w:w="924" w:type="pct"/>
            <w:vMerge w:val="restart"/>
            <w:vAlign w:val="center"/>
          </w:tcPr>
          <w:p w14:paraId="03EC65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4"/>
                <w:sz w:val="21"/>
                <w:szCs w:val="21"/>
                <w:vertAlign w:val="baseline"/>
                <w:lang w:val="en-US" w:eastAsia="zh-CN"/>
              </w:rPr>
            </w:pPr>
            <w:r>
              <w:rPr>
                <w:rFonts w:hint="default" w:ascii="Times New Roman" w:hAnsi="Times New Roman" w:cs="Times New Roman"/>
                <w:color w:val="auto"/>
                <w:spacing w:val="4"/>
                <w:sz w:val="21"/>
                <w:szCs w:val="21"/>
                <w:vertAlign w:val="baseline"/>
                <w:lang w:val="en-US" w:eastAsia="zh-CN"/>
              </w:rPr>
              <w:t>达标</w:t>
            </w:r>
          </w:p>
        </w:tc>
      </w:tr>
      <w:tr w14:paraId="6E7A4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9" w:type="pct"/>
            <w:vMerge w:val="continue"/>
            <w:vAlign w:val="center"/>
          </w:tcPr>
          <w:p w14:paraId="110788A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4"/>
                <w:sz w:val="21"/>
                <w:szCs w:val="21"/>
                <w:vertAlign w:val="baseline"/>
              </w:rPr>
            </w:pPr>
          </w:p>
        </w:tc>
        <w:tc>
          <w:tcPr>
            <w:tcW w:w="1113" w:type="pct"/>
            <w:vMerge w:val="continue"/>
            <w:vAlign w:val="center"/>
          </w:tcPr>
          <w:p w14:paraId="15FF7D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4"/>
                <w:sz w:val="21"/>
                <w:szCs w:val="21"/>
                <w:highlight w:val="none"/>
                <w:vertAlign w:val="baseline"/>
              </w:rPr>
            </w:pPr>
          </w:p>
        </w:tc>
        <w:tc>
          <w:tcPr>
            <w:tcW w:w="1042" w:type="pct"/>
            <w:vAlign w:val="center"/>
          </w:tcPr>
          <w:p w14:paraId="239529F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4"/>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夜间dB（A）</w:t>
            </w:r>
          </w:p>
        </w:tc>
        <w:tc>
          <w:tcPr>
            <w:tcW w:w="816" w:type="pct"/>
            <w:shd w:val="clear" w:color="auto" w:fill="auto"/>
            <w:vAlign w:val="center"/>
          </w:tcPr>
          <w:p w14:paraId="76FF88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default" w:ascii="Times New Roman" w:hAnsi="Times New Roman" w:eastAsia="宋体" w:cs="Times New Roman"/>
                <w:b w:val="0"/>
                <w:bCs w:val="0"/>
                <w:color w:val="auto"/>
                <w:spacing w:val="4"/>
                <w:sz w:val="21"/>
                <w:szCs w:val="21"/>
                <w:highlight w:val="none"/>
                <w:vertAlign w:val="baseline"/>
                <w:lang w:val="en-US" w:eastAsia="zh-CN"/>
              </w:rPr>
              <w:t>4</w:t>
            </w:r>
            <w:r>
              <w:rPr>
                <w:rFonts w:hint="default" w:ascii="Times New Roman" w:hAnsi="Times New Roman" w:cs="Times New Roman"/>
                <w:b w:val="0"/>
                <w:bCs w:val="0"/>
                <w:color w:val="auto"/>
                <w:spacing w:val="4"/>
                <w:sz w:val="21"/>
                <w:szCs w:val="21"/>
                <w:highlight w:val="none"/>
                <w:vertAlign w:val="baseline"/>
                <w:lang w:val="en-US" w:eastAsia="zh-CN"/>
              </w:rPr>
              <w:t>3</w:t>
            </w:r>
          </w:p>
        </w:tc>
        <w:tc>
          <w:tcPr>
            <w:tcW w:w="713" w:type="pct"/>
            <w:shd w:val="clear" w:color="auto" w:fill="auto"/>
            <w:vAlign w:val="center"/>
          </w:tcPr>
          <w:p w14:paraId="72BBF0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default" w:ascii="Times New Roman" w:hAnsi="Times New Roman" w:eastAsia="宋体" w:cs="Times New Roman"/>
                <w:b w:val="0"/>
                <w:bCs w:val="0"/>
                <w:color w:val="auto"/>
                <w:spacing w:val="4"/>
                <w:sz w:val="21"/>
                <w:szCs w:val="21"/>
                <w:highlight w:val="none"/>
                <w:vertAlign w:val="baseline"/>
                <w:lang w:val="en-US" w:eastAsia="zh-CN"/>
              </w:rPr>
              <w:t>5</w:t>
            </w:r>
            <w:r>
              <w:rPr>
                <w:rFonts w:hint="default" w:ascii="Times New Roman" w:hAnsi="Times New Roman" w:cs="Times New Roman"/>
                <w:b w:val="0"/>
                <w:bCs w:val="0"/>
                <w:color w:val="auto"/>
                <w:spacing w:val="4"/>
                <w:sz w:val="21"/>
                <w:szCs w:val="21"/>
                <w:highlight w:val="none"/>
                <w:vertAlign w:val="baseline"/>
                <w:lang w:val="en-US" w:eastAsia="zh-CN"/>
              </w:rPr>
              <w:t>5</w:t>
            </w:r>
          </w:p>
        </w:tc>
        <w:tc>
          <w:tcPr>
            <w:tcW w:w="924" w:type="pct"/>
            <w:vMerge w:val="continue"/>
            <w:vAlign w:val="center"/>
          </w:tcPr>
          <w:p w14:paraId="3627EE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4"/>
                <w:sz w:val="21"/>
                <w:szCs w:val="21"/>
                <w:vertAlign w:val="baseline"/>
              </w:rPr>
            </w:pPr>
          </w:p>
        </w:tc>
      </w:tr>
      <w:tr w14:paraId="78EE9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9" w:type="pct"/>
            <w:vMerge w:val="restart"/>
            <w:vAlign w:val="center"/>
          </w:tcPr>
          <w:p w14:paraId="65DE28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4"/>
                <w:sz w:val="21"/>
                <w:szCs w:val="21"/>
                <w:vertAlign w:val="baseline"/>
                <w:lang w:val="en-US" w:eastAsia="zh-CN"/>
              </w:rPr>
            </w:pPr>
            <w:r>
              <w:rPr>
                <w:rFonts w:hint="default" w:ascii="Times New Roman" w:hAnsi="Times New Roman" w:cs="Times New Roman"/>
                <w:color w:val="auto"/>
                <w:spacing w:val="4"/>
                <w:sz w:val="21"/>
                <w:szCs w:val="21"/>
                <w:vertAlign w:val="baseline"/>
                <w:lang w:val="en-US" w:eastAsia="zh-CN"/>
              </w:rPr>
              <w:t>2</w:t>
            </w:r>
          </w:p>
        </w:tc>
        <w:tc>
          <w:tcPr>
            <w:tcW w:w="1113" w:type="pct"/>
            <w:vMerge w:val="restart"/>
            <w:vAlign w:val="center"/>
          </w:tcPr>
          <w:p w14:paraId="7297C36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pacing w:val="4"/>
                <w:sz w:val="21"/>
                <w:szCs w:val="21"/>
                <w:vertAlign w:val="baseline"/>
                <w:lang w:val="en-US" w:eastAsia="zh-CN"/>
              </w:rPr>
              <w:t>2#中点</w:t>
            </w:r>
          </w:p>
        </w:tc>
        <w:tc>
          <w:tcPr>
            <w:tcW w:w="1042" w:type="pct"/>
            <w:vAlign w:val="center"/>
          </w:tcPr>
          <w:p w14:paraId="3ED3698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4"/>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昼间dB（A）</w:t>
            </w:r>
          </w:p>
        </w:tc>
        <w:tc>
          <w:tcPr>
            <w:tcW w:w="816" w:type="pct"/>
            <w:shd w:val="clear" w:color="auto" w:fill="auto"/>
            <w:vAlign w:val="center"/>
          </w:tcPr>
          <w:p w14:paraId="21A39C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4"/>
                <w:kern w:val="2"/>
                <w:sz w:val="21"/>
                <w:szCs w:val="21"/>
                <w:highlight w:val="none"/>
                <w:vertAlign w:val="baseline"/>
                <w:lang w:val="en-US" w:eastAsia="zh-CN" w:bidi="ar-SA"/>
              </w:rPr>
            </w:pPr>
            <w:r>
              <w:rPr>
                <w:rFonts w:hint="default" w:ascii="Times New Roman" w:hAnsi="Times New Roman" w:eastAsia="宋体" w:cs="Times New Roman"/>
                <w:b w:val="0"/>
                <w:bCs w:val="0"/>
                <w:color w:val="auto"/>
                <w:spacing w:val="4"/>
                <w:sz w:val="21"/>
                <w:szCs w:val="21"/>
                <w:highlight w:val="none"/>
                <w:vertAlign w:val="baseline"/>
                <w:lang w:val="en-US" w:eastAsia="zh-CN"/>
              </w:rPr>
              <w:t>47</w:t>
            </w:r>
          </w:p>
        </w:tc>
        <w:tc>
          <w:tcPr>
            <w:tcW w:w="713" w:type="pct"/>
            <w:shd w:val="clear" w:color="auto" w:fill="auto"/>
            <w:vAlign w:val="center"/>
          </w:tcPr>
          <w:p w14:paraId="144BF9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4"/>
                <w:kern w:val="2"/>
                <w:sz w:val="21"/>
                <w:szCs w:val="21"/>
                <w:highlight w:val="none"/>
                <w:vertAlign w:val="baseline"/>
                <w:lang w:val="en-US" w:eastAsia="zh-CN" w:bidi="ar-SA"/>
              </w:rPr>
            </w:pPr>
            <w:r>
              <w:rPr>
                <w:rFonts w:hint="default" w:ascii="Times New Roman" w:hAnsi="Times New Roman" w:cs="Times New Roman"/>
                <w:b w:val="0"/>
                <w:bCs w:val="0"/>
                <w:color w:val="auto"/>
                <w:spacing w:val="4"/>
                <w:sz w:val="21"/>
                <w:szCs w:val="21"/>
                <w:highlight w:val="none"/>
                <w:vertAlign w:val="baseline"/>
                <w:lang w:val="en-US" w:eastAsia="zh-CN"/>
              </w:rPr>
              <w:t>55</w:t>
            </w:r>
          </w:p>
        </w:tc>
        <w:tc>
          <w:tcPr>
            <w:tcW w:w="924" w:type="pct"/>
            <w:vMerge w:val="restart"/>
            <w:vAlign w:val="center"/>
          </w:tcPr>
          <w:p w14:paraId="5B974F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4"/>
                <w:sz w:val="21"/>
                <w:szCs w:val="21"/>
                <w:vertAlign w:val="baseline"/>
                <w:lang w:val="en-US" w:eastAsia="zh-CN"/>
              </w:rPr>
            </w:pPr>
            <w:r>
              <w:rPr>
                <w:rFonts w:hint="default" w:ascii="Times New Roman" w:hAnsi="Times New Roman" w:cs="Times New Roman"/>
                <w:color w:val="auto"/>
                <w:spacing w:val="4"/>
                <w:sz w:val="21"/>
                <w:szCs w:val="21"/>
                <w:vertAlign w:val="baseline"/>
                <w:lang w:val="en-US" w:eastAsia="zh-CN"/>
              </w:rPr>
              <w:t>达标</w:t>
            </w:r>
          </w:p>
        </w:tc>
      </w:tr>
      <w:tr w14:paraId="459E4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9" w:type="pct"/>
            <w:vMerge w:val="continue"/>
            <w:vAlign w:val="center"/>
          </w:tcPr>
          <w:p w14:paraId="780554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4"/>
                <w:sz w:val="21"/>
                <w:szCs w:val="21"/>
                <w:vertAlign w:val="baseline"/>
              </w:rPr>
            </w:pPr>
          </w:p>
        </w:tc>
        <w:tc>
          <w:tcPr>
            <w:tcW w:w="1113" w:type="pct"/>
            <w:vMerge w:val="continue"/>
            <w:vAlign w:val="center"/>
          </w:tcPr>
          <w:p w14:paraId="4A06112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4"/>
                <w:sz w:val="21"/>
                <w:szCs w:val="21"/>
                <w:vertAlign w:val="baseline"/>
              </w:rPr>
            </w:pPr>
          </w:p>
        </w:tc>
        <w:tc>
          <w:tcPr>
            <w:tcW w:w="1042" w:type="pct"/>
            <w:vAlign w:val="center"/>
          </w:tcPr>
          <w:p w14:paraId="5818F86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4"/>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夜间dB（A）</w:t>
            </w:r>
          </w:p>
        </w:tc>
        <w:tc>
          <w:tcPr>
            <w:tcW w:w="816" w:type="pct"/>
            <w:shd w:val="clear" w:color="auto" w:fill="auto"/>
            <w:vAlign w:val="center"/>
          </w:tcPr>
          <w:p w14:paraId="6CB5F24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4"/>
                <w:kern w:val="2"/>
                <w:sz w:val="21"/>
                <w:szCs w:val="21"/>
                <w:highlight w:val="none"/>
                <w:vertAlign w:val="baseline"/>
                <w:lang w:val="en-US" w:eastAsia="zh-CN" w:bidi="ar-SA"/>
              </w:rPr>
            </w:pPr>
            <w:r>
              <w:rPr>
                <w:rFonts w:hint="default" w:ascii="Times New Roman" w:hAnsi="Times New Roman" w:eastAsia="宋体" w:cs="Times New Roman"/>
                <w:b w:val="0"/>
                <w:bCs w:val="0"/>
                <w:color w:val="auto"/>
                <w:spacing w:val="4"/>
                <w:sz w:val="21"/>
                <w:szCs w:val="21"/>
                <w:highlight w:val="none"/>
                <w:vertAlign w:val="baseline"/>
                <w:lang w:val="en-US" w:eastAsia="zh-CN"/>
              </w:rPr>
              <w:t>4</w:t>
            </w:r>
            <w:r>
              <w:rPr>
                <w:rFonts w:hint="default" w:ascii="Times New Roman" w:hAnsi="Times New Roman" w:cs="Times New Roman"/>
                <w:b w:val="0"/>
                <w:bCs w:val="0"/>
                <w:color w:val="auto"/>
                <w:spacing w:val="4"/>
                <w:sz w:val="21"/>
                <w:szCs w:val="21"/>
                <w:highlight w:val="none"/>
                <w:vertAlign w:val="baseline"/>
                <w:lang w:val="en-US" w:eastAsia="zh-CN"/>
              </w:rPr>
              <w:t>3</w:t>
            </w:r>
          </w:p>
        </w:tc>
        <w:tc>
          <w:tcPr>
            <w:tcW w:w="713" w:type="pct"/>
            <w:shd w:val="clear" w:color="auto" w:fill="auto"/>
            <w:vAlign w:val="center"/>
          </w:tcPr>
          <w:p w14:paraId="714D0ED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4"/>
                <w:kern w:val="2"/>
                <w:sz w:val="21"/>
                <w:szCs w:val="21"/>
                <w:highlight w:val="none"/>
                <w:vertAlign w:val="baseline"/>
                <w:lang w:val="en-US" w:eastAsia="zh-CN" w:bidi="ar-SA"/>
              </w:rPr>
            </w:pPr>
            <w:r>
              <w:rPr>
                <w:rFonts w:hint="default" w:ascii="Times New Roman" w:hAnsi="Times New Roman" w:eastAsia="宋体" w:cs="Times New Roman"/>
                <w:b w:val="0"/>
                <w:bCs w:val="0"/>
                <w:color w:val="auto"/>
                <w:spacing w:val="4"/>
                <w:sz w:val="21"/>
                <w:szCs w:val="21"/>
                <w:highlight w:val="none"/>
                <w:vertAlign w:val="baseline"/>
                <w:lang w:val="en-US" w:eastAsia="zh-CN"/>
              </w:rPr>
              <w:t>5</w:t>
            </w:r>
            <w:r>
              <w:rPr>
                <w:rFonts w:hint="default" w:ascii="Times New Roman" w:hAnsi="Times New Roman" w:cs="Times New Roman"/>
                <w:b w:val="0"/>
                <w:bCs w:val="0"/>
                <w:color w:val="auto"/>
                <w:spacing w:val="4"/>
                <w:sz w:val="21"/>
                <w:szCs w:val="21"/>
                <w:highlight w:val="none"/>
                <w:vertAlign w:val="baseline"/>
                <w:lang w:val="en-US" w:eastAsia="zh-CN"/>
              </w:rPr>
              <w:t>0</w:t>
            </w:r>
          </w:p>
        </w:tc>
        <w:tc>
          <w:tcPr>
            <w:tcW w:w="924" w:type="pct"/>
            <w:vMerge w:val="continue"/>
            <w:vAlign w:val="center"/>
          </w:tcPr>
          <w:p w14:paraId="05D621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4"/>
                <w:sz w:val="21"/>
                <w:szCs w:val="21"/>
                <w:vertAlign w:val="baseline"/>
              </w:rPr>
            </w:pPr>
          </w:p>
        </w:tc>
      </w:tr>
      <w:tr w14:paraId="334FF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9" w:type="pct"/>
            <w:vMerge w:val="restart"/>
            <w:vAlign w:val="center"/>
          </w:tcPr>
          <w:p w14:paraId="635183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4"/>
                <w:sz w:val="21"/>
                <w:szCs w:val="21"/>
                <w:vertAlign w:val="baseline"/>
                <w:lang w:val="en-US" w:eastAsia="zh-CN"/>
              </w:rPr>
            </w:pPr>
            <w:r>
              <w:rPr>
                <w:rFonts w:hint="default" w:ascii="Times New Roman" w:hAnsi="Times New Roman" w:cs="Times New Roman"/>
                <w:color w:val="auto"/>
                <w:spacing w:val="4"/>
                <w:sz w:val="21"/>
                <w:szCs w:val="21"/>
                <w:vertAlign w:val="baseline"/>
                <w:lang w:val="en-US" w:eastAsia="zh-CN"/>
              </w:rPr>
              <w:t>3</w:t>
            </w:r>
          </w:p>
        </w:tc>
        <w:tc>
          <w:tcPr>
            <w:tcW w:w="1113" w:type="pct"/>
            <w:vMerge w:val="restart"/>
            <w:vAlign w:val="center"/>
          </w:tcPr>
          <w:p w14:paraId="4C0D181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vertAlign w:val="baseline"/>
                <w:lang w:val="en-US" w:eastAsia="zh-CN"/>
              </w:rPr>
              <w:t>3#终点</w:t>
            </w:r>
          </w:p>
        </w:tc>
        <w:tc>
          <w:tcPr>
            <w:tcW w:w="1042" w:type="pct"/>
            <w:vAlign w:val="center"/>
          </w:tcPr>
          <w:p w14:paraId="04211EA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4"/>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昼间dB（A）</w:t>
            </w:r>
          </w:p>
        </w:tc>
        <w:tc>
          <w:tcPr>
            <w:tcW w:w="816" w:type="pct"/>
            <w:shd w:val="clear" w:color="auto" w:fill="auto"/>
            <w:vAlign w:val="center"/>
          </w:tcPr>
          <w:p w14:paraId="0AC5FA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4"/>
                <w:kern w:val="2"/>
                <w:sz w:val="21"/>
                <w:szCs w:val="21"/>
                <w:highlight w:val="none"/>
                <w:vertAlign w:val="baseline"/>
                <w:lang w:val="en-US" w:eastAsia="zh-CN" w:bidi="ar-SA"/>
              </w:rPr>
            </w:pPr>
            <w:r>
              <w:rPr>
                <w:rFonts w:hint="default" w:ascii="Times New Roman" w:hAnsi="Times New Roman" w:eastAsia="宋体" w:cs="Times New Roman"/>
                <w:b w:val="0"/>
                <w:bCs w:val="0"/>
                <w:color w:val="auto"/>
                <w:spacing w:val="4"/>
                <w:sz w:val="21"/>
                <w:szCs w:val="21"/>
                <w:highlight w:val="none"/>
                <w:vertAlign w:val="baseline"/>
                <w:lang w:val="en-US" w:eastAsia="zh-CN"/>
              </w:rPr>
              <w:t>4</w:t>
            </w:r>
            <w:r>
              <w:rPr>
                <w:rFonts w:hint="default" w:ascii="Times New Roman" w:hAnsi="Times New Roman" w:cs="Times New Roman"/>
                <w:b w:val="0"/>
                <w:bCs w:val="0"/>
                <w:color w:val="auto"/>
                <w:spacing w:val="4"/>
                <w:sz w:val="21"/>
                <w:szCs w:val="21"/>
                <w:highlight w:val="none"/>
                <w:vertAlign w:val="baseline"/>
                <w:lang w:val="en-US" w:eastAsia="zh-CN"/>
              </w:rPr>
              <w:t>9</w:t>
            </w:r>
          </w:p>
        </w:tc>
        <w:tc>
          <w:tcPr>
            <w:tcW w:w="713" w:type="pct"/>
            <w:shd w:val="clear" w:color="auto" w:fill="auto"/>
            <w:vAlign w:val="center"/>
          </w:tcPr>
          <w:p w14:paraId="48C730E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4"/>
                <w:kern w:val="2"/>
                <w:sz w:val="21"/>
                <w:szCs w:val="21"/>
                <w:highlight w:val="none"/>
                <w:vertAlign w:val="baseline"/>
                <w:lang w:val="en-US" w:eastAsia="zh-CN" w:bidi="ar-SA"/>
              </w:rPr>
            </w:pPr>
            <w:r>
              <w:rPr>
                <w:rFonts w:hint="default" w:ascii="Times New Roman" w:hAnsi="Times New Roman" w:cs="Times New Roman"/>
                <w:b w:val="0"/>
                <w:bCs w:val="0"/>
                <w:color w:val="auto"/>
                <w:spacing w:val="4"/>
                <w:sz w:val="21"/>
                <w:szCs w:val="21"/>
                <w:highlight w:val="none"/>
                <w:vertAlign w:val="baseline"/>
                <w:lang w:val="en-US" w:eastAsia="zh-CN"/>
              </w:rPr>
              <w:t>55</w:t>
            </w:r>
          </w:p>
        </w:tc>
        <w:tc>
          <w:tcPr>
            <w:tcW w:w="924" w:type="pct"/>
            <w:vMerge w:val="restart"/>
            <w:vAlign w:val="center"/>
          </w:tcPr>
          <w:p w14:paraId="09BB8E1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4"/>
                <w:sz w:val="21"/>
                <w:szCs w:val="21"/>
                <w:vertAlign w:val="baseline"/>
                <w:lang w:val="en-US" w:eastAsia="zh-CN"/>
              </w:rPr>
            </w:pPr>
            <w:r>
              <w:rPr>
                <w:rFonts w:hint="default" w:ascii="Times New Roman" w:hAnsi="Times New Roman" w:cs="Times New Roman"/>
                <w:color w:val="auto"/>
                <w:spacing w:val="4"/>
                <w:sz w:val="21"/>
                <w:szCs w:val="21"/>
                <w:vertAlign w:val="baseline"/>
                <w:lang w:val="en-US" w:eastAsia="zh-CN"/>
              </w:rPr>
              <w:t>达标</w:t>
            </w:r>
          </w:p>
        </w:tc>
      </w:tr>
      <w:tr w14:paraId="498AE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9" w:type="pct"/>
            <w:vMerge w:val="continue"/>
            <w:vAlign w:val="center"/>
          </w:tcPr>
          <w:p w14:paraId="52E52E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4"/>
                <w:sz w:val="21"/>
                <w:szCs w:val="21"/>
                <w:vertAlign w:val="baseline"/>
              </w:rPr>
            </w:pPr>
          </w:p>
        </w:tc>
        <w:tc>
          <w:tcPr>
            <w:tcW w:w="1113" w:type="pct"/>
            <w:vMerge w:val="continue"/>
            <w:vAlign w:val="center"/>
          </w:tcPr>
          <w:p w14:paraId="312DCC6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4"/>
                <w:sz w:val="21"/>
                <w:szCs w:val="21"/>
                <w:vertAlign w:val="baseline"/>
              </w:rPr>
            </w:pPr>
          </w:p>
        </w:tc>
        <w:tc>
          <w:tcPr>
            <w:tcW w:w="1042" w:type="pct"/>
            <w:vAlign w:val="center"/>
          </w:tcPr>
          <w:p w14:paraId="66AA84D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4"/>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夜间dB（A）</w:t>
            </w:r>
          </w:p>
        </w:tc>
        <w:tc>
          <w:tcPr>
            <w:tcW w:w="816" w:type="pct"/>
            <w:shd w:val="clear" w:color="auto" w:fill="auto"/>
            <w:vAlign w:val="center"/>
          </w:tcPr>
          <w:p w14:paraId="3F92A6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4"/>
                <w:kern w:val="2"/>
                <w:sz w:val="21"/>
                <w:szCs w:val="21"/>
                <w:highlight w:val="none"/>
                <w:vertAlign w:val="baseline"/>
                <w:lang w:val="en-US" w:eastAsia="zh-CN" w:bidi="ar-SA"/>
              </w:rPr>
            </w:pPr>
            <w:r>
              <w:rPr>
                <w:rFonts w:hint="default" w:ascii="Times New Roman" w:hAnsi="Times New Roman" w:eastAsia="宋体" w:cs="Times New Roman"/>
                <w:b w:val="0"/>
                <w:bCs w:val="0"/>
                <w:color w:val="auto"/>
                <w:spacing w:val="4"/>
                <w:sz w:val="21"/>
                <w:szCs w:val="21"/>
                <w:highlight w:val="none"/>
                <w:vertAlign w:val="baseline"/>
                <w:lang w:val="en-US" w:eastAsia="zh-CN"/>
              </w:rPr>
              <w:t>4</w:t>
            </w:r>
            <w:r>
              <w:rPr>
                <w:rFonts w:hint="default" w:ascii="Times New Roman" w:hAnsi="Times New Roman" w:cs="Times New Roman"/>
                <w:b w:val="0"/>
                <w:bCs w:val="0"/>
                <w:color w:val="auto"/>
                <w:spacing w:val="4"/>
                <w:sz w:val="21"/>
                <w:szCs w:val="21"/>
                <w:highlight w:val="none"/>
                <w:vertAlign w:val="baseline"/>
                <w:lang w:val="en-US" w:eastAsia="zh-CN"/>
              </w:rPr>
              <w:t>4</w:t>
            </w:r>
          </w:p>
        </w:tc>
        <w:tc>
          <w:tcPr>
            <w:tcW w:w="713" w:type="pct"/>
            <w:shd w:val="clear" w:color="auto" w:fill="auto"/>
            <w:vAlign w:val="center"/>
          </w:tcPr>
          <w:p w14:paraId="29171D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4"/>
                <w:kern w:val="2"/>
                <w:sz w:val="21"/>
                <w:szCs w:val="21"/>
                <w:highlight w:val="none"/>
                <w:vertAlign w:val="baseline"/>
                <w:lang w:val="en-US" w:eastAsia="zh-CN" w:bidi="ar-SA"/>
              </w:rPr>
            </w:pPr>
            <w:r>
              <w:rPr>
                <w:rFonts w:hint="default" w:ascii="Times New Roman" w:hAnsi="Times New Roman" w:eastAsia="宋体" w:cs="Times New Roman"/>
                <w:b w:val="0"/>
                <w:bCs w:val="0"/>
                <w:color w:val="auto"/>
                <w:spacing w:val="4"/>
                <w:sz w:val="21"/>
                <w:szCs w:val="21"/>
                <w:highlight w:val="none"/>
                <w:vertAlign w:val="baseline"/>
                <w:lang w:val="en-US" w:eastAsia="zh-CN"/>
              </w:rPr>
              <w:t>5</w:t>
            </w:r>
            <w:r>
              <w:rPr>
                <w:rFonts w:hint="default" w:ascii="Times New Roman" w:hAnsi="Times New Roman" w:cs="Times New Roman"/>
                <w:b w:val="0"/>
                <w:bCs w:val="0"/>
                <w:color w:val="auto"/>
                <w:spacing w:val="4"/>
                <w:sz w:val="21"/>
                <w:szCs w:val="21"/>
                <w:highlight w:val="none"/>
                <w:vertAlign w:val="baseline"/>
                <w:lang w:val="en-US" w:eastAsia="zh-CN"/>
              </w:rPr>
              <w:t>0</w:t>
            </w:r>
          </w:p>
        </w:tc>
        <w:tc>
          <w:tcPr>
            <w:tcW w:w="924" w:type="pct"/>
            <w:vMerge w:val="continue"/>
            <w:vAlign w:val="center"/>
          </w:tcPr>
          <w:p w14:paraId="0E81B8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4"/>
                <w:sz w:val="21"/>
                <w:szCs w:val="21"/>
                <w:vertAlign w:val="baseline"/>
              </w:rPr>
            </w:pPr>
          </w:p>
        </w:tc>
      </w:tr>
    </w:tbl>
    <w:p w14:paraId="71DE1F4B">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4.4.4 声环境质量现状评价</w:t>
      </w:r>
    </w:p>
    <w:p w14:paraId="2755E8F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监测结果表明，</w:t>
      </w:r>
      <w:r>
        <w:rPr>
          <w:rFonts w:hint="default" w:ascii="Times New Roman" w:hAnsi="Times New Roman" w:cs="Times New Roman"/>
          <w:color w:val="auto"/>
          <w:kern w:val="0"/>
          <w:sz w:val="24"/>
          <w:szCs w:val="24"/>
          <w:lang w:val="en-US" w:eastAsia="zh-CN" w:bidi="ar"/>
        </w:rPr>
        <w:t>目前</w:t>
      </w:r>
      <w:r>
        <w:rPr>
          <w:rFonts w:hint="default" w:ascii="Times New Roman" w:hAnsi="Times New Roman" w:eastAsia="宋体" w:cs="Times New Roman"/>
          <w:color w:val="auto"/>
          <w:kern w:val="0"/>
          <w:sz w:val="24"/>
          <w:szCs w:val="24"/>
          <w:lang w:val="en-US" w:eastAsia="zh-CN" w:bidi="ar"/>
        </w:rPr>
        <w:t>各监测点的昼、夜间噪声监测值均可以达到《声环境质量标准》（GB 3096-2008）</w:t>
      </w:r>
      <w:r>
        <w:rPr>
          <w:rFonts w:hint="default" w:ascii="Times New Roman" w:hAnsi="Times New Roman"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类标准。项目区声环境质量较好。</w:t>
      </w:r>
    </w:p>
    <w:p w14:paraId="2344476C">
      <w:pPr>
        <w:pStyle w:val="3"/>
        <w:numPr>
          <w:ilvl w:val="1"/>
          <w:numId w:val="0"/>
        </w:numPr>
        <w:bidi w:val="0"/>
        <w:rPr>
          <w:rFonts w:hint="default" w:ascii="Times New Roman" w:hAnsi="Times New Roman" w:cs="Times New Roman"/>
          <w:color w:val="auto"/>
        </w:rPr>
      </w:pPr>
      <w:bookmarkStart w:id="1036" w:name="_Toc212"/>
      <w:bookmarkStart w:id="1037" w:name="_Toc22272"/>
      <w:bookmarkStart w:id="1038" w:name="_Toc16483"/>
      <w:bookmarkStart w:id="1039" w:name="_Toc84"/>
      <w:bookmarkStart w:id="1040" w:name="_Toc10358"/>
      <w:bookmarkStart w:id="1041" w:name="_Toc22042"/>
      <w:bookmarkStart w:id="1042" w:name="_Toc3867"/>
      <w:bookmarkStart w:id="1043" w:name="_Toc23339"/>
      <w:bookmarkStart w:id="1044" w:name="_Toc8176"/>
      <w:bookmarkStart w:id="1045" w:name="_Toc3086"/>
      <w:r>
        <w:rPr>
          <w:rFonts w:hint="default" w:ascii="Times New Roman" w:hAnsi="Times New Roman" w:cs="Times New Roman"/>
          <w:color w:val="auto"/>
          <w:lang w:val="en-US" w:eastAsia="zh-CN"/>
        </w:rPr>
        <w:t>4.5 水环境现状调查及评价</w:t>
      </w:r>
      <w:bookmarkEnd w:id="1036"/>
      <w:bookmarkEnd w:id="1037"/>
      <w:bookmarkEnd w:id="1038"/>
      <w:bookmarkEnd w:id="1039"/>
      <w:bookmarkEnd w:id="1040"/>
      <w:bookmarkEnd w:id="1041"/>
      <w:bookmarkEnd w:id="1042"/>
      <w:bookmarkEnd w:id="1043"/>
      <w:bookmarkEnd w:id="1044"/>
      <w:bookmarkEnd w:id="1045"/>
    </w:p>
    <w:p w14:paraId="52AB89E5">
      <w:pPr>
        <w:bidi w:val="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本项目为线性工程，项目沿线涉及阿图什市、喀什市境内，项目区距离最近河流为恰克马克河，</w:t>
      </w:r>
      <w:r>
        <w:rPr>
          <w:rFonts w:hint="eastAsia" w:cs="Times New Roman"/>
          <w:color w:val="auto"/>
          <w:lang w:val="en-US" w:eastAsia="zh-CN"/>
        </w:rPr>
        <w:t>距离约2.7</w:t>
      </w:r>
      <w:r>
        <w:rPr>
          <w:rFonts w:hint="default" w:ascii="Times New Roman" w:hAnsi="Times New Roman" w:cs="Times New Roman"/>
          <w:color w:val="auto"/>
          <w:lang w:val="en-US" w:eastAsia="zh-CN"/>
        </w:rPr>
        <w:t>km。根据阿图什市人民政府网公布的“克州2024年5月地表水水质监测”可知，恰克马克河水质监测断面能够满足《地表水环境质量标准》（GB3838-2002）Ⅱ类标准要求，说明区域地表水水质较好。</w:t>
      </w:r>
    </w:p>
    <w:p w14:paraId="2C809CF8">
      <w:pPr>
        <w:bidi w:val="0"/>
        <w:jc w:val="both"/>
        <w:rPr>
          <w:rFonts w:hint="default" w:ascii="Times New Roman" w:hAnsi="Times New Roman" w:cs="Times New Roman"/>
          <w:color w:val="auto"/>
        </w:rPr>
      </w:pPr>
      <w:r>
        <w:rPr>
          <w:rFonts w:hint="default" w:ascii="Times New Roman" w:hAnsi="Times New Roman" w:cs="Times New Roman"/>
          <w:color w:val="auto"/>
          <w:lang w:val="en-US" w:eastAsia="zh-CN"/>
        </w:rPr>
        <w:t>本项目运营后，收费站（与隧道管理站合建）运行会产生生活污水，生活污水经厂区配置的一体化污水处理设施处理达标后用于站区及周围绿化、降尘等。项目运营后生活污水合理处置。</w:t>
      </w:r>
    </w:p>
    <w:bookmarkEnd w:id="1034"/>
    <w:bookmarkEnd w:id="1035"/>
    <w:p w14:paraId="771E8CCB">
      <w:pPr>
        <w:keepNext w:val="0"/>
        <w:keepLines w:val="0"/>
        <w:pageBreakBefore w:val="0"/>
        <w:widowControl w:val="0"/>
        <w:kinsoku/>
        <w:wordWrap/>
        <w:overflowPunct/>
        <w:topLinePunct w:val="0"/>
        <w:autoSpaceDE/>
        <w:autoSpaceDN/>
        <w:bidi w:val="0"/>
        <w:adjustRightInd w:val="0"/>
        <w:snapToGrid w:val="0"/>
        <w:spacing w:before="168" w:beforeLines="50" w:line="360" w:lineRule="auto"/>
        <w:ind w:firstLine="480"/>
        <w:textAlignment w:val="auto"/>
        <w:rPr>
          <w:rFonts w:hint="default" w:ascii="Times New Roman" w:hAnsi="Times New Roman" w:cs="Times New Roman"/>
          <w:b/>
          <w:color w:val="auto"/>
          <w:sz w:val="13"/>
        </w:rPr>
      </w:pPr>
    </w:p>
    <w:p w14:paraId="68F1C854">
      <w:pPr>
        <w:pStyle w:val="11"/>
        <w:spacing w:before="8"/>
        <w:rPr>
          <w:rFonts w:hint="default" w:ascii="Times New Roman" w:hAnsi="Times New Roman" w:cs="Times New Roman"/>
          <w:b/>
          <w:color w:val="auto"/>
          <w:sz w:val="13"/>
        </w:rPr>
        <w:sectPr>
          <w:pgSz w:w="11906" w:h="16838"/>
          <w:pgMar w:top="1440" w:right="1800" w:bottom="1440" w:left="1800" w:header="567" w:footer="737" w:gutter="0"/>
          <w:pgBorders>
            <w:top w:val="none" w:sz="0" w:space="0"/>
            <w:left w:val="none" w:sz="0" w:space="0"/>
            <w:bottom w:val="none" w:sz="0" w:space="0"/>
            <w:right w:val="none" w:sz="0" w:space="0"/>
          </w:pgBorders>
          <w:pgNumType w:fmt="decimal"/>
          <w:cols w:space="720" w:num="1"/>
          <w:docGrid w:type="linesAndChars" w:linePitch="333" w:charSpace="200"/>
        </w:sectPr>
      </w:pPr>
    </w:p>
    <w:p w14:paraId="18272063">
      <w:pPr>
        <w:pStyle w:val="2"/>
        <w:bidi w:val="0"/>
        <w:rPr>
          <w:rFonts w:hint="default" w:ascii="Times New Roman" w:hAnsi="Times New Roman" w:cs="Times New Roman"/>
          <w:color w:val="auto"/>
          <w:lang w:eastAsia="zh-CN"/>
        </w:rPr>
      </w:pPr>
      <w:bookmarkStart w:id="1046" w:name="_Toc19024"/>
      <w:bookmarkStart w:id="1047" w:name="_Toc21990"/>
      <w:bookmarkStart w:id="1048" w:name="_Toc2757"/>
      <w:bookmarkStart w:id="1049" w:name="_Toc23495"/>
      <w:bookmarkStart w:id="1050" w:name="_Toc4508"/>
      <w:bookmarkStart w:id="1051" w:name="_Toc106"/>
      <w:bookmarkStart w:id="1052" w:name="_Toc18138"/>
      <w:bookmarkStart w:id="1053" w:name="_Toc29165"/>
      <w:bookmarkStart w:id="1054" w:name="_Toc13836"/>
      <w:bookmarkStart w:id="1055" w:name="_Toc20665"/>
      <w:bookmarkStart w:id="1056" w:name="_Toc17878"/>
      <w:bookmarkStart w:id="1057" w:name="_Toc18846"/>
      <w:bookmarkStart w:id="1058" w:name="_Toc8951"/>
      <w:bookmarkStart w:id="1059" w:name="_Toc23532"/>
      <w:bookmarkStart w:id="1060" w:name="_Toc17532"/>
      <w:bookmarkStart w:id="1061" w:name="_Toc32049"/>
      <w:bookmarkStart w:id="1062" w:name="_Toc12591"/>
      <w:bookmarkStart w:id="1063" w:name="_Toc27205"/>
      <w:bookmarkStart w:id="1064" w:name="_Toc346"/>
      <w:bookmarkStart w:id="1065" w:name="_Toc608"/>
      <w:bookmarkStart w:id="1066" w:name="_Toc27668"/>
      <w:bookmarkStart w:id="1067" w:name="_Toc31895"/>
      <w:bookmarkStart w:id="1068" w:name="_Toc20285"/>
      <w:bookmarkStart w:id="1069" w:name="_Toc17579"/>
      <w:bookmarkStart w:id="1070" w:name="_Toc21543"/>
      <w:bookmarkStart w:id="1071" w:name="_Toc29416"/>
      <w:bookmarkStart w:id="1072" w:name="_Toc29889"/>
      <w:bookmarkStart w:id="1073" w:name="_Toc24652"/>
      <w:bookmarkStart w:id="1074" w:name="_Toc4835"/>
      <w:bookmarkStart w:id="1075" w:name="_Toc20127"/>
      <w:bookmarkStart w:id="1076" w:name="_Toc1053"/>
      <w:bookmarkStart w:id="1077" w:name="_Toc11498"/>
      <w:bookmarkStart w:id="1078" w:name="_Toc13968"/>
      <w:bookmarkStart w:id="1079" w:name="_Toc14562"/>
      <w:bookmarkStart w:id="1080" w:name="_Toc10780"/>
      <w:bookmarkStart w:id="1081" w:name="_Toc2580"/>
      <w:bookmarkStart w:id="1082" w:name="_Toc28937"/>
      <w:bookmarkStart w:id="1083" w:name="_Toc5389"/>
      <w:bookmarkStart w:id="1084" w:name="_Toc5559"/>
      <w:bookmarkStart w:id="1085" w:name="_Toc28434"/>
      <w:bookmarkStart w:id="1086" w:name="_Toc31706"/>
      <w:bookmarkStart w:id="1087" w:name="_Toc25718"/>
      <w:bookmarkStart w:id="1088" w:name="_Toc83"/>
      <w:bookmarkStart w:id="1089" w:name="_Toc8894"/>
      <w:bookmarkStart w:id="1090" w:name="_Toc8546"/>
      <w:bookmarkStart w:id="1091" w:name="_Toc16131"/>
      <w:bookmarkStart w:id="1092" w:name="_Toc19933"/>
      <w:bookmarkStart w:id="1093" w:name="_Toc16024"/>
      <w:bookmarkStart w:id="1094" w:name="_Toc15865"/>
      <w:bookmarkStart w:id="1095" w:name="_Toc24750"/>
      <w:bookmarkStart w:id="1096" w:name="_Toc32721"/>
      <w:bookmarkStart w:id="1097" w:name="_Toc19429"/>
      <w:bookmarkStart w:id="1098" w:name="_Toc21587"/>
      <w:bookmarkStart w:id="1099" w:name="_Toc20555"/>
      <w:bookmarkStart w:id="1100" w:name="_Toc18116"/>
      <w:bookmarkStart w:id="1101" w:name="_Toc17363"/>
      <w:bookmarkStart w:id="1102" w:name="_Toc29066"/>
      <w:bookmarkStart w:id="1103" w:name="_Toc29362"/>
      <w:bookmarkStart w:id="1104" w:name="_Toc9036"/>
      <w:bookmarkStart w:id="1105" w:name="_Toc20813"/>
      <w:bookmarkStart w:id="1106" w:name="_Toc25998"/>
      <w:bookmarkStart w:id="1107" w:name="_Toc29863"/>
      <w:bookmarkStart w:id="1108" w:name="_Toc17223"/>
      <w:r>
        <w:rPr>
          <w:rFonts w:hint="default" w:ascii="Times New Roman" w:hAnsi="Times New Roman" w:cs="Times New Roman"/>
          <w:color w:val="auto"/>
          <w:lang w:val="en-US" w:eastAsia="zh-CN"/>
        </w:rPr>
        <w:t xml:space="preserve">5 </w:t>
      </w:r>
      <w:r>
        <w:rPr>
          <w:rFonts w:hint="default" w:ascii="Times New Roman" w:hAnsi="Times New Roman" w:cs="Times New Roman"/>
          <w:color w:val="auto"/>
        </w:rPr>
        <w:t>环境影响</w:t>
      </w:r>
      <w:bookmarkEnd w:id="1046"/>
      <w:bookmarkEnd w:id="1047"/>
      <w:bookmarkEnd w:id="1048"/>
      <w:bookmarkStart w:id="1109" w:name="_Toc61948758"/>
      <w:bookmarkStart w:id="1110" w:name="_Toc25995170"/>
      <w:r>
        <w:rPr>
          <w:rFonts w:hint="default" w:ascii="Times New Roman" w:hAnsi="Times New Roman" w:cs="Times New Roman"/>
          <w:color w:val="auto"/>
          <w:lang w:eastAsia="zh-CN"/>
        </w:rPr>
        <w:t>预测与评价</w:t>
      </w:r>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p>
    <w:bookmarkEnd w:id="1109"/>
    <w:bookmarkEnd w:id="1110"/>
    <w:p w14:paraId="3DD511BE">
      <w:pPr>
        <w:pStyle w:val="3"/>
        <w:numPr>
          <w:ilvl w:val="1"/>
          <w:numId w:val="0"/>
        </w:numPr>
        <w:bidi w:val="0"/>
        <w:rPr>
          <w:rFonts w:hint="default" w:ascii="Times New Roman" w:hAnsi="Times New Roman" w:eastAsia="黑体" w:cs="Times New Roman"/>
          <w:color w:val="auto"/>
          <w:lang w:eastAsia="zh-CN"/>
        </w:rPr>
      </w:pPr>
      <w:bookmarkStart w:id="1111" w:name="_Toc299381545"/>
      <w:bookmarkStart w:id="1112" w:name="_Toc10242"/>
      <w:bookmarkStart w:id="1113" w:name="_Toc4055"/>
      <w:bookmarkStart w:id="1114" w:name="_Toc27010"/>
      <w:bookmarkStart w:id="1115" w:name="_Toc289360108"/>
      <w:bookmarkStart w:id="1116" w:name="_Toc321043923"/>
      <w:bookmarkStart w:id="1117" w:name="_Toc5915"/>
      <w:bookmarkStart w:id="1118" w:name="_Toc31007"/>
      <w:bookmarkStart w:id="1119" w:name="_Toc12910"/>
      <w:bookmarkStart w:id="1120" w:name="_Toc8475"/>
      <w:bookmarkStart w:id="1121" w:name="_Toc29790"/>
      <w:bookmarkStart w:id="1122" w:name="_Toc9077"/>
      <w:bookmarkStart w:id="1123" w:name="_Toc15522"/>
      <w:bookmarkStart w:id="1124" w:name="_Toc22679"/>
      <w:bookmarkStart w:id="1125" w:name="_Toc10664"/>
      <w:bookmarkStart w:id="1126" w:name="_Toc25782"/>
      <w:bookmarkStart w:id="1127" w:name="_Toc291499412"/>
      <w:bookmarkStart w:id="1128" w:name="_Toc14932"/>
      <w:bookmarkStart w:id="1129" w:name="_Toc23265"/>
      <w:bookmarkStart w:id="1130" w:name="_Toc310503805"/>
      <w:bookmarkStart w:id="1131" w:name="_Toc299961771"/>
      <w:bookmarkStart w:id="1132" w:name="_Toc13171"/>
      <w:bookmarkStart w:id="1133" w:name="_Toc7179"/>
      <w:bookmarkStart w:id="1134" w:name="_Toc4134"/>
      <w:bookmarkStart w:id="1135" w:name="_Toc25307"/>
      <w:bookmarkStart w:id="1136" w:name="_Toc9241"/>
      <w:bookmarkStart w:id="1137" w:name="_Toc30181"/>
      <w:bookmarkStart w:id="1138" w:name="_Toc26720"/>
      <w:bookmarkStart w:id="1139" w:name="_Toc9342"/>
      <w:bookmarkStart w:id="1140" w:name="_Toc14372"/>
      <w:bookmarkStart w:id="1141" w:name="_Toc14581"/>
      <w:bookmarkStart w:id="1142" w:name="_Toc23667"/>
      <w:bookmarkStart w:id="1143" w:name="_Toc14622"/>
      <w:bookmarkStart w:id="1144" w:name="_Toc23592"/>
      <w:bookmarkStart w:id="1145" w:name="_Toc18095"/>
      <w:bookmarkStart w:id="1146" w:name="_Toc12801"/>
      <w:bookmarkStart w:id="1147" w:name="_Toc12063"/>
      <w:bookmarkStart w:id="1148" w:name="_Toc11627"/>
      <w:bookmarkStart w:id="1149" w:name="_Toc17091"/>
      <w:bookmarkStart w:id="1150" w:name="_Toc4150"/>
      <w:r>
        <w:rPr>
          <w:rFonts w:hint="default" w:ascii="Times New Roman" w:hAnsi="Times New Roman" w:cs="Times New Roman"/>
          <w:color w:val="auto"/>
        </w:rPr>
        <w:t>5.1</w:t>
      </w:r>
      <w:r>
        <w:rPr>
          <w:rFonts w:hint="default" w:ascii="Times New Roman" w:hAnsi="Times New Roman" w:cs="Times New Roman"/>
          <w:color w:val="auto"/>
          <w:lang w:val="en-US" w:eastAsia="zh-CN"/>
        </w:rPr>
        <w:t xml:space="preserve"> </w:t>
      </w:r>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Start w:id="1151" w:name="_Toc20454"/>
      <w:bookmarkStart w:id="1152" w:name="_Toc482529112"/>
      <w:bookmarkStart w:id="1153" w:name="_Toc326656969"/>
      <w:bookmarkStart w:id="1154" w:name="_Toc326243066"/>
      <w:bookmarkStart w:id="1155" w:name="_Toc386447021"/>
      <w:bookmarkStart w:id="1156" w:name="_Toc3100"/>
      <w:bookmarkStart w:id="1157" w:name="_Toc256788980"/>
      <w:bookmarkStart w:id="1158" w:name="_Toc326324498"/>
      <w:bookmarkStart w:id="1159" w:name="_Toc326251660"/>
      <w:bookmarkStart w:id="1160" w:name="_Toc326791789"/>
      <w:bookmarkStart w:id="1161" w:name="_Toc5058"/>
      <w:bookmarkStart w:id="1162" w:name="_Toc259710918"/>
      <w:bookmarkStart w:id="1163" w:name="_Toc330397227"/>
      <w:bookmarkStart w:id="1164" w:name="_Toc326312129"/>
      <w:bookmarkStart w:id="1165" w:name="_Toc31576"/>
      <w:bookmarkStart w:id="1166" w:name="_Toc290385460"/>
      <w:bookmarkStart w:id="1167" w:name="_Toc329186981"/>
      <w:bookmarkStart w:id="1168" w:name="_Toc326000361"/>
      <w:bookmarkStart w:id="1169" w:name="_Toc18231"/>
      <w:bookmarkStart w:id="1170" w:name="_Toc28295"/>
      <w:bookmarkStart w:id="1171" w:name="_Toc326339250"/>
      <w:bookmarkStart w:id="1172" w:name="_Toc29975"/>
      <w:bookmarkStart w:id="1173" w:name="_Toc353197560"/>
      <w:bookmarkStart w:id="1174" w:name="_Toc326829325"/>
      <w:bookmarkStart w:id="1175" w:name="_Toc29758"/>
      <w:bookmarkStart w:id="1176" w:name="_Toc6446"/>
      <w:bookmarkStart w:id="1177" w:name="_Toc325972596"/>
      <w:bookmarkStart w:id="1178" w:name="_Toc11560"/>
      <w:bookmarkStart w:id="1179" w:name="_Toc326341339"/>
      <w:bookmarkStart w:id="1180" w:name="_Toc10185"/>
      <w:bookmarkStart w:id="1181" w:name="_Toc258323690"/>
      <w:bookmarkStart w:id="1182" w:name="_Toc290385658"/>
      <w:bookmarkStart w:id="1183" w:name="_Toc23784"/>
      <w:bookmarkStart w:id="1184" w:name="_Toc29283"/>
      <w:bookmarkStart w:id="1185" w:name="_Toc256786456"/>
      <w:bookmarkStart w:id="1186" w:name="_Toc6604"/>
      <w:bookmarkStart w:id="1187" w:name="_Toc3153"/>
      <w:bookmarkStart w:id="1188" w:name="_Toc295732904"/>
      <w:bookmarkStart w:id="1189" w:name="_Toc23302"/>
      <w:bookmarkStart w:id="1190" w:name="_Toc326311040"/>
      <w:bookmarkStart w:id="1191" w:name="_Toc325981905"/>
      <w:bookmarkStart w:id="1192" w:name="_Toc12795"/>
      <w:bookmarkStart w:id="1193" w:name="_Toc326842991"/>
      <w:bookmarkStart w:id="1194" w:name="_Toc6293"/>
      <w:bookmarkStart w:id="1195" w:name="_Toc21698"/>
      <w:bookmarkStart w:id="1196" w:name="_Toc23275"/>
      <w:bookmarkStart w:id="1197" w:name="_Toc10299"/>
      <w:bookmarkStart w:id="1198" w:name="_Toc30678"/>
      <w:bookmarkStart w:id="1199" w:name="_Toc3659"/>
      <w:bookmarkStart w:id="1200" w:name="_Toc5424"/>
      <w:bookmarkStart w:id="1201" w:name="_Toc13651"/>
      <w:bookmarkStart w:id="1202" w:name="_Toc20788"/>
      <w:bookmarkStart w:id="1203" w:name="_Toc1205"/>
      <w:bookmarkStart w:id="1204" w:name="_Toc17175"/>
      <w:bookmarkStart w:id="1205" w:name="_Toc30074"/>
      <w:bookmarkStart w:id="1206" w:name="_Toc14642"/>
      <w:bookmarkStart w:id="1207" w:name="_Toc17692"/>
      <w:bookmarkStart w:id="1208" w:name="_Toc2144"/>
      <w:bookmarkStart w:id="1209" w:name="_Toc14301"/>
      <w:bookmarkStart w:id="1210" w:name="_Toc29290"/>
      <w:bookmarkStart w:id="1211" w:name="_Toc27534"/>
      <w:bookmarkStart w:id="1212" w:name="_Toc22340"/>
      <w:bookmarkStart w:id="1213" w:name="_Toc1260"/>
      <w:bookmarkStart w:id="1214" w:name="_Toc15173"/>
      <w:bookmarkStart w:id="1215" w:name="_Toc12061"/>
      <w:bookmarkStart w:id="1216" w:name="_Toc30099"/>
      <w:bookmarkStart w:id="1217" w:name="_Toc14597"/>
      <w:bookmarkStart w:id="1218" w:name="_Toc23107"/>
      <w:bookmarkStart w:id="1219" w:name="_Toc198"/>
      <w:bookmarkStart w:id="1220" w:name="_Toc11610"/>
      <w:bookmarkStart w:id="1221" w:name="_Toc11729"/>
      <w:bookmarkStart w:id="1222" w:name="_Toc32630"/>
      <w:bookmarkStart w:id="1223" w:name="_Toc29498"/>
      <w:bookmarkStart w:id="1224" w:name="_Toc8993"/>
      <w:bookmarkStart w:id="1225" w:name="_Toc21618"/>
      <w:bookmarkStart w:id="1226" w:name="_Toc25700"/>
      <w:bookmarkStart w:id="1227" w:name="_Toc3506"/>
      <w:bookmarkStart w:id="1228" w:name="_Toc17847"/>
      <w:bookmarkStart w:id="1229" w:name="_Toc11845"/>
      <w:bookmarkStart w:id="1230" w:name="_Toc30263"/>
      <w:bookmarkStart w:id="1231" w:name="_Toc23397"/>
      <w:bookmarkStart w:id="1232" w:name="_Toc26060"/>
      <w:bookmarkStart w:id="1233" w:name="_Toc24799"/>
      <w:bookmarkStart w:id="1234" w:name="_Toc25551"/>
      <w:r>
        <w:rPr>
          <w:rFonts w:hint="default" w:ascii="Times New Roman" w:hAnsi="Times New Roman" w:cs="Times New Roman"/>
          <w:color w:val="auto"/>
          <w:lang w:val="en-US" w:eastAsia="zh-CN"/>
        </w:rPr>
        <w:t>生态</w:t>
      </w:r>
      <w:r>
        <w:rPr>
          <w:rFonts w:hint="default" w:ascii="Times New Roman" w:hAnsi="Times New Roman" w:cs="Times New Roman"/>
          <w:color w:val="auto"/>
        </w:rPr>
        <w:t>环境影响</w:t>
      </w:r>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r>
        <w:rPr>
          <w:rFonts w:hint="default" w:ascii="Times New Roman" w:hAnsi="Times New Roman" w:cs="Times New Roman"/>
          <w:color w:val="auto"/>
          <w:lang w:eastAsia="zh-CN"/>
        </w:rPr>
        <w:t>预测与评价</w:t>
      </w:r>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p>
    <w:p w14:paraId="7467D6B7">
      <w:pPr>
        <w:pStyle w:val="4"/>
        <w:bidi w:val="0"/>
        <w:rPr>
          <w:rFonts w:hint="default" w:ascii="Times New Roman" w:hAnsi="Times New Roman" w:cs="Times New Roman"/>
          <w:color w:val="auto"/>
        </w:rPr>
      </w:pPr>
      <w:bookmarkStart w:id="1235" w:name="_Toc9701"/>
      <w:bookmarkStart w:id="1236" w:name="_Toc22263"/>
      <w:bookmarkStart w:id="1237" w:name="_Toc17816"/>
      <w:bookmarkStart w:id="1238" w:name="_Toc28770"/>
      <w:bookmarkStart w:id="1239" w:name="_Toc15993"/>
      <w:bookmarkStart w:id="1240" w:name="_Toc482529113"/>
      <w:bookmarkStart w:id="1241" w:name="_Toc28348"/>
      <w:bookmarkStart w:id="1242" w:name="_Toc32585"/>
      <w:bookmarkStart w:id="1243" w:name="_Toc16571"/>
      <w:bookmarkStart w:id="1244" w:name="_Toc32425"/>
      <w:bookmarkStart w:id="1245" w:name="_Toc14176"/>
      <w:bookmarkStart w:id="1246" w:name="_Toc386447030"/>
      <w:bookmarkStart w:id="1247" w:name="_Toc353197563"/>
      <w:bookmarkStart w:id="1248" w:name="_Toc16104"/>
      <w:bookmarkStart w:id="1249" w:name="_Toc16559"/>
      <w:bookmarkStart w:id="1250" w:name="_Toc18663"/>
      <w:bookmarkStart w:id="1251" w:name="_Toc23228"/>
      <w:bookmarkStart w:id="1252" w:name="_Toc23038"/>
      <w:bookmarkStart w:id="1253" w:name="_Toc16639"/>
      <w:r>
        <w:rPr>
          <w:rFonts w:hint="default" w:ascii="Times New Roman" w:hAnsi="Times New Roman" w:cs="Times New Roman"/>
          <w:color w:val="auto"/>
          <w:lang w:val="en-US" w:eastAsia="zh-CN"/>
        </w:rPr>
        <w:t>5.1.1 工程建设对区域主要生态系统的影响</w:t>
      </w:r>
    </w:p>
    <w:p w14:paraId="31C42AF3">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5.1.1.1 工程建设对农田生态系统的影响</w:t>
      </w:r>
    </w:p>
    <w:p w14:paraId="2E08700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拟建公路沿线农田生态系统主要分布在</w:t>
      </w:r>
      <w:r>
        <w:rPr>
          <w:rFonts w:hint="default" w:ascii="Times New Roman" w:hAnsi="Times New Roman" w:cs="Times New Roman"/>
          <w:color w:val="auto"/>
          <w:kern w:val="0"/>
          <w:sz w:val="24"/>
          <w:szCs w:val="24"/>
          <w:lang w:val="en-US" w:eastAsia="zh-CN" w:bidi="ar"/>
        </w:rPr>
        <w:t>克州阿扎克乡</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cs="Times New Roman"/>
          <w:color w:val="auto"/>
          <w:kern w:val="0"/>
          <w:sz w:val="24"/>
          <w:szCs w:val="24"/>
          <w:lang w:val="en-US" w:eastAsia="zh-CN" w:bidi="ar"/>
        </w:rPr>
        <w:t>根据建设单位提供的工程可行性研究报告，本项目</w:t>
      </w:r>
      <w:r>
        <w:rPr>
          <w:rFonts w:hint="default" w:ascii="Times New Roman" w:hAnsi="Times New Roman" w:eastAsia="宋体" w:cs="Times New Roman"/>
          <w:color w:val="auto"/>
          <w:kern w:val="0"/>
          <w:sz w:val="24"/>
          <w:szCs w:val="24"/>
          <w:lang w:val="en-US" w:eastAsia="zh-CN" w:bidi="ar"/>
        </w:rPr>
        <w:t>占用</w:t>
      </w:r>
      <w:r>
        <w:rPr>
          <w:rFonts w:hint="eastAsia" w:cs="Times New Roman"/>
          <w:color w:val="auto"/>
          <w:kern w:val="0"/>
          <w:sz w:val="24"/>
          <w:szCs w:val="24"/>
          <w:lang w:val="en-US" w:eastAsia="zh-CN" w:bidi="ar"/>
        </w:rPr>
        <w:t>园地</w:t>
      </w:r>
      <w:r>
        <w:rPr>
          <w:rFonts w:hint="default" w:ascii="Times New Roman" w:hAnsi="Times New Roman" w:cs="Times New Roman"/>
          <w:color w:val="auto"/>
          <w:kern w:val="0"/>
          <w:sz w:val="24"/>
          <w:szCs w:val="24"/>
          <w:lang w:val="en-US" w:eastAsia="zh-CN" w:bidi="ar"/>
        </w:rPr>
        <w:t>17159m</w:t>
      </w:r>
      <w:r>
        <w:rPr>
          <w:rFonts w:hint="default" w:ascii="Times New Roman" w:hAnsi="Times New Roman" w:cs="Times New Roman"/>
          <w:color w:val="auto"/>
          <w:kern w:val="0"/>
          <w:sz w:val="24"/>
          <w:szCs w:val="24"/>
          <w:vertAlign w:val="superscript"/>
          <w:lang w:val="en-US" w:eastAsia="zh-CN" w:bidi="ar"/>
        </w:rPr>
        <w:t>2</w:t>
      </w:r>
      <w:r>
        <w:rPr>
          <w:rFonts w:hint="default" w:ascii="Times New Roman" w:hAnsi="Times New Roman" w:cs="Times New Roman"/>
          <w:color w:val="auto"/>
          <w:kern w:val="0"/>
          <w:sz w:val="24"/>
          <w:szCs w:val="24"/>
          <w:lang w:val="en-US" w:eastAsia="zh-CN" w:bidi="ar"/>
        </w:rPr>
        <w:t>（不占用</w:t>
      </w:r>
      <w:r>
        <w:rPr>
          <w:rFonts w:hint="default" w:ascii="Times New Roman" w:hAnsi="Times New Roman" w:eastAsia="宋体" w:cs="Times New Roman"/>
          <w:color w:val="auto"/>
          <w:kern w:val="0"/>
          <w:sz w:val="24"/>
          <w:szCs w:val="24"/>
          <w:lang w:val="en-US" w:eastAsia="zh-CN" w:bidi="ar"/>
        </w:rPr>
        <w:t>基本农田</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w:t>
      </w:r>
    </w:p>
    <w:p w14:paraId="02AB997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工程建设对农田生态系统的影响主要表现为工程占地引起的土地损失，致使耕地面积</w:t>
      </w:r>
      <w:r>
        <w:rPr>
          <w:rFonts w:hint="eastAsia" w:cs="Times New Roman"/>
          <w:color w:val="auto"/>
          <w:kern w:val="0"/>
          <w:sz w:val="24"/>
          <w:szCs w:val="24"/>
          <w:lang w:val="en-US" w:eastAsia="zh-CN" w:bidi="ar"/>
        </w:rPr>
        <w:t>减少</w:t>
      </w:r>
      <w:r>
        <w:rPr>
          <w:rFonts w:hint="default" w:ascii="Times New Roman" w:hAnsi="Times New Roman" w:eastAsia="宋体" w:cs="Times New Roman"/>
          <w:color w:val="auto"/>
          <w:kern w:val="0"/>
          <w:sz w:val="24"/>
          <w:szCs w:val="24"/>
          <w:lang w:val="en-US" w:eastAsia="zh-CN" w:bidi="ar"/>
        </w:rPr>
        <w:t>，进而对农田生态系统的农产品产量造成影响，但由于工程占用的耕地数量占区域总耕地面积的比例较小，公路建设对农田生态系统的结构和功能影响不大。</w:t>
      </w:r>
    </w:p>
    <w:p w14:paraId="1B667B9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此外，应按照自然资源主管部门“占一补一，占补平衡”的原则，按照自治区规定标准缴纳耕地开垦费，专款用于开垦新的耕地，确保不降低原有耕地的数量和质量。</w:t>
      </w:r>
    </w:p>
    <w:p w14:paraId="6A4F2E2E">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5.1.1.2 工程建设对荒漠生态系统的影响</w:t>
      </w:r>
    </w:p>
    <w:p w14:paraId="4924CD9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本项目评价区范围内的自然植被类型比较单一，属于典型荒漠植被类型，主要植被为盐生草、琵琶柴为主</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根据现场调查，项目区植被覆盖度约为10%左右。农作物主要有玉米、棉花，果园树种有梨树、桃树、核桃、石榴、葡萄及杏树等，项目区林地树种主要为杨树、柳树。</w:t>
      </w:r>
    </w:p>
    <w:p w14:paraId="3C9A008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工程建设将在一定程度上加剧荒漠生态系统的脆弱度和不稳定性，施工过程如不严格落实各项水土保持措施，将会加剧水土流失。本次环评要求各单位要加强施工管理，严禁越界施工，做好施工期的表土剥离措施，提倡边扰动边恢复，最大限度降低对荒漠生态系统影响</w:t>
      </w:r>
    </w:p>
    <w:p w14:paraId="14F151B8">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5.1.2 工程占地的影响分析</w:t>
      </w:r>
    </w:p>
    <w:p w14:paraId="07429C45">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5.1.2.1 永久占地合理性分析</w:t>
      </w:r>
    </w:p>
    <w:p w14:paraId="0B09796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拟建公路建设中，占用各类土地</w:t>
      </w:r>
      <w:r>
        <w:rPr>
          <w:rFonts w:hint="default" w:ascii="Times New Roman" w:hAnsi="Times New Roman" w:cs="Times New Roman"/>
          <w:color w:val="auto"/>
          <w:kern w:val="0"/>
          <w:sz w:val="24"/>
          <w:szCs w:val="24"/>
          <w:highlight w:val="none"/>
          <w:lang w:val="en-US" w:eastAsia="zh-CN" w:bidi="ar"/>
        </w:rPr>
        <w:t>329923</w:t>
      </w:r>
      <w:r>
        <w:rPr>
          <w:rFonts w:hint="default" w:ascii="Times New Roman" w:hAnsi="Times New Roman" w:eastAsia="宋体" w:cs="Times New Roman"/>
          <w:color w:val="auto"/>
          <w:kern w:val="0"/>
          <w:sz w:val="24"/>
          <w:szCs w:val="24"/>
          <w:highlight w:val="none"/>
          <w:lang w:val="en-US" w:eastAsia="zh-CN" w:bidi="ar"/>
        </w:rPr>
        <w:t>m</w:t>
      </w:r>
      <w:r>
        <w:rPr>
          <w:rFonts w:hint="default" w:ascii="Times New Roman" w:hAnsi="Times New Roman" w:eastAsia="宋体" w:cs="Times New Roman"/>
          <w:color w:val="auto"/>
          <w:kern w:val="0"/>
          <w:sz w:val="24"/>
          <w:szCs w:val="24"/>
          <w:highlight w:val="none"/>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，其中占用</w:t>
      </w:r>
      <w:r>
        <w:rPr>
          <w:rFonts w:hint="eastAsia" w:cs="Times New Roman"/>
          <w:color w:val="auto"/>
          <w:kern w:val="0"/>
          <w:sz w:val="24"/>
          <w:szCs w:val="24"/>
          <w:lang w:val="en-US" w:eastAsia="zh-CN" w:bidi="ar"/>
        </w:rPr>
        <w:t>园地</w:t>
      </w:r>
      <w:r>
        <w:rPr>
          <w:rFonts w:hint="default" w:ascii="Times New Roman" w:hAnsi="Times New Roman" w:cs="Times New Roman"/>
          <w:color w:val="auto"/>
          <w:kern w:val="0"/>
          <w:sz w:val="24"/>
          <w:szCs w:val="24"/>
          <w:lang w:val="en-US" w:eastAsia="zh-CN" w:bidi="ar"/>
        </w:rPr>
        <w:t>17159m</w:t>
      </w:r>
      <w:r>
        <w:rPr>
          <w:rFonts w:hint="default" w:ascii="Times New Roman" w:hAnsi="Times New Roman" w:cs="Times New Roman"/>
          <w:color w:val="auto"/>
          <w:kern w:val="0"/>
          <w:sz w:val="24"/>
          <w:szCs w:val="24"/>
          <w:vertAlign w:val="superscript"/>
          <w:lang w:val="en-US" w:eastAsia="zh-CN" w:bidi="ar"/>
        </w:rPr>
        <w:t>2</w:t>
      </w:r>
      <w:r>
        <w:rPr>
          <w:rFonts w:hint="default" w:ascii="Times New Roman" w:hAnsi="Times New Roman" w:cs="Times New Roman"/>
          <w:color w:val="auto"/>
          <w:kern w:val="0"/>
          <w:sz w:val="24"/>
          <w:szCs w:val="24"/>
          <w:lang w:val="en-US" w:eastAsia="zh-CN" w:bidi="ar"/>
        </w:rPr>
        <w:t>（不占用</w:t>
      </w:r>
      <w:r>
        <w:rPr>
          <w:rFonts w:hint="default" w:ascii="Times New Roman" w:hAnsi="Times New Roman" w:eastAsia="宋体" w:cs="Times New Roman"/>
          <w:color w:val="auto"/>
          <w:kern w:val="0"/>
          <w:sz w:val="24"/>
          <w:szCs w:val="24"/>
          <w:lang w:val="en-US" w:eastAsia="zh-CN" w:bidi="ar"/>
        </w:rPr>
        <w:t>基本农田</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cs="Times New Roman"/>
          <w:color w:val="auto"/>
          <w:kern w:val="0"/>
          <w:sz w:val="24"/>
          <w:szCs w:val="24"/>
          <w:lang w:val="en-US" w:eastAsia="zh-CN" w:bidi="ar"/>
        </w:rPr>
        <w:t>公路</w:t>
      </w:r>
      <w:r>
        <w:rPr>
          <w:rFonts w:hint="default" w:ascii="Times New Roman" w:hAnsi="Times New Roman" w:eastAsia="宋体" w:cs="Times New Roman"/>
          <w:color w:val="auto"/>
          <w:kern w:val="0"/>
          <w:sz w:val="24"/>
          <w:szCs w:val="24"/>
          <w:lang w:val="en-US" w:eastAsia="zh-CN" w:bidi="ar"/>
        </w:rPr>
        <w:t>建设后会对评价范围内的</w:t>
      </w:r>
      <w:r>
        <w:rPr>
          <w:rFonts w:hint="default" w:ascii="Times New Roman" w:hAnsi="Times New Roman" w:cs="Times New Roman"/>
          <w:color w:val="auto"/>
          <w:kern w:val="0"/>
          <w:sz w:val="24"/>
          <w:szCs w:val="24"/>
          <w:lang w:val="en-US" w:eastAsia="zh-CN" w:bidi="ar"/>
        </w:rPr>
        <w:t>农用地</w:t>
      </w:r>
      <w:r>
        <w:rPr>
          <w:rFonts w:hint="default" w:ascii="Times New Roman" w:hAnsi="Times New Roman" w:eastAsia="宋体" w:cs="Times New Roman"/>
          <w:color w:val="auto"/>
          <w:kern w:val="0"/>
          <w:sz w:val="24"/>
          <w:szCs w:val="24"/>
          <w:lang w:val="en-US" w:eastAsia="zh-CN" w:bidi="ar"/>
        </w:rPr>
        <w:t>等产生一定的影响。同时，工程建设对评价范围内的土地利用结构也将产生一定的影响，主要表现为</w:t>
      </w:r>
      <w:r>
        <w:rPr>
          <w:rFonts w:hint="default" w:ascii="Times New Roman" w:hAnsi="Times New Roman" w:cs="Times New Roman"/>
          <w:color w:val="auto"/>
          <w:kern w:val="0"/>
          <w:sz w:val="24"/>
          <w:szCs w:val="24"/>
          <w:lang w:val="en-US" w:eastAsia="zh-CN" w:bidi="ar"/>
        </w:rPr>
        <w:t>农用地</w:t>
      </w:r>
      <w:r>
        <w:rPr>
          <w:rFonts w:hint="default" w:ascii="Times New Roman" w:hAnsi="Times New Roman" w:eastAsia="宋体" w:cs="Times New Roman"/>
          <w:color w:val="auto"/>
          <w:kern w:val="0"/>
          <w:sz w:val="24"/>
          <w:szCs w:val="24"/>
          <w:lang w:val="en-US" w:eastAsia="zh-CN" w:bidi="ar"/>
        </w:rPr>
        <w:t>的建设用地化。</w:t>
      </w:r>
    </w:p>
    <w:p w14:paraId="45094CA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本项目公路用地占有各类规划土地面积比例详见下表。</w:t>
      </w:r>
    </w:p>
    <w:p w14:paraId="2E46F06B">
      <w:pPr>
        <w:keepNext w:val="0"/>
        <w:keepLines w:val="0"/>
        <w:pageBreakBefore w:val="0"/>
        <w:widowControl w:val="0"/>
        <w:tabs>
          <w:tab w:val="left" w:pos="2780"/>
        </w:tabs>
        <w:kinsoku/>
        <w:wordWrap/>
        <w:overflowPunct/>
        <w:topLinePunct w:val="0"/>
        <w:autoSpaceDE/>
        <w:autoSpaceDN/>
        <w:bidi w:val="0"/>
        <w:adjustRightInd/>
        <w:snapToGrid/>
        <w:spacing w:before="0" w:line="300" w:lineRule="exact"/>
        <w:ind w:left="0" w:firstLine="420" w:firstLineChars="200"/>
        <w:jc w:val="center"/>
        <w:textAlignment w:val="auto"/>
        <w:outlineLvl w:val="9"/>
        <w:rPr>
          <w:rFonts w:hint="default" w:ascii="Times New Roman" w:hAnsi="Times New Roman" w:eastAsia="宋体" w:cs="Times New Roman"/>
          <w:b/>
          <w:bCs/>
          <w:color w:val="auto"/>
          <w:kern w:val="2"/>
          <w:sz w:val="21"/>
          <w:szCs w:val="21"/>
          <w:vertAlign w:val="superscript"/>
          <w:lang w:val="en-US" w:eastAsia="zh-CN" w:bidi="ar-SA"/>
        </w:rPr>
      </w:pPr>
      <w:r>
        <w:rPr>
          <w:rFonts w:hint="default" w:ascii="Times New Roman" w:hAnsi="Times New Roman" w:eastAsia="宋体" w:cs="Times New Roman"/>
          <w:b/>
          <w:bCs/>
          <w:color w:val="auto"/>
          <w:kern w:val="2"/>
          <w:sz w:val="21"/>
          <w:szCs w:val="21"/>
          <w:lang w:val="en-US" w:eastAsia="zh-CN" w:bidi="ar-SA"/>
        </w:rPr>
        <w:t>表</w:t>
      </w:r>
      <w:r>
        <w:rPr>
          <w:rFonts w:hint="eastAsia" w:cs="Times New Roman"/>
          <w:b/>
          <w:bCs/>
          <w:color w:val="auto"/>
          <w:kern w:val="2"/>
          <w:sz w:val="21"/>
          <w:szCs w:val="21"/>
          <w:lang w:val="en-US" w:eastAsia="zh-CN" w:bidi="ar-SA"/>
        </w:rPr>
        <w:t>5.1</w:t>
      </w:r>
      <w:r>
        <w:rPr>
          <w:rFonts w:hint="default" w:ascii="Times New Roman" w:hAnsi="Times New Roman" w:eastAsia="宋体" w:cs="Times New Roman"/>
          <w:b/>
          <w:bCs/>
          <w:color w:val="auto"/>
          <w:kern w:val="2"/>
          <w:sz w:val="21"/>
          <w:szCs w:val="21"/>
          <w:lang w:val="en-US" w:eastAsia="zh-CN" w:bidi="ar-SA"/>
        </w:rPr>
        <w:t>-1   项目永久占地情况统计表  单位：m</w:t>
      </w:r>
      <w:r>
        <w:rPr>
          <w:rFonts w:hint="default" w:ascii="Times New Roman" w:hAnsi="Times New Roman" w:eastAsia="宋体" w:cs="Times New Roman"/>
          <w:b/>
          <w:bCs/>
          <w:color w:val="auto"/>
          <w:kern w:val="2"/>
          <w:sz w:val="21"/>
          <w:szCs w:val="21"/>
          <w:vertAlign w:val="superscript"/>
          <w:lang w:val="en-US" w:eastAsia="zh-CN" w:bidi="ar-SA"/>
        </w:rPr>
        <w:t>2</w:t>
      </w:r>
    </w:p>
    <w:tbl>
      <w:tblPr>
        <w:tblStyle w:val="3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9"/>
        <w:gridCol w:w="648"/>
        <w:gridCol w:w="2372"/>
        <w:gridCol w:w="1214"/>
        <w:gridCol w:w="2991"/>
        <w:gridCol w:w="619"/>
      </w:tblGrid>
      <w:tr w14:paraId="5EAB0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398" w:type="pct"/>
            <w:tcBorders>
              <w:tl2br w:val="nil"/>
              <w:tr2bl w:val="nil"/>
            </w:tcBorders>
            <w:noWrap w:val="0"/>
            <w:vAlign w:val="center"/>
          </w:tcPr>
          <w:p w14:paraId="6EF3815B">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both"/>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性质</w:t>
            </w:r>
          </w:p>
        </w:tc>
        <w:tc>
          <w:tcPr>
            <w:tcW w:w="1771" w:type="pct"/>
            <w:gridSpan w:val="2"/>
            <w:tcBorders>
              <w:tl2br w:val="nil"/>
              <w:tr2bl w:val="nil"/>
            </w:tcBorders>
            <w:noWrap w:val="0"/>
            <w:vAlign w:val="center"/>
          </w:tcPr>
          <w:p w14:paraId="6AE31333">
            <w:pPr>
              <w:keepNext w:val="0"/>
              <w:keepLines w:val="0"/>
              <w:pageBreakBefore w:val="0"/>
              <w:widowControl w:val="0"/>
              <w:kinsoku/>
              <w:wordWrap/>
              <w:overflowPunct w:val="0"/>
              <w:topLinePunct w:val="0"/>
              <w:autoSpaceDE/>
              <w:autoSpaceDN/>
              <w:bidi w:val="0"/>
              <w:adjustRightInd w:val="0"/>
              <w:snapToGrid/>
              <w:spacing w:line="240" w:lineRule="auto"/>
              <w:ind w:firstLine="20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名称</w:t>
            </w:r>
          </w:p>
        </w:tc>
        <w:tc>
          <w:tcPr>
            <w:tcW w:w="712" w:type="pct"/>
            <w:tcBorders>
              <w:tl2br w:val="nil"/>
              <w:tr2bl w:val="nil"/>
            </w:tcBorders>
            <w:noWrap w:val="0"/>
            <w:vAlign w:val="center"/>
          </w:tcPr>
          <w:p w14:paraId="1984F01A">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both"/>
              <w:textAlignment w:val="baseline"/>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val="en-US" w:eastAsia="zh-CN"/>
              </w:rPr>
              <w:t>占地面积</w:t>
            </w:r>
          </w:p>
        </w:tc>
        <w:tc>
          <w:tcPr>
            <w:tcW w:w="1754" w:type="pct"/>
            <w:tcBorders>
              <w:tl2br w:val="nil"/>
              <w:tr2bl w:val="nil"/>
            </w:tcBorders>
            <w:noWrap w:val="0"/>
            <w:vAlign w:val="center"/>
          </w:tcPr>
          <w:p w14:paraId="66F2030B">
            <w:pPr>
              <w:keepNext w:val="0"/>
              <w:keepLines w:val="0"/>
              <w:pageBreakBefore w:val="0"/>
              <w:widowControl w:val="0"/>
              <w:kinsoku/>
              <w:wordWrap/>
              <w:overflowPunct w:val="0"/>
              <w:topLinePunct w:val="0"/>
              <w:autoSpaceDE/>
              <w:autoSpaceDN/>
              <w:bidi w:val="0"/>
              <w:adjustRightInd w:val="0"/>
              <w:snapToGrid/>
              <w:spacing w:line="240" w:lineRule="auto"/>
              <w:ind w:firstLine="20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占地类型</w:t>
            </w:r>
          </w:p>
        </w:tc>
        <w:tc>
          <w:tcPr>
            <w:tcW w:w="363" w:type="pct"/>
            <w:tcBorders>
              <w:tl2br w:val="nil"/>
              <w:tr2bl w:val="nil"/>
            </w:tcBorders>
            <w:noWrap w:val="0"/>
            <w:vAlign w:val="center"/>
          </w:tcPr>
          <w:p w14:paraId="018F8458">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both"/>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备注</w:t>
            </w:r>
          </w:p>
        </w:tc>
      </w:tr>
      <w:tr w14:paraId="63ABA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398" w:type="pct"/>
            <w:vMerge w:val="restart"/>
            <w:tcBorders>
              <w:tl2br w:val="nil"/>
              <w:tr2bl w:val="nil"/>
            </w:tcBorders>
            <w:noWrap w:val="0"/>
            <w:vAlign w:val="center"/>
          </w:tcPr>
          <w:p w14:paraId="6119511C">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both"/>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永久</w:t>
            </w:r>
          </w:p>
          <w:p w14:paraId="64496EA2">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both"/>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占地</w:t>
            </w:r>
          </w:p>
        </w:tc>
        <w:tc>
          <w:tcPr>
            <w:tcW w:w="1771" w:type="pct"/>
            <w:gridSpan w:val="2"/>
            <w:tcBorders>
              <w:tl2br w:val="nil"/>
              <w:tr2bl w:val="nil"/>
            </w:tcBorders>
            <w:noWrap w:val="0"/>
            <w:vAlign w:val="center"/>
          </w:tcPr>
          <w:p w14:paraId="7C57D8C5">
            <w:pPr>
              <w:keepNext w:val="0"/>
              <w:keepLines w:val="0"/>
              <w:pageBreakBefore w:val="0"/>
              <w:widowControl w:val="0"/>
              <w:kinsoku/>
              <w:wordWrap/>
              <w:overflowPunct w:val="0"/>
              <w:topLinePunct w:val="0"/>
              <w:autoSpaceDE/>
              <w:autoSpaceDN/>
              <w:bidi w:val="0"/>
              <w:adjustRightInd w:val="0"/>
              <w:snapToGrid/>
              <w:spacing w:line="240" w:lineRule="auto"/>
              <w:ind w:firstLine="20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路基工程区</w:t>
            </w:r>
          </w:p>
        </w:tc>
        <w:tc>
          <w:tcPr>
            <w:tcW w:w="712" w:type="pct"/>
            <w:tcBorders>
              <w:tl2br w:val="nil"/>
              <w:tr2bl w:val="nil"/>
            </w:tcBorders>
            <w:noWrap w:val="0"/>
            <w:vAlign w:val="center"/>
          </w:tcPr>
          <w:p w14:paraId="443CB338">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282586.39</w:t>
            </w:r>
          </w:p>
        </w:tc>
        <w:tc>
          <w:tcPr>
            <w:tcW w:w="1754" w:type="pct"/>
            <w:tcBorders>
              <w:tl2br w:val="nil"/>
              <w:tr2bl w:val="nil"/>
            </w:tcBorders>
            <w:noWrap w:val="0"/>
            <w:vAlign w:val="center"/>
          </w:tcPr>
          <w:p w14:paraId="6C14704A">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both"/>
              <w:textAlignment w:val="baseline"/>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裸岩石砾地（戈壁、裸岩石质地）</w:t>
            </w:r>
          </w:p>
        </w:tc>
        <w:tc>
          <w:tcPr>
            <w:tcW w:w="363" w:type="pct"/>
            <w:tcBorders>
              <w:tl2br w:val="nil"/>
              <w:tr2bl w:val="nil"/>
            </w:tcBorders>
            <w:noWrap w:val="0"/>
            <w:vAlign w:val="center"/>
          </w:tcPr>
          <w:p w14:paraId="4E79C7A5">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r>
      <w:tr w14:paraId="30F25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398" w:type="pct"/>
            <w:vMerge w:val="continue"/>
            <w:tcBorders>
              <w:tl2br w:val="nil"/>
              <w:tr2bl w:val="nil"/>
            </w:tcBorders>
            <w:noWrap w:val="0"/>
            <w:vAlign w:val="center"/>
          </w:tcPr>
          <w:p w14:paraId="08F9882B">
            <w:pPr>
              <w:keepNext w:val="0"/>
              <w:keepLines w:val="0"/>
              <w:pageBreakBefore w:val="0"/>
              <w:widowControl w:val="0"/>
              <w:kinsoku/>
              <w:wordWrap/>
              <w:overflowPunct w:val="0"/>
              <w:topLinePunct w:val="0"/>
              <w:autoSpaceDE/>
              <w:autoSpaceDN/>
              <w:bidi w:val="0"/>
              <w:adjustRightInd w:val="0"/>
              <w:snapToGrid/>
              <w:spacing w:line="240" w:lineRule="auto"/>
              <w:ind w:firstLine="200"/>
              <w:jc w:val="center"/>
              <w:textAlignment w:val="baseline"/>
              <w:rPr>
                <w:rFonts w:hint="default" w:ascii="Times New Roman" w:hAnsi="Times New Roman" w:eastAsia="宋体" w:cs="Times New Roman"/>
                <w:color w:val="auto"/>
                <w:kern w:val="0"/>
                <w:sz w:val="21"/>
                <w:szCs w:val="21"/>
                <w:lang w:val="en-US" w:eastAsia="zh-CN"/>
              </w:rPr>
            </w:pPr>
          </w:p>
        </w:tc>
        <w:tc>
          <w:tcPr>
            <w:tcW w:w="1771" w:type="pct"/>
            <w:gridSpan w:val="2"/>
            <w:tcBorders>
              <w:tl2br w:val="nil"/>
              <w:tr2bl w:val="nil"/>
            </w:tcBorders>
            <w:noWrap w:val="0"/>
            <w:vAlign w:val="center"/>
          </w:tcPr>
          <w:p w14:paraId="7313C845">
            <w:pPr>
              <w:keepNext w:val="0"/>
              <w:keepLines w:val="0"/>
              <w:pageBreakBefore w:val="0"/>
              <w:widowControl w:val="0"/>
              <w:kinsoku/>
              <w:wordWrap/>
              <w:overflowPunct w:val="0"/>
              <w:topLinePunct w:val="0"/>
              <w:autoSpaceDE/>
              <w:autoSpaceDN/>
              <w:bidi w:val="0"/>
              <w:adjustRightInd w:val="0"/>
              <w:snapToGrid/>
              <w:spacing w:line="240" w:lineRule="auto"/>
              <w:ind w:firstLine="20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隧道工程区</w:t>
            </w:r>
          </w:p>
        </w:tc>
        <w:tc>
          <w:tcPr>
            <w:tcW w:w="712" w:type="pct"/>
            <w:tcBorders>
              <w:tl2br w:val="nil"/>
              <w:tr2bl w:val="nil"/>
            </w:tcBorders>
            <w:noWrap w:val="0"/>
            <w:vAlign w:val="center"/>
          </w:tcPr>
          <w:p w14:paraId="4314DFF7">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14250</w:t>
            </w:r>
          </w:p>
        </w:tc>
        <w:tc>
          <w:tcPr>
            <w:tcW w:w="1754" w:type="pct"/>
            <w:tcBorders>
              <w:tl2br w:val="nil"/>
              <w:tr2bl w:val="nil"/>
            </w:tcBorders>
            <w:noWrap w:val="0"/>
            <w:vAlign w:val="center"/>
          </w:tcPr>
          <w:p w14:paraId="1BADE141">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both"/>
              <w:textAlignment w:val="baseline"/>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裸岩石砾地（戈壁、裸岩石质地）</w:t>
            </w:r>
          </w:p>
        </w:tc>
        <w:tc>
          <w:tcPr>
            <w:tcW w:w="363" w:type="pct"/>
            <w:tcBorders>
              <w:tl2br w:val="nil"/>
              <w:tr2bl w:val="nil"/>
            </w:tcBorders>
            <w:noWrap w:val="0"/>
            <w:vAlign w:val="center"/>
          </w:tcPr>
          <w:p w14:paraId="4C588E1E">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r>
      <w:tr w14:paraId="6C1F0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398" w:type="pct"/>
            <w:vMerge w:val="continue"/>
            <w:tcBorders>
              <w:tl2br w:val="nil"/>
              <w:tr2bl w:val="nil"/>
            </w:tcBorders>
            <w:noWrap w:val="0"/>
            <w:vAlign w:val="center"/>
          </w:tcPr>
          <w:p w14:paraId="15A0608C">
            <w:pPr>
              <w:keepNext w:val="0"/>
              <w:keepLines w:val="0"/>
              <w:pageBreakBefore w:val="0"/>
              <w:widowControl w:val="0"/>
              <w:kinsoku/>
              <w:wordWrap/>
              <w:overflowPunct w:val="0"/>
              <w:topLinePunct w:val="0"/>
              <w:autoSpaceDE/>
              <w:autoSpaceDN/>
              <w:bidi w:val="0"/>
              <w:adjustRightInd w:val="0"/>
              <w:snapToGrid/>
              <w:spacing w:line="240" w:lineRule="auto"/>
              <w:ind w:firstLine="200"/>
              <w:jc w:val="center"/>
              <w:textAlignment w:val="baseline"/>
              <w:rPr>
                <w:rFonts w:hint="default" w:ascii="Times New Roman" w:hAnsi="Times New Roman" w:eastAsia="宋体" w:cs="Times New Roman"/>
                <w:color w:val="auto"/>
                <w:kern w:val="0"/>
                <w:sz w:val="21"/>
                <w:szCs w:val="21"/>
                <w:lang w:val="en-US" w:eastAsia="zh-CN"/>
              </w:rPr>
            </w:pPr>
          </w:p>
        </w:tc>
        <w:tc>
          <w:tcPr>
            <w:tcW w:w="1771" w:type="pct"/>
            <w:gridSpan w:val="2"/>
            <w:tcBorders>
              <w:tl2br w:val="nil"/>
              <w:tr2bl w:val="nil"/>
            </w:tcBorders>
            <w:noWrap w:val="0"/>
            <w:vAlign w:val="center"/>
          </w:tcPr>
          <w:p w14:paraId="18F82861">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桥梁工程区（</w:t>
            </w:r>
            <w:r>
              <w:rPr>
                <w:rFonts w:hint="default" w:ascii="Times New Roman" w:hAnsi="Times New Roman" w:eastAsia="宋体" w:cs="Times New Roman"/>
                <w:color w:val="auto"/>
                <w:kern w:val="0"/>
                <w:sz w:val="21"/>
                <w:szCs w:val="21"/>
                <w:lang w:val="en-US" w:eastAsia="zh-CN" w:bidi="ar"/>
              </w:rPr>
              <w:t>兰干山大桥</w:t>
            </w:r>
            <w:r>
              <w:rPr>
                <w:rFonts w:hint="default" w:ascii="Times New Roman" w:hAnsi="Times New Roman" w:eastAsia="宋体" w:cs="Times New Roman"/>
                <w:color w:val="auto"/>
                <w:kern w:val="0"/>
                <w:sz w:val="21"/>
                <w:szCs w:val="21"/>
                <w:lang w:val="en-US" w:eastAsia="zh-CN"/>
              </w:rPr>
              <w:t>）</w:t>
            </w:r>
          </w:p>
        </w:tc>
        <w:tc>
          <w:tcPr>
            <w:tcW w:w="712" w:type="pct"/>
            <w:tcBorders>
              <w:tl2br w:val="nil"/>
              <w:tr2bl w:val="nil"/>
            </w:tcBorders>
            <w:noWrap w:val="0"/>
            <w:vAlign w:val="center"/>
          </w:tcPr>
          <w:p w14:paraId="3AAC4EA7">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8062</w:t>
            </w:r>
          </w:p>
        </w:tc>
        <w:tc>
          <w:tcPr>
            <w:tcW w:w="1754" w:type="pct"/>
            <w:tcBorders>
              <w:tl2br w:val="nil"/>
              <w:tr2bl w:val="nil"/>
            </w:tcBorders>
            <w:noWrap w:val="0"/>
            <w:vAlign w:val="center"/>
          </w:tcPr>
          <w:p w14:paraId="1C1C2A2F">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both"/>
              <w:textAlignment w:val="baseline"/>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裸岩石砾地（裸岩石质地）</w:t>
            </w:r>
          </w:p>
        </w:tc>
        <w:tc>
          <w:tcPr>
            <w:tcW w:w="363" w:type="pct"/>
            <w:tcBorders>
              <w:tl2br w:val="nil"/>
              <w:tr2bl w:val="nil"/>
            </w:tcBorders>
            <w:noWrap w:val="0"/>
            <w:vAlign w:val="center"/>
          </w:tcPr>
          <w:p w14:paraId="3EE5BB8E">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w:t>
            </w:r>
          </w:p>
        </w:tc>
      </w:tr>
      <w:tr w14:paraId="161FD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398" w:type="pct"/>
            <w:vMerge w:val="continue"/>
            <w:tcBorders>
              <w:tl2br w:val="nil"/>
              <w:tr2bl w:val="nil"/>
            </w:tcBorders>
            <w:noWrap w:val="0"/>
            <w:vAlign w:val="center"/>
          </w:tcPr>
          <w:p w14:paraId="177A0C44">
            <w:pPr>
              <w:keepNext w:val="0"/>
              <w:keepLines w:val="0"/>
              <w:pageBreakBefore w:val="0"/>
              <w:widowControl w:val="0"/>
              <w:kinsoku/>
              <w:wordWrap/>
              <w:overflowPunct w:val="0"/>
              <w:topLinePunct w:val="0"/>
              <w:autoSpaceDE/>
              <w:autoSpaceDN/>
              <w:bidi w:val="0"/>
              <w:adjustRightInd w:val="0"/>
              <w:snapToGrid/>
              <w:spacing w:line="240" w:lineRule="auto"/>
              <w:ind w:firstLine="200"/>
              <w:jc w:val="center"/>
              <w:textAlignment w:val="baseline"/>
              <w:rPr>
                <w:rFonts w:hint="default" w:ascii="Times New Roman" w:hAnsi="Times New Roman" w:eastAsia="宋体" w:cs="Times New Roman"/>
                <w:color w:val="auto"/>
                <w:kern w:val="0"/>
                <w:sz w:val="21"/>
                <w:szCs w:val="21"/>
                <w:lang w:val="en-US" w:eastAsia="zh-CN"/>
              </w:rPr>
            </w:pPr>
          </w:p>
        </w:tc>
        <w:tc>
          <w:tcPr>
            <w:tcW w:w="1771" w:type="pct"/>
            <w:gridSpan w:val="2"/>
            <w:tcBorders>
              <w:tl2br w:val="nil"/>
              <w:tr2bl w:val="nil"/>
            </w:tcBorders>
            <w:noWrap w:val="0"/>
            <w:vAlign w:val="center"/>
          </w:tcPr>
          <w:p w14:paraId="47C7D018">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桥梁工程区（G3012跨线桥）</w:t>
            </w:r>
          </w:p>
        </w:tc>
        <w:tc>
          <w:tcPr>
            <w:tcW w:w="712" w:type="pct"/>
            <w:tcBorders>
              <w:tl2br w:val="nil"/>
              <w:tr2bl w:val="nil"/>
            </w:tcBorders>
            <w:noWrap w:val="0"/>
            <w:vAlign w:val="center"/>
          </w:tcPr>
          <w:p w14:paraId="2C555EE0">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5365</w:t>
            </w:r>
          </w:p>
        </w:tc>
        <w:tc>
          <w:tcPr>
            <w:tcW w:w="1754" w:type="pct"/>
            <w:tcBorders>
              <w:tl2br w:val="nil"/>
              <w:tr2bl w:val="nil"/>
            </w:tcBorders>
            <w:noWrap w:val="0"/>
            <w:vAlign w:val="center"/>
          </w:tcPr>
          <w:p w14:paraId="6C73F386">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both"/>
              <w:textAlignment w:val="baseline"/>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裸岩石砾地（裸岩石质地）、少量的建设用地</w:t>
            </w:r>
          </w:p>
        </w:tc>
        <w:tc>
          <w:tcPr>
            <w:tcW w:w="363" w:type="pct"/>
            <w:tcBorders>
              <w:tl2br w:val="nil"/>
              <w:tr2bl w:val="nil"/>
            </w:tcBorders>
            <w:noWrap w:val="0"/>
            <w:vAlign w:val="center"/>
          </w:tcPr>
          <w:p w14:paraId="04FFCFBF">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center"/>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w:t>
            </w:r>
          </w:p>
        </w:tc>
      </w:tr>
      <w:tr w14:paraId="09599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398" w:type="pct"/>
            <w:vMerge w:val="continue"/>
            <w:tcBorders>
              <w:tl2br w:val="nil"/>
              <w:tr2bl w:val="nil"/>
            </w:tcBorders>
            <w:noWrap w:val="0"/>
            <w:vAlign w:val="center"/>
          </w:tcPr>
          <w:p w14:paraId="07AE33D0">
            <w:pPr>
              <w:keepNext w:val="0"/>
              <w:keepLines w:val="0"/>
              <w:pageBreakBefore w:val="0"/>
              <w:widowControl w:val="0"/>
              <w:kinsoku/>
              <w:wordWrap/>
              <w:overflowPunct w:val="0"/>
              <w:topLinePunct w:val="0"/>
              <w:autoSpaceDE/>
              <w:autoSpaceDN/>
              <w:bidi w:val="0"/>
              <w:adjustRightInd w:val="0"/>
              <w:snapToGrid/>
              <w:spacing w:line="240" w:lineRule="auto"/>
              <w:ind w:firstLine="200"/>
              <w:jc w:val="center"/>
              <w:textAlignment w:val="baseline"/>
              <w:rPr>
                <w:rFonts w:hint="default" w:ascii="Times New Roman" w:hAnsi="Times New Roman" w:eastAsia="宋体" w:cs="Times New Roman"/>
                <w:color w:val="auto"/>
                <w:kern w:val="0"/>
                <w:sz w:val="21"/>
                <w:szCs w:val="21"/>
                <w:lang w:val="en-US" w:eastAsia="zh-CN"/>
              </w:rPr>
            </w:pPr>
          </w:p>
        </w:tc>
        <w:tc>
          <w:tcPr>
            <w:tcW w:w="1771" w:type="pct"/>
            <w:gridSpan w:val="2"/>
            <w:tcBorders>
              <w:tl2br w:val="nil"/>
              <w:tr2bl w:val="nil"/>
            </w:tcBorders>
            <w:noWrap w:val="0"/>
            <w:vAlign w:val="center"/>
          </w:tcPr>
          <w:p w14:paraId="74493E3B">
            <w:pPr>
              <w:keepNext w:val="0"/>
              <w:keepLines w:val="0"/>
              <w:pageBreakBefore w:val="0"/>
              <w:widowControl w:val="0"/>
              <w:kinsoku/>
              <w:wordWrap/>
              <w:overflowPunct w:val="0"/>
              <w:topLinePunct w:val="0"/>
              <w:autoSpaceDE/>
              <w:autoSpaceDN/>
              <w:bidi w:val="0"/>
              <w:adjustRightInd w:val="0"/>
              <w:snapToGrid/>
              <w:spacing w:line="240" w:lineRule="auto"/>
              <w:ind w:firstLine="20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隧道配电室</w:t>
            </w:r>
          </w:p>
        </w:tc>
        <w:tc>
          <w:tcPr>
            <w:tcW w:w="712" w:type="pct"/>
            <w:tcBorders>
              <w:tl2br w:val="nil"/>
              <w:tr2bl w:val="nil"/>
            </w:tcBorders>
            <w:noWrap w:val="0"/>
            <w:vAlign w:val="center"/>
          </w:tcPr>
          <w:p w14:paraId="3730EF0E">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2500.61</w:t>
            </w:r>
          </w:p>
        </w:tc>
        <w:tc>
          <w:tcPr>
            <w:tcW w:w="1754" w:type="pct"/>
            <w:tcBorders>
              <w:tl2br w:val="nil"/>
              <w:tr2bl w:val="nil"/>
            </w:tcBorders>
            <w:noWrap w:val="0"/>
            <w:vAlign w:val="center"/>
          </w:tcPr>
          <w:p w14:paraId="60DA745B">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both"/>
              <w:textAlignment w:val="baseline"/>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裸岩石砾地（裸岩石质地）</w:t>
            </w:r>
          </w:p>
        </w:tc>
        <w:tc>
          <w:tcPr>
            <w:tcW w:w="363" w:type="pct"/>
            <w:tcBorders>
              <w:tl2br w:val="nil"/>
              <w:tr2bl w:val="nil"/>
            </w:tcBorders>
            <w:noWrap w:val="0"/>
            <w:vAlign w:val="center"/>
          </w:tcPr>
          <w:p w14:paraId="24C21D10">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r>
      <w:tr w14:paraId="569EE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398" w:type="pct"/>
            <w:vMerge w:val="continue"/>
            <w:tcBorders>
              <w:tl2br w:val="nil"/>
              <w:tr2bl w:val="nil"/>
            </w:tcBorders>
            <w:noWrap w:val="0"/>
            <w:vAlign w:val="center"/>
          </w:tcPr>
          <w:p w14:paraId="2B2E5D22">
            <w:pPr>
              <w:keepNext w:val="0"/>
              <w:keepLines w:val="0"/>
              <w:pageBreakBefore w:val="0"/>
              <w:widowControl w:val="0"/>
              <w:kinsoku/>
              <w:wordWrap/>
              <w:overflowPunct w:val="0"/>
              <w:topLinePunct w:val="0"/>
              <w:autoSpaceDE/>
              <w:autoSpaceDN/>
              <w:bidi w:val="0"/>
              <w:adjustRightInd w:val="0"/>
              <w:snapToGrid/>
              <w:spacing w:line="240" w:lineRule="auto"/>
              <w:ind w:firstLine="200"/>
              <w:jc w:val="center"/>
              <w:textAlignment w:val="baseline"/>
              <w:rPr>
                <w:rFonts w:hint="default" w:ascii="Times New Roman" w:hAnsi="Times New Roman" w:eastAsia="宋体" w:cs="Times New Roman"/>
                <w:color w:val="auto"/>
                <w:kern w:val="0"/>
                <w:sz w:val="21"/>
                <w:szCs w:val="21"/>
                <w:lang w:val="en-US" w:eastAsia="zh-CN"/>
              </w:rPr>
            </w:pPr>
          </w:p>
        </w:tc>
        <w:tc>
          <w:tcPr>
            <w:tcW w:w="380" w:type="pct"/>
            <w:tcBorders>
              <w:tl2br w:val="nil"/>
              <w:tr2bl w:val="nil"/>
            </w:tcBorders>
            <w:noWrap w:val="0"/>
            <w:vAlign w:val="center"/>
          </w:tcPr>
          <w:p w14:paraId="58771ACC">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both"/>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附属</w:t>
            </w:r>
          </w:p>
          <w:p w14:paraId="1E390B81">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both"/>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工程</w:t>
            </w:r>
          </w:p>
        </w:tc>
        <w:tc>
          <w:tcPr>
            <w:tcW w:w="1390" w:type="pct"/>
            <w:tcBorders>
              <w:tl2br w:val="nil"/>
              <w:tr2bl w:val="nil"/>
            </w:tcBorders>
            <w:noWrap w:val="0"/>
            <w:vAlign w:val="center"/>
          </w:tcPr>
          <w:p w14:paraId="0133B5D9">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收费站（与隧道管理站合建）</w:t>
            </w:r>
          </w:p>
        </w:tc>
        <w:tc>
          <w:tcPr>
            <w:tcW w:w="712" w:type="pct"/>
            <w:tcBorders>
              <w:tl2br w:val="nil"/>
              <w:tr2bl w:val="nil"/>
            </w:tcBorders>
            <w:noWrap w:val="0"/>
            <w:vAlign w:val="center"/>
          </w:tcPr>
          <w:p w14:paraId="2D3949F0">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17159</w:t>
            </w:r>
          </w:p>
        </w:tc>
        <w:tc>
          <w:tcPr>
            <w:tcW w:w="1754" w:type="pct"/>
            <w:tcBorders>
              <w:tl2br w:val="nil"/>
              <w:tr2bl w:val="nil"/>
            </w:tcBorders>
            <w:noWrap w:val="0"/>
            <w:vAlign w:val="center"/>
          </w:tcPr>
          <w:p w14:paraId="2981A6A5">
            <w:pPr>
              <w:keepNext w:val="0"/>
              <w:keepLines w:val="0"/>
              <w:pageBreakBefore w:val="0"/>
              <w:widowControl w:val="0"/>
              <w:kinsoku/>
              <w:wordWrap/>
              <w:overflowPunct w:val="0"/>
              <w:topLinePunct w:val="0"/>
              <w:autoSpaceDE/>
              <w:autoSpaceDN/>
              <w:bidi w:val="0"/>
              <w:adjustRightInd w:val="0"/>
              <w:snapToGrid/>
              <w:spacing w:line="240" w:lineRule="auto"/>
              <w:ind w:firstLine="20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园地</w:t>
            </w:r>
          </w:p>
        </w:tc>
        <w:tc>
          <w:tcPr>
            <w:tcW w:w="363" w:type="pct"/>
            <w:tcBorders>
              <w:tl2br w:val="nil"/>
              <w:tr2bl w:val="nil"/>
            </w:tcBorders>
            <w:noWrap w:val="0"/>
            <w:vAlign w:val="center"/>
          </w:tcPr>
          <w:p w14:paraId="22FEC159">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r>
      <w:tr w14:paraId="0D084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2169" w:type="pct"/>
            <w:gridSpan w:val="3"/>
            <w:tcBorders>
              <w:tl2br w:val="nil"/>
              <w:tr2bl w:val="nil"/>
            </w:tcBorders>
            <w:noWrap w:val="0"/>
            <w:vAlign w:val="center"/>
          </w:tcPr>
          <w:p w14:paraId="26D28002">
            <w:pPr>
              <w:keepNext w:val="0"/>
              <w:keepLines w:val="0"/>
              <w:pageBreakBefore w:val="0"/>
              <w:widowControl w:val="0"/>
              <w:kinsoku/>
              <w:wordWrap/>
              <w:overflowPunct w:val="0"/>
              <w:topLinePunct w:val="0"/>
              <w:autoSpaceDE/>
              <w:autoSpaceDN/>
              <w:bidi w:val="0"/>
              <w:adjustRightInd w:val="0"/>
              <w:snapToGrid/>
              <w:spacing w:line="240" w:lineRule="auto"/>
              <w:ind w:firstLine="20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合计</w:t>
            </w:r>
          </w:p>
        </w:tc>
        <w:tc>
          <w:tcPr>
            <w:tcW w:w="712" w:type="pct"/>
            <w:tcBorders>
              <w:tl2br w:val="nil"/>
              <w:tr2bl w:val="nil"/>
            </w:tcBorders>
            <w:noWrap w:val="0"/>
            <w:vAlign w:val="center"/>
          </w:tcPr>
          <w:p w14:paraId="23DA361D">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329923</w:t>
            </w:r>
          </w:p>
        </w:tc>
        <w:tc>
          <w:tcPr>
            <w:tcW w:w="1754" w:type="pct"/>
            <w:tcBorders>
              <w:tl2br w:val="nil"/>
              <w:tr2bl w:val="nil"/>
            </w:tcBorders>
            <w:noWrap w:val="0"/>
            <w:vAlign w:val="center"/>
          </w:tcPr>
          <w:p w14:paraId="6A794640">
            <w:pPr>
              <w:keepNext w:val="0"/>
              <w:keepLines w:val="0"/>
              <w:pageBreakBefore w:val="0"/>
              <w:widowControl w:val="0"/>
              <w:kinsoku/>
              <w:wordWrap/>
              <w:overflowPunct w:val="0"/>
              <w:topLinePunct w:val="0"/>
              <w:autoSpaceDE/>
              <w:autoSpaceDN/>
              <w:bidi w:val="0"/>
              <w:adjustRightInd w:val="0"/>
              <w:snapToGrid/>
              <w:spacing w:line="240" w:lineRule="auto"/>
              <w:ind w:firstLine="200"/>
              <w:jc w:val="center"/>
              <w:textAlignment w:val="baseline"/>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363" w:type="pct"/>
            <w:tcBorders>
              <w:tl2br w:val="nil"/>
              <w:tr2bl w:val="nil"/>
            </w:tcBorders>
            <w:noWrap w:val="0"/>
            <w:vAlign w:val="center"/>
          </w:tcPr>
          <w:p w14:paraId="6811A624">
            <w:pPr>
              <w:keepNext w:val="0"/>
              <w:keepLines w:val="0"/>
              <w:pageBreakBefore w:val="0"/>
              <w:widowControl w:val="0"/>
              <w:kinsoku/>
              <w:wordWrap/>
              <w:overflowPunct w:val="0"/>
              <w:topLinePunct w:val="0"/>
              <w:autoSpaceDE/>
              <w:autoSpaceDN/>
              <w:bidi w:val="0"/>
              <w:adjustRightInd w:val="0"/>
              <w:snapToGrid/>
              <w:spacing w:line="240" w:lineRule="auto"/>
              <w:ind w:left="0" w:lef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r>
    </w:tbl>
    <w:p w14:paraId="2698231B">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拟建公路永久占地的各类土地面积占直接影响区相应地类面积总量的比例都较小，本工程的建设不会导致项目直接影响区土地利用规划结构发生根本性改变。选址合理。</w:t>
      </w:r>
    </w:p>
    <w:p w14:paraId="3AA2F4AB">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5.1.2.2 永久占地影响分析</w:t>
      </w:r>
    </w:p>
    <w:p w14:paraId="7287748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根据推荐路线新增永久占地</w:t>
      </w:r>
      <w:r>
        <w:rPr>
          <w:rFonts w:hint="eastAsia" w:cs="Times New Roman"/>
          <w:color w:val="auto"/>
          <w:kern w:val="0"/>
          <w:sz w:val="24"/>
          <w:szCs w:val="24"/>
          <w:lang w:val="en-US" w:eastAsia="zh-CN" w:bidi="ar"/>
        </w:rPr>
        <w:t>329923</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。主要占用土地为</w:t>
      </w:r>
      <w:r>
        <w:rPr>
          <w:rFonts w:hint="default" w:ascii="Times New Roman" w:hAnsi="Times New Roman" w:cs="Times New Roman"/>
          <w:color w:val="auto"/>
          <w:kern w:val="0"/>
          <w:sz w:val="24"/>
          <w:szCs w:val="24"/>
          <w:lang w:val="en-US" w:eastAsia="zh-CN" w:bidi="ar"/>
        </w:rPr>
        <w:t>园地、</w:t>
      </w:r>
      <w:r>
        <w:rPr>
          <w:rFonts w:hint="eastAsia" w:cs="Times New Roman"/>
          <w:color w:val="auto"/>
          <w:kern w:val="0"/>
          <w:sz w:val="24"/>
          <w:szCs w:val="24"/>
          <w:lang w:val="en-US" w:eastAsia="zh-CN" w:bidi="ar"/>
        </w:rPr>
        <w:t>工矿仓储用地</w:t>
      </w:r>
      <w:r>
        <w:rPr>
          <w:rFonts w:hint="default" w:ascii="Times New Roman" w:hAnsi="Times New Roman" w:eastAsia="宋体" w:cs="Times New Roman"/>
          <w:color w:val="auto"/>
          <w:kern w:val="0"/>
          <w:sz w:val="24"/>
          <w:szCs w:val="24"/>
          <w:lang w:val="en-US" w:eastAsia="zh-CN" w:bidi="ar"/>
        </w:rPr>
        <w:t>、</w:t>
      </w:r>
      <w:r>
        <w:rPr>
          <w:rFonts w:hint="eastAsia" w:cs="Times New Roman"/>
          <w:color w:val="auto"/>
          <w:kern w:val="0"/>
          <w:sz w:val="24"/>
          <w:szCs w:val="24"/>
          <w:lang w:val="en-US" w:eastAsia="zh-CN" w:bidi="ar"/>
        </w:rPr>
        <w:t>交通运输用地和裸岩石砾地</w:t>
      </w:r>
      <w:r>
        <w:rPr>
          <w:rFonts w:hint="default" w:ascii="Times New Roman" w:hAnsi="Times New Roman" w:eastAsia="宋体" w:cs="Times New Roman"/>
          <w:color w:val="auto"/>
          <w:kern w:val="0"/>
          <w:sz w:val="24"/>
          <w:szCs w:val="24"/>
          <w:lang w:val="en-US" w:eastAsia="zh-CN" w:bidi="ar"/>
        </w:rPr>
        <w:t>，永久占地对土地资源和农业生产的影响：拟建公路永久占用部分</w:t>
      </w:r>
      <w:r>
        <w:rPr>
          <w:rFonts w:hint="default" w:ascii="Times New Roman" w:hAnsi="Times New Roman" w:cs="Times New Roman"/>
          <w:color w:val="auto"/>
          <w:kern w:val="0"/>
          <w:sz w:val="24"/>
          <w:szCs w:val="24"/>
          <w:lang w:val="en-US" w:eastAsia="zh-CN" w:bidi="ar"/>
        </w:rPr>
        <w:t>园地</w:t>
      </w:r>
      <w:r>
        <w:rPr>
          <w:rFonts w:hint="default" w:ascii="Times New Roman" w:hAnsi="Times New Roman" w:eastAsia="宋体" w:cs="Times New Roman"/>
          <w:color w:val="auto"/>
          <w:kern w:val="0"/>
          <w:sz w:val="24"/>
          <w:szCs w:val="24"/>
          <w:lang w:val="en-US" w:eastAsia="zh-CN" w:bidi="ar"/>
        </w:rPr>
        <w:t>会对当地现有的土地资源和农业生产产生一定的影响。由于公路建设是一个线性工程，影响范围为线路两侧带状区域，相对工程沿线市（县）各类土地面积的比率较低，影响范围较小。因此，工程建设对沿线土地资源占用相对有限，对公路沿线区域的土地资源和农业生产的影响不大。</w:t>
      </w:r>
    </w:p>
    <w:p w14:paraId="46BEA9EB">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5.1.2.3 临时占地影响分析</w:t>
      </w:r>
    </w:p>
    <w:p w14:paraId="3B582CC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工程施工过程中，取弃土场、施工生产生活区、施工便道需要占用一定比例的土地作为临时施工使用。拟建公路临时占地面</w:t>
      </w:r>
      <w:r>
        <w:rPr>
          <w:rFonts w:hint="default" w:ascii="Times New Roman" w:hAnsi="Times New Roman" w:eastAsia="宋体" w:cs="Times New Roman"/>
          <w:color w:val="auto"/>
          <w:kern w:val="0"/>
          <w:sz w:val="24"/>
          <w:szCs w:val="24"/>
          <w:highlight w:val="none"/>
          <w:lang w:val="en-US" w:eastAsia="zh-CN" w:bidi="ar"/>
        </w:rPr>
        <w:t>积为</w:t>
      </w:r>
      <w:r>
        <w:rPr>
          <w:rFonts w:hint="default" w:ascii="Times New Roman" w:hAnsi="Times New Roman" w:cs="Times New Roman"/>
          <w:color w:val="auto"/>
          <w:kern w:val="0"/>
          <w:sz w:val="24"/>
          <w:szCs w:val="24"/>
          <w:highlight w:val="none"/>
          <w:lang w:val="en-US" w:eastAsia="zh-CN" w:bidi="ar"/>
        </w:rPr>
        <w:t>450133</w:t>
      </w:r>
      <w:r>
        <w:rPr>
          <w:rFonts w:hint="default" w:ascii="Times New Roman" w:hAnsi="Times New Roman" w:eastAsia="宋体" w:cs="Times New Roman"/>
          <w:color w:val="auto"/>
          <w:kern w:val="0"/>
          <w:sz w:val="24"/>
          <w:szCs w:val="24"/>
          <w:highlight w:val="none"/>
          <w:lang w:val="en-US" w:eastAsia="zh-CN" w:bidi="ar"/>
        </w:rPr>
        <w:t>m</w:t>
      </w:r>
      <w:r>
        <w:rPr>
          <w:rFonts w:hint="default" w:ascii="Times New Roman" w:hAnsi="Times New Roman" w:eastAsia="宋体" w:cs="Times New Roman"/>
          <w:color w:val="auto"/>
          <w:kern w:val="0"/>
          <w:sz w:val="24"/>
          <w:szCs w:val="24"/>
          <w:highlight w:val="none"/>
          <w:vertAlign w:val="super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lang w:val="en-US" w:eastAsia="zh-CN" w:bidi="ar"/>
        </w:rPr>
        <w:t>临时占地情况见表5.1-</w:t>
      </w:r>
      <w:r>
        <w:rPr>
          <w:rFonts w:hint="eastAsia"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w:t>
      </w:r>
    </w:p>
    <w:p w14:paraId="1A506181">
      <w:pPr>
        <w:keepNext w:val="0"/>
        <w:keepLines w:val="0"/>
        <w:pageBreakBefore w:val="0"/>
        <w:widowControl w:val="0"/>
        <w:tabs>
          <w:tab w:val="left" w:pos="2780"/>
        </w:tabs>
        <w:kinsoku/>
        <w:wordWrap/>
        <w:overflowPunct/>
        <w:topLinePunct w:val="0"/>
        <w:autoSpaceDE/>
        <w:autoSpaceDN/>
        <w:bidi w:val="0"/>
        <w:adjustRightInd/>
        <w:snapToGrid/>
        <w:spacing w:before="0" w:line="300" w:lineRule="exact"/>
        <w:ind w:left="0" w:firstLine="420" w:firstLineChars="200"/>
        <w:jc w:val="center"/>
        <w:textAlignment w:val="auto"/>
        <w:outlineLvl w:val="9"/>
        <w:rPr>
          <w:rFonts w:hint="default" w:ascii="Times New Roman" w:hAnsi="Times New Roman" w:eastAsia="宋体" w:cs="Times New Roman"/>
          <w:b/>
          <w:bCs/>
          <w:color w:val="auto"/>
          <w:kern w:val="2"/>
          <w:sz w:val="21"/>
          <w:szCs w:val="21"/>
          <w:vertAlign w:val="superscript"/>
          <w:lang w:val="en-US" w:eastAsia="zh-CN" w:bidi="ar-SA"/>
        </w:rPr>
      </w:pPr>
      <w:r>
        <w:rPr>
          <w:rFonts w:hint="default" w:ascii="Times New Roman" w:hAnsi="Times New Roman" w:eastAsia="宋体" w:cs="Times New Roman"/>
          <w:b/>
          <w:bCs/>
          <w:color w:val="auto"/>
          <w:kern w:val="2"/>
          <w:sz w:val="21"/>
          <w:szCs w:val="21"/>
          <w:lang w:val="en-US" w:eastAsia="zh-CN" w:bidi="ar-SA"/>
        </w:rPr>
        <w:t>表</w:t>
      </w:r>
      <w:r>
        <w:rPr>
          <w:rFonts w:hint="eastAsia" w:cs="Times New Roman"/>
          <w:b/>
          <w:bCs/>
          <w:color w:val="auto"/>
          <w:kern w:val="2"/>
          <w:sz w:val="21"/>
          <w:szCs w:val="21"/>
          <w:lang w:val="en-US" w:eastAsia="zh-CN" w:bidi="ar-SA"/>
        </w:rPr>
        <w:t>5.1</w:t>
      </w:r>
      <w:r>
        <w:rPr>
          <w:rFonts w:hint="default" w:ascii="Times New Roman" w:hAnsi="Times New Roman" w:eastAsia="宋体" w:cs="Times New Roman"/>
          <w:b/>
          <w:bCs/>
          <w:color w:val="auto"/>
          <w:kern w:val="2"/>
          <w:sz w:val="21"/>
          <w:szCs w:val="21"/>
          <w:lang w:val="en-US" w:eastAsia="zh-CN" w:bidi="ar-SA"/>
        </w:rPr>
        <w:t>-2   项目临时占地情况统计表  单位：m</w:t>
      </w:r>
      <w:r>
        <w:rPr>
          <w:rFonts w:hint="default" w:ascii="Times New Roman" w:hAnsi="Times New Roman" w:eastAsia="宋体" w:cs="Times New Roman"/>
          <w:b/>
          <w:bCs/>
          <w:color w:val="auto"/>
          <w:kern w:val="2"/>
          <w:sz w:val="21"/>
          <w:szCs w:val="21"/>
          <w:vertAlign w:val="superscript"/>
          <w:lang w:val="en-US" w:eastAsia="zh-CN" w:bidi="ar-SA"/>
        </w:rPr>
        <w:t>2</w:t>
      </w:r>
    </w:p>
    <w:tbl>
      <w:tblPr>
        <w:tblStyle w:val="3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4"/>
        <w:gridCol w:w="3093"/>
        <w:gridCol w:w="1809"/>
        <w:gridCol w:w="1782"/>
        <w:gridCol w:w="995"/>
      </w:tblGrid>
      <w:tr w14:paraId="1751B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5" w:type="pct"/>
            <w:tcBorders>
              <w:tl2br w:val="nil"/>
              <w:tr2bl w:val="nil"/>
            </w:tcBorders>
            <w:noWrap w:val="0"/>
            <w:vAlign w:val="center"/>
          </w:tcPr>
          <w:p w14:paraId="23814DBC">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性质</w:t>
            </w:r>
          </w:p>
        </w:tc>
        <w:tc>
          <w:tcPr>
            <w:tcW w:w="1813" w:type="pct"/>
            <w:tcBorders>
              <w:tl2br w:val="nil"/>
              <w:tr2bl w:val="nil"/>
            </w:tcBorders>
            <w:noWrap w:val="0"/>
            <w:vAlign w:val="center"/>
          </w:tcPr>
          <w:p w14:paraId="35240071">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名称</w:t>
            </w:r>
          </w:p>
        </w:tc>
        <w:tc>
          <w:tcPr>
            <w:tcW w:w="1061" w:type="pct"/>
            <w:tcBorders>
              <w:tl2br w:val="nil"/>
              <w:tr2bl w:val="nil"/>
            </w:tcBorders>
            <w:noWrap w:val="0"/>
            <w:vAlign w:val="center"/>
          </w:tcPr>
          <w:p w14:paraId="5883A8AE">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val="en-US" w:eastAsia="zh-CN"/>
              </w:rPr>
              <w:t>占地面积</w:t>
            </w:r>
          </w:p>
        </w:tc>
        <w:tc>
          <w:tcPr>
            <w:tcW w:w="1045" w:type="pct"/>
            <w:tcBorders>
              <w:tl2br w:val="nil"/>
              <w:tr2bl w:val="nil"/>
            </w:tcBorders>
            <w:noWrap w:val="0"/>
            <w:vAlign w:val="center"/>
          </w:tcPr>
          <w:p w14:paraId="60CBEA4D">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占地类型</w:t>
            </w:r>
          </w:p>
        </w:tc>
        <w:tc>
          <w:tcPr>
            <w:tcW w:w="583" w:type="pct"/>
            <w:tcBorders>
              <w:tl2br w:val="nil"/>
              <w:tr2bl w:val="nil"/>
            </w:tcBorders>
            <w:noWrap w:val="0"/>
            <w:vAlign w:val="center"/>
          </w:tcPr>
          <w:p w14:paraId="64AC114B">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备注</w:t>
            </w:r>
          </w:p>
        </w:tc>
      </w:tr>
      <w:tr w14:paraId="11CC2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495" w:type="pct"/>
            <w:vMerge w:val="restart"/>
            <w:tcBorders>
              <w:tl2br w:val="nil"/>
              <w:tr2bl w:val="nil"/>
            </w:tcBorders>
            <w:noWrap w:val="0"/>
            <w:vAlign w:val="center"/>
          </w:tcPr>
          <w:p w14:paraId="6995CDBE">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临时占地</w:t>
            </w:r>
          </w:p>
        </w:tc>
        <w:tc>
          <w:tcPr>
            <w:tcW w:w="1813" w:type="pct"/>
            <w:tcBorders>
              <w:tl2br w:val="nil"/>
              <w:tr2bl w:val="nil"/>
            </w:tcBorders>
            <w:noWrap w:val="0"/>
            <w:vAlign w:val="center"/>
          </w:tcPr>
          <w:p w14:paraId="610DBFAB">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取土场（2个）</w:t>
            </w:r>
          </w:p>
        </w:tc>
        <w:tc>
          <w:tcPr>
            <w:tcW w:w="1061" w:type="pct"/>
            <w:tcBorders>
              <w:tl2br w:val="nil"/>
              <w:tr2bl w:val="nil"/>
            </w:tcBorders>
            <w:noWrap w:val="0"/>
            <w:vAlign w:val="center"/>
          </w:tcPr>
          <w:p w14:paraId="19133AD2">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296000</w:t>
            </w:r>
          </w:p>
        </w:tc>
        <w:tc>
          <w:tcPr>
            <w:tcW w:w="1045" w:type="pct"/>
            <w:vMerge w:val="restart"/>
            <w:tcBorders>
              <w:tl2br w:val="nil"/>
              <w:tr2bl w:val="nil"/>
            </w:tcBorders>
            <w:noWrap w:val="0"/>
            <w:vAlign w:val="center"/>
          </w:tcPr>
          <w:p w14:paraId="1F4040F2">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裸岩石砾地（裸岩石质地、戈壁）</w:t>
            </w:r>
          </w:p>
        </w:tc>
        <w:tc>
          <w:tcPr>
            <w:tcW w:w="583" w:type="pct"/>
            <w:tcBorders>
              <w:tl2br w:val="nil"/>
              <w:tr2bl w:val="nil"/>
            </w:tcBorders>
            <w:noWrap w:val="0"/>
            <w:vAlign w:val="center"/>
          </w:tcPr>
          <w:p w14:paraId="272177F7">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r>
      <w:tr w14:paraId="22185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495" w:type="pct"/>
            <w:vMerge w:val="continue"/>
            <w:tcBorders>
              <w:tl2br w:val="nil"/>
              <w:tr2bl w:val="nil"/>
            </w:tcBorders>
            <w:noWrap w:val="0"/>
            <w:vAlign w:val="center"/>
          </w:tcPr>
          <w:p w14:paraId="189499AA">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rPr>
            </w:pPr>
          </w:p>
        </w:tc>
        <w:tc>
          <w:tcPr>
            <w:tcW w:w="1813" w:type="pct"/>
            <w:tcBorders>
              <w:tl2br w:val="nil"/>
              <w:tr2bl w:val="nil"/>
            </w:tcBorders>
            <w:noWrap w:val="0"/>
            <w:vAlign w:val="center"/>
          </w:tcPr>
          <w:p w14:paraId="67A2541E">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弃土场（4个）</w:t>
            </w:r>
          </w:p>
        </w:tc>
        <w:tc>
          <w:tcPr>
            <w:tcW w:w="1061" w:type="pct"/>
            <w:tcBorders>
              <w:tl2br w:val="nil"/>
              <w:tr2bl w:val="nil"/>
            </w:tcBorders>
            <w:noWrap w:val="0"/>
            <w:vAlign w:val="center"/>
          </w:tcPr>
          <w:p w14:paraId="63BE2DC7">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77619</w:t>
            </w:r>
          </w:p>
        </w:tc>
        <w:tc>
          <w:tcPr>
            <w:tcW w:w="1045" w:type="pct"/>
            <w:vMerge w:val="continue"/>
            <w:tcBorders>
              <w:tl2br w:val="nil"/>
              <w:tr2bl w:val="nil"/>
            </w:tcBorders>
            <w:noWrap w:val="0"/>
            <w:vAlign w:val="center"/>
          </w:tcPr>
          <w:p w14:paraId="647BFB36">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highlight w:val="none"/>
                <w:lang w:val="en-US" w:eastAsia="zh-CN"/>
              </w:rPr>
            </w:pPr>
          </w:p>
        </w:tc>
        <w:tc>
          <w:tcPr>
            <w:tcW w:w="583" w:type="pct"/>
            <w:tcBorders>
              <w:tl2br w:val="nil"/>
              <w:tr2bl w:val="nil"/>
            </w:tcBorders>
            <w:noWrap w:val="0"/>
            <w:vAlign w:val="center"/>
          </w:tcPr>
          <w:p w14:paraId="47E5956A">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r>
      <w:tr w14:paraId="28F8C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495" w:type="pct"/>
            <w:vMerge w:val="continue"/>
            <w:tcBorders>
              <w:tl2br w:val="nil"/>
              <w:tr2bl w:val="nil"/>
            </w:tcBorders>
            <w:noWrap w:val="0"/>
            <w:vAlign w:val="center"/>
          </w:tcPr>
          <w:p w14:paraId="604CF93D">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rPr>
            </w:pPr>
          </w:p>
        </w:tc>
        <w:tc>
          <w:tcPr>
            <w:tcW w:w="1813" w:type="pct"/>
            <w:tcBorders>
              <w:tl2br w:val="nil"/>
              <w:tr2bl w:val="nil"/>
            </w:tcBorders>
            <w:noWrap w:val="0"/>
            <w:vAlign w:val="center"/>
          </w:tcPr>
          <w:p w14:paraId="44D5809A">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施工便道</w:t>
            </w:r>
          </w:p>
        </w:tc>
        <w:tc>
          <w:tcPr>
            <w:tcW w:w="1061" w:type="pct"/>
            <w:tcBorders>
              <w:tl2br w:val="nil"/>
              <w:tr2bl w:val="nil"/>
            </w:tcBorders>
            <w:noWrap w:val="0"/>
            <w:vAlign w:val="center"/>
          </w:tcPr>
          <w:p w14:paraId="1CB531E5">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50693</w:t>
            </w:r>
          </w:p>
        </w:tc>
        <w:tc>
          <w:tcPr>
            <w:tcW w:w="1045" w:type="pct"/>
            <w:vMerge w:val="continue"/>
            <w:tcBorders>
              <w:tl2br w:val="nil"/>
              <w:tr2bl w:val="nil"/>
            </w:tcBorders>
            <w:noWrap w:val="0"/>
            <w:vAlign w:val="center"/>
          </w:tcPr>
          <w:p w14:paraId="7A7180CC">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highlight w:val="none"/>
                <w:lang w:val="en-US" w:eastAsia="zh-CN"/>
              </w:rPr>
            </w:pPr>
          </w:p>
        </w:tc>
        <w:tc>
          <w:tcPr>
            <w:tcW w:w="583" w:type="pct"/>
            <w:tcBorders>
              <w:tl2br w:val="nil"/>
              <w:tr2bl w:val="nil"/>
            </w:tcBorders>
            <w:noWrap w:val="0"/>
            <w:vAlign w:val="center"/>
          </w:tcPr>
          <w:p w14:paraId="395DA305">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r>
      <w:tr w14:paraId="65F07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495" w:type="pct"/>
            <w:vMerge w:val="continue"/>
            <w:tcBorders>
              <w:tl2br w:val="nil"/>
              <w:tr2bl w:val="nil"/>
            </w:tcBorders>
            <w:noWrap w:val="0"/>
            <w:vAlign w:val="center"/>
          </w:tcPr>
          <w:p w14:paraId="0C53489B">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rPr>
            </w:pPr>
          </w:p>
        </w:tc>
        <w:tc>
          <w:tcPr>
            <w:tcW w:w="1813" w:type="pct"/>
            <w:tcBorders>
              <w:tl2br w:val="nil"/>
              <w:tr2bl w:val="nil"/>
            </w:tcBorders>
            <w:noWrap w:val="0"/>
            <w:vAlign w:val="center"/>
          </w:tcPr>
          <w:p w14:paraId="54046932">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施工生产区（2个）</w:t>
            </w:r>
          </w:p>
        </w:tc>
        <w:tc>
          <w:tcPr>
            <w:tcW w:w="1061" w:type="pct"/>
            <w:tcBorders>
              <w:tl2br w:val="nil"/>
              <w:tr2bl w:val="nil"/>
            </w:tcBorders>
            <w:noWrap w:val="0"/>
            <w:vAlign w:val="center"/>
          </w:tcPr>
          <w:p w14:paraId="75154D02">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25821</w:t>
            </w:r>
          </w:p>
        </w:tc>
        <w:tc>
          <w:tcPr>
            <w:tcW w:w="1045" w:type="pct"/>
            <w:vMerge w:val="continue"/>
            <w:tcBorders>
              <w:tl2br w:val="nil"/>
              <w:tr2bl w:val="nil"/>
            </w:tcBorders>
            <w:noWrap w:val="0"/>
            <w:vAlign w:val="center"/>
          </w:tcPr>
          <w:p w14:paraId="31AA5D35">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highlight w:val="none"/>
                <w:lang w:val="en-US" w:eastAsia="zh-CN"/>
              </w:rPr>
            </w:pPr>
          </w:p>
        </w:tc>
        <w:tc>
          <w:tcPr>
            <w:tcW w:w="583" w:type="pct"/>
            <w:tcBorders>
              <w:tl2br w:val="nil"/>
              <w:tr2bl w:val="nil"/>
            </w:tcBorders>
            <w:noWrap w:val="0"/>
            <w:vAlign w:val="center"/>
          </w:tcPr>
          <w:p w14:paraId="55AE7C29">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r>
      <w:tr w14:paraId="31A43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2309" w:type="pct"/>
            <w:gridSpan w:val="2"/>
            <w:tcBorders>
              <w:tl2br w:val="nil"/>
              <w:tr2bl w:val="nil"/>
            </w:tcBorders>
            <w:noWrap w:val="0"/>
            <w:vAlign w:val="center"/>
          </w:tcPr>
          <w:p w14:paraId="1DB717A0">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合计</w:t>
            </w:r>
          </w:p>
        </w:tc>
        <w:tc>
          <w:tcPr>
            <w:tcW w:w="1061" w:type="pct"/>
            <w:tcBorders>
              <w:tl2br w:val="nil"/>
              <w:tr2bl w:val="nil"/>
            </w:tcBorders>
            <w:noWrap w:val="0"/>
            <w:vAlign w:val="center"/>
          </w:tcPr>
          <w:p w14:paraId="2BDAD7B4">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450133</w:t>
            </w:r>
          </w:p>
        </w:tc>
        <w:tc>
          <w:tcPr>
            <w:tcW w:w="1045" w:type="pct"/>
            <w:vMerge w:val="continue"/>
            <w:tcBorders>
              <w:tl2br w:val="nil"/>
              <w:tr2bl w:val="nil"/>
            </w:tcBorders>
            <w:noWrap w:val="0"/>
            <w:vAlign w:val="center"/>
          </w:tcPr>
          <w:p w14:paraId="1E800E7B">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highlight w:val="none"/>
                <w:lang w:val="en-US" w:eastAsia="zh-CN"/>
              </w:rPr>
            </w:pPr>
          </w:p>
        </w:tc>
        <w:tc>
          <w:tcPr>
            <w:tcW w:w="583" w:type="pct"/>
            <w:tcBorders>
              <w:tl2br w:val="nil"/>
              <w:tr2bl w:val="nil"/>
            </w:tcBorders>
            <w:noWrap w:val="0"/>
            <w:vAlign w:val="center"/>
          </w:tcPr>
          <w:p w14:paraId="678D6BE6">
            <w:pPr>
              <w:keepNext w:val="0"/>
              <w:keepLines w:val="0"/>
              <w:pageBreakBefore w:val="0"/>
              <w:widowControl w:val="0"/>
              <w:kinsoku/>
              <w:wordWrap/>
              <w:overflowPunct w:val="0"/>
              <w:bidi w:val="0"/>
              <w:adjustRightInd w:val="0"/>
              <w:snapToGrid/>
              <w:spacing w:line="280" w:lineRule="atLeast"/>
              <w:ind w:left="0" w:leftChars="0" w:right="0" w:rightChars="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r>
    </w:tbl>
    <w:p w14:paraId="6915147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p>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p w14:paraId="5F018867">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临时占地对土地资源的影响：取弃土场、施工生产生活区、施工便道等临时占用部分生产能力较低的草地，未占用耕地，对当地土地资源和农业生产不会产生影响。此外，临时占地施工结束后要进行生态恢复，因此临时占地的影响只是短暂的。</w:t>
      </w:r>
    </w:p>
    <w:p w14:paraId="3831146F">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5.1.3 土壤环境影响分析</w:t>
      </w:r>
    </w:p>
    <w:p w14:paraId="27DB5AB2">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5.1.3.1 土壤侵蚀影响分析</w:t>
      </w:r>
    </w:p>
    <w:p w14:paraId="2987816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项目沿线</w:t>
      </w:r>
      <w:r>
        <w:rPr>
          <w:rFonts w:hint="eastAsia" w:cs="Times New Roman"/>
          <w:color w:val="auto"/>
          <w:kern w:val="0"/>
          <w:sz w:val="24"/>
          <w:szCs w:val="24"/>
          <w:lang w:val="en-US" w:eastAsia="zh-CN" w:bidi="ar"/>
        </w:rPr>
        <w:t>以风力侵蚀为主</w:t>
      </w:r>
      <w:r>
        <w:rPr>
          <w:rFonts w:hint="default" w:ascii="Times New Roman" w:hAnsi="Times New Roman" w:eastAsia="宋体" w:cs="Times New Roman"/>
          <w:color w:val="auto"/>
          <w:kern w:val="0"/>
          <w:sz w:val="24"/>
          <w:szCs w:val="24"/>
          <w:lang w:val="en-US" w:eastAsia="zh-CN" w:bidi="ar"/>
        </w:rPr>
        <w:t>，工程建设将会破坏地表植被和地表覆盖物，使表土的抗蚀能力减弱，增加施工期的风起扬尘强度，工程开工之后将会增加原地面的土壤侵蚀模数，增加原有土壤流失量，尤其是大风天气。</w:t>
      </w:r>
    </w:p>
    <w:p w14:paraId="20757B3B">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5.1.3.2 施工活动对土壤影响分析</w:t>
      </w:r>
    </w:p>
    <w:p w14:paraId="0E6F4FF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施工人员的踩踏和施工机械地碾压，将改变土壤的坚实度、通透性，对土壤的机械物理性质有所影响。施工弃方在沿线不合理地堆放，不仅会扩大占用土地的面积而且使地表高有机质的表层土壤被掩盖，不仅影响景观而且对地表植被恢复造成困难，同时产生新的水土流失。</w:t>
      </w:r>
    </w:p>
    <w:p w14:paraId="46B45FC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施工人员产生的污水、生活垃圾不合理地处理排放，也会污染土壤。各类料场产生的废水沿坡流向周边土壤会造成土壤的污染。</w:t>
      </w:r>
    </w:p>
    <w:p w14:paraId="7DBC57CD">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5.1.4 植被环境影响分析</w:t>
      </w:r>
    </w:p>
    <w:p w14:paraId="008ACF8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公路施工期由于路基占用土地、填挖方、临时工程用地使公路占地范围内的林木、草地、农田等遭受砍伐、铲除、掩埋等一系列人为干扰活动，使路基范围内的植被全部消失，公路沿线及周边植被面积减少，生物量及生态服务功能下降。</w:t>
      </w:r>
    </w:p>
    <w:p w14:paraId="01FBEA46">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5.1.4.1 植被面积、生物量与生产力损失分析</w:t>
      </w:r>
    </w:p>
    <w:p w14:paraId="178030CC">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施工期对植物群落的影响主要包括占地破坏等直接影响及施工活动导致的土壤理化性质改变等间接影响。施工期基础开挖、物料堆放、车辆碾压等过程导致土壤紧实度改变；施工产生的扬尘、废渣等进入周边环境，导致土壤理化性质改变；此外，施工场地裸露容易造成水土流失，从而导致土壤中有机质流失。以上影响均导致施工活动区域周边的生境质量下降，可能造成植物群落中部分个体的死亡，从而影响群落结构的稳定性。此外，路基开挖等导致局部地貌、光照条件等改变，可能会使原有群落边缘区域的垂直结构发生改变。</w:t>
      </w:r>
    </w:p>
    <w:p w14:paraId="4F7C7A14">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本工程为新建工程，该区域处于荒漠植被，植被覆盖率约为10%左右。根据《生态学》专著（杨持 高等教育出版社出版 2014年）及其他有关新疆各类型植被生产力的文献中的有关参数，根据项目占地情况，本项目生物损失量应按照植被为其他类——平均生物量（t/hm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）-2.1进行计算，本项目临时占地面积共计450133m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，则本项目对评价区生物量损失量为94.53t。</w:t>
      </w:r>
    </w:p>
    <w:p w14:paraId="4859AD9C">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施工活动影响区域主要在公路两侧，对环境适应性强、抗逆性强，且群落结构本身较单一。因此施工期虽然会短暂影响植物群落结构的稳定性，但施工结束后，随着周边环境逐渐恢复和稳定，群落结构也会趋于稳定并逐渐恢复。</w:t>
      </w:r>
    </w:p>
    <w:p w14:paraId="74DBF33A">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隧道段主要为裸岩石质地及戈壁，地表植被稀疏，甚至有些地方寸草不生，</w:t>
      </w:r>
      <w:r>
        <w:rPr>
          <w:rFonts w:hint="eastAsia" w:cs="Times New Roman"/>
          <w:color w:val="auto"/>
          <w:kern w:val="0"/>
          <w:sz w:val="24"/>
          <w:szCs w:val="24"/>
          <w:lang w:val="en-US" w:eastAsia="zh-CN" w:bidi="ar"/>
        </w:rPr>
        <w:t>以荒漠植被为主</w:t>
      </w:r>
      <w:r>
        <w:rPr>
          <w:rFonts w:hint="default" w:ascii="Times New Roman" w:hAnsi="Times New Roman" w:eastAsia="宋体" w:cs="Times New Roman"/>
          <w:color w:val="auto"/>
          <w:kern w:val="0"/>
          <w:sz w:val="24"/>
          <w:szCs w:val="24"/>
          <w:lang w:val="en-US" w:eastAsia="zh-CN" w:bidi="ar"/>
        </w:rPr>
        <w:t>，荒漠生态系统地区的降水很少，但蒸发却很强烈，土壤中的水分平衡全年均是严重不足，热量资源比较丰富，水热之间的不平衡导致短暂的降水很容易被土壤所吸收，并通过蒸发和植物的蒸腾作用迅速返回大气，限制了植物的生长，隧道段建设可能导致荒漠化加剧。</w:t>
      </w:r>
    </w:p>
    <w:p w14:paraId="787963DC">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5.1.4.2 生态效益损失</w:t>
      </w:r>
    </w:p>
    <w:p w14:paraId="017A3F1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工程建设的生态损失主要是占用草地、耕地、林地造成的生态效益损失。一般而言，绿色植物的生态效益是其经济效益的3～5倍。永久占地区植物的光合作用丧失，减少了向大气中释放氧气，同时，也损失了植物发育土壤，保护地表土壤层，抵御水蚀、风蚀减少水土流失，调节干旱区气候，为干旱区稀有的野生动物提供食物，减缓荒漠植被逆向演替的功能等。</w:t>
      </w:r>
    </w:p>
    <w:p w14:paraId="7C187399">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5.1.5 对动物资源的影响分析</w:t>
      </w:r>
    </w:p>
    <w:p w14:paraId="6D656056">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5.1.5.1 施工期影响分析</w:t>
      </w:r>
    </w:p>
    <w:p w14:paraId="010EB18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施工期对野生动物的主要影响因素有：工程建设、车辆运输产生的噪声和施工便道、施工场所等临时占地和永久占地。</w:t>
      </w:r>
    </w:p>
    <w:p w14:paraId="48D976D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本项目永</w:t>
      </w:r>
      <w:r>
        <w:rPr>
          <w:rFonts w:hint="default" w:ascii="Times New Roman" w:hAnsi="Times New Roman" w:eastAsia="宋体" w:cs="Times New Roman"/>
          <w:color w:val="auto"/>
          <w:kern w:val="0"/>
          <w:sz w:val="24"/>
          <w:szCs w:val="24"/>
          <w:highlight w:val="none"/>
          <w:lang w:val="en-US" w:eastAsia="zh-CN" w:bidi="ar"/>
        </w:rPr>
        <w:t>久占地</w:t>
      </w:r>
      <w:r>
        <w:rPr>
          <w:rFonts w:hint="default" w:ascii="Times New Roman" w:hAnsi="Times New Roman" w:cs="Times New Roman"/>
          <w:color w:val="auto"/>
          <w:kern w:val="0"/>
          <w:sz w:val="24"/>
          <w:szCs w:val="24"/>
          <w:highlight w:val="none"/>
          <w:lang w:val="en-US" w:eastAsia="zh-CN" w:bidi="ar"/>
        </w:rPr>
        <w:t>和施工</w:t>
      </w:r>
      <w:r>
        <w:rPr>
          <w:rFonts w:hint="default" w:ascii="Times New Roman" w:hAnsi="Times New Roman" w:eastAsia="宋体" w:cs="Times New Roman"/>
          <w:color w:val="auto"/>
          <w:kern w:val="0"/>
          <w:sz w:val="24"/>
          <w:szCs w:val="24"/>
          <w:highlight w:val="none"/>
          <w:lang w:val="en-US" w:eastAsia="zh-CN" w:bidi="ar"/>
        </w:rPr>
        <w:t>临时占地</w:t>
      </w:r>
      <w:r>
        <w:rPr>
          <w:rFonts w:hint="default" w:ascii="Times New Roman" w:hAnsi="Times New Roman" w:eastAsia="宋体" w:cs="Times New Roman"/>
          <w:color w:val="auto"/>
          <w:kern w:val="0"/>
          <w:sz w:val="24"/>
          <w:szCs w:val="24"/>
          <w:lang w:val="en-US" w:eastAsia="zh-CN" w:bidi="ar"/>
        </w:rPr>
        <w:t>对土地的占用使野生动物赖以生存的生态领域相应缩小，虽然占用的土地面积并不大，但会造成野生动物及其种群生境的破碎，这些非自然介质阻隔了生物之间的联系，其屏障作用导致物种扩散和种群扩大的机会减少，野生动物觅食和求偶受限制，改变了动物的移动路线和生活习性，结果将引起动物种群数量下降。项目区地域广阔，</w:t>
      </w:r>
      <w:r>
        <w:rPr>
          <w:rFonts w:hint="default" w:ascii="Times New Roman" w:hAnsi="Times New Roman" w:cs="Times New Roman"/>
          <w:color w:val="auto"/>
          <w:kern w:val="0"/>
          <w:sz w:val="24"/>
          <w:szCs w:val="24"/>
          <w:lang w:val="en-US" w:eastAsia="zh-CN" w:bidi="ar"/>
        </w:rPr>
        <w:t>公路</w:t>
      </w:r>
      <w:r>
        <w:rPr>
          <w:rFonts w:hint="default" w:ascii="Times New Roman" w:hAnsi="Times New Roman" w:eastAsia="宋体" w:cs="Times New Roman"/>
          <w:color w:val="auto"/>
          <w:kern w:val="0"/>
          <w:sz w:val="24"/>
          <w:szCs w:val="24"/>
          <w:lang w:val="en-US" w:eastAsia="zh-CN" w:bidi="ar"/>
        </w:rPr>
        <w:t>施工对野生动物有一定的影响，许多野生动物为避开人类的活动，早已离开工程区域。</w:t>
      </w:r>
    </w:p>
    <w:p w14:paraId="595C6017">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声环境预测结果，在路基路面工程施工过程中产生的噪声影响最大，施工期间挖掘机、推土机和混凝土生产机等的机械噪声、装卸汽车、载重汽车在运输和装卸过程中产生的噪声、石方开挖的噪声将对鸟类产生一定影响。其中施工机械和运输车辆产生的噪声持续时间较长，将使得声源附近栖息的鸟类迁移到影响范围以外生活，由于鸟类的迁移能力强，且噪声影响是暂时的，随着施工的结束而消失，因此，在做好科学合理的施工进度安排，采取适当的保护措施的前提下，噪声对鸟类的影响不大。公路永久占地会占用鸟类的生境，但是</w:t>
      </w:r>
      <w:r>
        <w:rPr>
          <w:rFonts w:hint="default" w:ascii="Times New Roman" w:hAnsi="Times New Roman" w:cs="Times New Roman"/>
          <w:color w:val="auto"/>
          <w:kern w:val="0"/>
          <w:sz w:val="24"/>
          <w:szCs w:val="24"/>
          <w:lang w:val="en-US" w:eastAsia="zh-CN" w:bidi="ar"/>
        </w:rPr>
        <w:t>评价区域</w:t>
      </w:r>
      <w:r>
        <w:rPr>
          <w:rFonts w:hint="default" w:ascii="Times New Roman" w:hAnsi="Times New Roman" w:eastAsia="宋体" w:cs="Times New Roman"/>
          <w:color w:val="auto"/>
          <w:kern w:val="0"/>
          <w:sz w:val="24"/>
          <w:szCs w:val="24"/>
          <w:lang w:val="en-US" w:eastAsia="zh-CN" w:bidi="ar"/>
        </w:rPr>
        <w:t>没有濒危物种，也不属于特有种，且经现场调查，项目区</w:t>
      </w:r>
      <w:r>
        <w:rPr>
          <w:rFonts w:hint="eastAsia" w:cs="Times New Roman"/>
          <w:color w:val="auto"/>
          <w:kern w:val="0"/>
          <w:sz w:val="24"/>
          <w:szCs w:val="24"/>
          <w:lang w:val="en-US" w:eastAsia="zh-CN" w:bidi="ar"/>
        </w:rPr>
        <w:t>主要为荒漠戈壁，干旱少雨，生态环境恶劣，很少有</w:t>
      </w:r>
      <w:r>
        <w:rPr>
          <w:rFonts w:hint="default" w:ascii="Times New Roman" w:hAnsi="Times New Roman" w:eastAsia="宋体" w:cs="Times New Roman"/>
          <w:color w:val="auto"/>
          <w:kern w:val="0"/>
          <w:sz w:val="24"/>
          <w:szCs w:val="24"/>
          <w:lang w:val="en-US" w:eastAsia="zh-CN" w:bidi="ar"/>
        </w:rPr>
        <w:t>鸟类</w:t>
      </w:r>
      <w:r>
        <w:rPr>
          <w:rFonts w:hint="eastAsia" w:cs="Times New Roman"/>
          <w:color w:val="auto"/>
          <w:kern w:val="0"/>
          <w:sz w:val="24"/>
          <w:szCs w:val="24"/>
          <w:lang w:val="en-US" w:eastAsia="zh-CN" w:bidi="ar"/>
        </w:rPr>
        <w:t>觅食、栖息</w:t>
      </w:r>
      <w:r>
        <w:rPr>
          <w:rFonts w:hint="default" w:ascii="Times New Roman" w:hAnsi="Times New Roman" w:eastAsia="宋体" w:cs="Times New Roman"/>
          <w:color w:val="auto"/>
          <w:kern w:val="0"/>
          <w:sz w:val="24"/>
          <w:szCs w:val="24"/>
          <w:lang w:val="en-US" w:eastAsia="zh-CN" w:bidi="ar"/>
        </w:rPr>
        <w:t>，施工区域内的鸟类栖息地被占用后，其可在远离施工区域的地带重新定居生活，受拟建公路的影响相对较小。</w:t>
      </w:r>
    </w:p>
    <w:p w14:paraId="45A655D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除了鸟类，工程区</w:t>
      </w:r>
      <w:r>
        <w:rPr>
          <w:rFonts w:hint="default" w:ascii="Times New Roman" w:hAnsi="Times New Roman" w:cs="Times New Roman"/>
          <w:color w:val="auto"/>
          <w:kern w:val="0"/>
          <w:sz w:val="24"/>
          <w:szCs w:val="24"/>
          <w:lang w:val="en-US" w:eastAsia="zh-CN" w:bidi="ar"/>
        </w:rPr>
        <w:t>其他</w:t>
      </w:r>
      <w:r>
        <w:rPr>
          <w:rFonts w:hint="default" w:ascii="Times New Roman" w:hAnsi="Times New Roman" w:eastAsia="宋体" w:cs="Times New Roman"/>
          <w:color w:val="auto"/>
          <w:kern w:val="0"/>
          <w:sz w:val="24"/>
          <w:szCs w:val="24"/>
          <w:lang w:val="en-US" w:eastAsia="zh-CN" w:bidi="ar"/>
        </w:rPr>
        <w:t>野生动物主要为夜间出行，因此，本项目施工噪声对动物的影响主要集中在夜间，夜间施工对动物的影响显著。施工噪声可能改变野生动物的行为方式，并使影响范围内野生动物感到威胁而离开原来的栖息地，迁至周围无人类活动的深处活动栖息。野生动物的行为方式及其分布范围的改变，也会造成野生动物繁殖和生存能力降低，种群数量减少。施工期应采取禁止夜间施工措施，减小施工噪声对野生动物的影响。</w:t>
      </w:r>
    </w:p>
    <w:p w14:paraId="374DEF77">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施工期间，施工地段将有相当数量的人员进驻，施工队伍临时驻地污水排放、生活垃圾等各类污染物收集起来，运至指定地点集中处理，不会对周围环境及野生动物产生影响。施工机械及人员活动会干扰附近野生动物的正常活动，使一些动物逃离到</w:t>
      </w:r>
      <w:r>
        <w:rPr>
          <w:rFonts w:hint="default" w:ascii="Times New Roman" w:hAnsi="Times New Roman" w:cs="Times New Roman"/>
          <w:color w:val="auto"/>
          <w:kern w:val="0"/>
          <w:sz w:val="24"/>
          <w:szCs w:val="24"/>
          <w:lang w:val="en-US" w:eastAsia="zh-CN" w:bidi="ar"/>
        </w:rPr>
        <w:t>远离</w:t>
      </w:r>
      <w:r>
        <w:rPr>
          <w:rFonts w:hint="default" w:ascii="Times New Roman" w:hAnsi="Times New Roman" w:eastAsia="宋体" w:cs="Times New Roman"/>
          <w:color w:val="auto"/>
          <w:kern w:val="0"/>
          <w:sz w:val="24"/>
          <w:szCs w:val="24"/>
          <w:lang w:val="en-US" w:eastAsia="zh-CN" w:bidi="ar"/>
        </w:rPr>
        <w:t>施工点的区域。施工单位应尽量缩短施工作业时间，严格限制施工范围，严禁施工人员捕杀野生动物。</w:t>
      </w:r>
    </w:p>
    <w:p w14:paraId="6B8B24F6">
      <w:pPr>
        <w:pStyle w:val="5"/>
        <w:bidi w:val="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5.1.5.2对重点保护动物的影响分析</w:t>
      </w:r>
    </w:p>
    <w:p w14:paraId="72E096E0">
      <w:pPr>
        <w:keepNext w:val="0"/>
        <w:keepLines w:val="0"/>
        <w:widowControl/>
        <w:suppressLineNumbers w:val="0"/>
        <w:jc w:val="left"/>
        <w:rPr>
          <w:rFonts w:hint="default" w:cs="Times New Roman"/>
          <w:color w:val="auto"/>
          <w:kern w:val="0"/>
          <w:sz w:val="24"/>
          <w:szCs w:val="24"/>
          <w:lang w:val="en-US" w:eastAsia="zh-CN" w:bidi="ar"/>
        </w:rPr>
      </w:pPr>
      <w:r>
        <w:rPr>
          <w:rFonts w:hint="default" w:cs="Times New Roman"/>
          <w:color w:val="auto"/>
          <w:kern w:val="0"/>
          <w:sz w:val="24"/>
          <w:szCs w:val="24"/>
          <w:lang w:val="en-US" w:eastAsia="zh-CN" w:bidi="ar"/>
        </w:rPr>
        <w:t>根据资料查阅，评价区域内可能出现国家二级保护动物鸢（</w:t>
      </w:r>
      <w:r>
        <w:rPr>
          <w:rFonts w:hint="default" w:cs="Times New Roman"/>
          <w:i/>
          <w:iCs/>
          <w:color w:val="auto"/>
          <w:kern w:val="0"/>
          <w:sz w:val="24"/>
          <w:szCs w:val="24"/>
          <w:lang w:val="en-US" w:eastAsia="zh-CN" w:bidi="ar"/>
        </w:rPr>
        <w:t>Milvus korschun</w:t>
      </w:r>
      <w:r>
        <w:rPr>
          <w:rFonts w:hint="default" w:cs="Times New Roman"/>
          <w:color w:val="auto"/>
          <w:kern w:val="0"/>
          <w:sz w:val="24"/>
          <w:szCs w:val="24"/>
          <w:lang w:val="en-US" w:eastAsia="zh-CN" w:bidi="ar"/>
        </w:rPr>
        <w:t>）</w:t>
      </w:r>
      <w:r>
        <w:rPr>
          <w:rFonts w:hint="eastAsia" w:cs="Times New Roman"/>
          <w:color w:val="auto"/>
          <w:kern w:val="0"/>
          <w:sz w:val="24"/>
          <w:szCs w:val="24"/>
          <w:lang w:val="en-US" w:eastAsia="zh-CN" w:bidi="ar"/>
        </w:rPr>
        <w:t>、</w:t>
      </w:r>
      <w:r>
        <w:rPr>
          <w:rFonts w:hint="default" w:cs="Times New Roman"/>
          <w:color w:val="auto"/>
          <w:kern w:val="0"/>
          <w:sz w:val="24"/>
          <w:szCs w:val="24"/>
          <w:lang w:val="en-US" w:eastAsia="zh-CN" w:bidi="ar"/>
        </w:rPr>
        <w:t>苍鹰（</w:t>
      </w:r>
      <w:r>
        <w:rPr>
          <w:rFonts w:hint="default" w:cs="Times New Roman"/>
          <w:i/>
          <w:iCs/>
          <w:color w:val="auto"/>
          <w:kern w:val="0"/>
          <w:sz w:val="24"/>
          <w:szCs w:val="24"/>
          <w:lang w:val="en-US" w:eastAsia="zh-CN" w:bidi="ar"/>
        </w:rPr>
        <w:t>Accipiter gentiles</w:t>
      </w:r>
      <w:r>
        <w:rPr>
          <w:rFonts w:hint="default" w:cs="Times New Roman"/>
          <w:color w:val="auto"/>
          <w:kern w:val="0"/>
          <w:sz w:val="24"/>
          <w:szCs w:val="24"/>
          <w:lang w:val="en-US" w:eastAsia="zh-CN" w:bidi="ar"/>
        </w:rPr>
        <w:t>）、红隼（</w:t>
      </w:r>
      <w:r>
        <w:rPr>
          <w:rFonts w:hint="default" w:cs="Times New Roman"/>
          <w:i/>
          <w:iCs/>
          <w:color w:val="auto"/>
          <w:kern w:val="0"/>
          <w:sz w:val="24"/>
          <w:szCs w:val="24"/>
          <w:lang w:val="en-US" w:eastAsia="zh-CN" w:bidi="ar"/>
        </w:rPr>
        <w:t>Falco tinnunculus</w:t>
      </w:r>
      <w:r>
        <w:rPr>
          <w:rFonts w:hint="default" w:cs="Times New Roman"/>
          <w:color w:val="auto"/>
          <w:kern w:val="0"/>
          <w:sz w:val="24"/>
          <w:szCs w:val="24"/>
          <w:lang w:val="en-US" w:eastAsia="zh-CN" w:bidi="ar"/>
        </w:rPr>
        <w:t>）</w:t>
      </w:r>
      <w:r>
        <w:rPr>
          <w:rFonts w:hint="eastAsia" w:cs="Times New Roman"/>
          <w:color w:val="auto"/>
          <w:kern w:val="0"/>
          <w:sz w:val="24"/>
          <w:szCs w:val="24"/>
          <w:lang w:val="en-US" w:eastAsia="zh-CN" w:bidi="ar"/>
        </w:rPr>
        <w:t>、</w:t>
      </w:r>
      <w:r>
        <w:rPr>
          <w:rFonts w:hint="default" w:cs="Times New Roman"/>
          <w:color w:val="auto"/>
          <w:kern w:val="0"/>
          <w:sz w:val="24"/>
          <w:szCs w:val="24"/>
          <w:lang w:val="en-US" w:eastAsia="zh-CN" w:bidi="ar"/>
        </w:rPr>
        <w:t>鹅喉羚（</w:t>
      </w:r>
      <w:r>
        <w:rPr>
          <w:rFonts w:hint="default" w:cs="Times New Roman"/>
          <w:i/>
          <w:iCs/>
          <w:color w:val="auto"/>
          <w:kern w:val="0"/>
          <w:sz w:val="24"/>
          <w:szCs w:val="24"/>
          <w:lang w:val="en-US" w:eastAsia="zh-CN" w:bidi="ar"/>
        </w:rPr>
        <w:t>Gazella subgutturosa</w:t>
      </w:r>
      <w:r>
        <w:rPr>
          <w:rFonts w:hint="default" w:cs="Times New Roman"/>
          <w:color w:val="auto"/>
          <w:kern w:val="0"/>
          <w:sz w:val="24"/>
          <w:szCs w:val="24"/>
          <w:lang w:val="en-US" w:eastAsia="zh-CN" w:bidi="ar"/>
        </w:rPr>
        <w:t>）、塔里木兔（</w:t>
      </w:r>
      <w:r>
        <w:rPr>
          <w:rFonts w:hint="default" w:cs="Times New Roman"/>
          <w:i/>
          <w:iCs/>
          <w:color w:val="auto"/>
          <w:kern w:val="0"/>
          <w:sz w:val="24"/>
          <w:szCs w:val="24"/>
          <w:lang w:val="en-US" w:eastAsia="zh-CN" w:bidi="ar"/>
        </w:rPr>
        <w:t>Lepus yarkandensis</w:t>
      </w:r>
      <w:r>
        <w:rPr>
          <w:rFonts w:hint="default" w:cs="Times New Roman"/>
          <w:color w:val="auto"/>
          <w:kern w:val="0"/>
          <w:sz w:val="24"/>
          <w:szCs w:val="24"/>
          <w:lang w:val="en-US" w:eastAsia="zh-CN" w:bidi="ar"/>
        </w:rPr>
        <w:t>），受本项目影响的爬行动物有一定主动避开的能力，在采取相应保护措施的前提下，受影响的爬行动物能主动迁走，寻找周边适宜的栖息地，故项目对爬行动物及其栖息地的影响较小。施工人员猎杀对爬行类的潜在影响可能较大，可通过采取有效</w:t>
      </w:r>
      <w:r>
        <w:rPr>
          <w:rFonts w:hint="eastAsia" w:cs="Times New Roman"/>
          <w:color w:val="auto"/>
          <w:kern w:val="0"/>
          <w:sz w:val="24"/>
          <w:szCs w:val="24"/>
          <w:lang w:val="en-US" w:eastAsia="zh-CN" w:bidi="ar"/>
        </w:rPr>
        <w:t>地</w:t>
      </w:r>
      <w:r>
        <w:rPr>
          <w:rFonts w:hint="default" w:cs="Times New Roman"/>
          <w:color w:val="auto"/>
          <w:kern w:val="0"/>
          <w:sz w:val="24"/>
          <w:szCs w:val="24"/>
          <w:lang w:val="en-US" w:eastAsia="zh-CN" w:bidi="ar"/>
        </w:rPr>
        <w:t>加强宣传教育和监督管理等措施予以制止。施工活动会产生噪声、频繁往来的车流、人流改变了原有的安静环境，对喜欢安静或害怕人群类爬行动物会形成惊吓导致其离开原有的活动范围，会暂时降低影响区内敏感物种数量和降低出现的次数，施工结束后其影响逐渐消除。</w:t>
      </w:r>
    </w:p>
    <w:p w14:paraId="4DEC9C9B">
      <w:pPr>
        <w:keepNext w:val="0"/>
        <w:keepLines w:val="0"/>
        <w:widowControl/>
        <w:suppressLineNumbers w:val="0"/>
        <w:jc w:val="left"/>
        <w:rPr>
          <w:rFonts w:hint="eastAsia" w:cs="Times New Roman"/>
          <w:color w:val="auto"/>
          <w:kern w:val="0"/>
          <w:sz w:val="24"/>
          <w:szCs w:val="24"/>
          <w:lang w:val="en-US" w:eastAsia="zh-CN" w:bidi="ar"/>
        </w:rPr>
      </w:pPr>
      <w:r>
        <w:rPr>
          <w:rFonts w:hint="eastAsia" w:cs="Times New Roman"/>
          <w:color w:val="auto"/>
          <w:kern w:val="0"/>
          <w:sz w:val="24"/>
          <w:szCs w:val="24"/>
          <w:lang w:val="en-US" w:eastAsia="zh-CN" w:bidi="ar"/>
        </w:rPr>
        <w:t>哺乳类动物鹅喉羚（</w:t>
      </w:r>
      <w:r>
        <w:rPr>
          <w:rFonts w:hint="eastAsia" w:cs="Times New Roman"/>
          <w:i/>
          <w:iCs/>
          <w:color w:val="auto"/>
          <w:kern w:val="0"/>
          <w:sz w:val="24"/>
          <w:szCs w:val="24"/>
          <w:lang w:val="en-US" w:eastAsia="zh-CN" w:bidi="ar"/>
        </w:rPr>
        <w:t>Gazella subgutturosa</w:t>
      </w:r>
      <w:r>
        <w:rPr>
          <w:rFonts w:hint="eastAsia" w:cs="Times New Roman"/>
          <w:color w:val="auto"/>
          <w:kern w:val="0"/>
          <w:sz w:val="24"/>
          <w:szCs w:val="24"/>
          <w:lang w:val="en-US" w:eastAsia="zh-CN" w:bidi="ar"/>
        </w:rPr>
        <w:t>）与塔里木兔（</w:t>
      </w:r>
      <w:r>
        <w:rPr>
          <w:rFonts w:hint="eastAsia" w:cs="Times New Roman"/>
          <w:i/>
          <w:iCs/>
          <w:color w:val="auto"/>
          <w:kern w:val="0"/>
          <w:sz w:val="24"/>
          <w:szCs w:val="24"/>
          <w:lang w:val="en-US" w:eastAsia="zh-CN" w:bidi="ar"/>
        </w:rPr>
        <w:t>Lepus yarkandensis</w:t>
      </w:r>
      <w:r>
        <w:rPr>
          <w:rFonts w:hint="eastAsia" w:cs="Times New Roman"/>
          <w:color w:val="auto"/>
          <w:kern w:val="0"/>
          <w:sz w:val="24"/>
          <w:szCs w:val="24"/>
          <w:lang w:val="en-US" w:eastAsia="zh-CN" w:bidi="ar"/>
        </w:rPr>
        <w:t>）在对外界环境变化具备迁移适应能力，可主动向更适宜的生境转移，故本项目建设对其影响较为有限。项目线路主要布设于人类活动相对频繁的区域，项目区整体属荒漠戈壁地貌，气候干旱、降水稀少，生态环境较为脆弱，不适宜多数动物长期觅食与栖息。</w:t>
      </w:r>
    </w:p>
    <w:p w14:paraId="3BE75A87">
      <w:pPr>
        <w:keepNext w:val="0"/>
        <w:keepLines w:val="0"/>
        <w:widowControl/>
        <w:suppressLineNumbers w:val="0"/>
        <w:jc w:val="left"/>
        <w:rPr>
          <w:rFonts w:hint="eastAsia" w:eastAsia="宋体"/>
          <w:color w:val="auto"/>
          <w:lang w:eastAsia="zh-CN"/>
        </w:rPr>
      </w:pPr>
      <w:r>
        <w:rPr>
          <w:rFonts w:hint="eastAsia" w:cs="Times New Roman"/>
          <w:color w:val="auto"/>
          <w:kern w:val="0"/>
          <w:sz w:val="24"/>
          <w:szCs w:val="24"/>
          <w:lang w:val="en-US" w:eastAsia="zh-CN" w:bidi="ar"/>
        </w:rPr>
        <w:t>对于塔里木兔等具有迁徙习性的哺乳类动物而言，尽管它们自身具备一定程度的迁移与适应能力，但持续性的施工活动仍可能对其原有的活动路径、觅食区域及繁殖范围构成显著限制，甚至造成栖息地的碎片化。因此，在施工过程中应加强宣传教育，严禁捕杀野生动物，通过合理规划施工时间和区域，避免在动物活动频繁的季节或地点进行大规模作业，可进一步降低对重点保护动物的干扰。同时，应在施工结束后尽快实施生态恢复措施，如植被重建和生境修复，为动物提供适宜的生存环境，促进其种群的稳定与恢复。从而最大程度地减轻工程施工对当地重点保护动物种群可能产生的长期不利影响。</w:t>
      </w:r>
    </w:p>
    <w:p w14:paraId="3FECABF6">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5.1.5.</w:t>
      </w:r>
      <w:r>
        <w:rPr>
          <w:rFonts w:hint="eastAsia" w:cs="Times New Roman"/>
          <w:color w:val="auto"/>
          <w:lang w:val="en-US" w:eastAsia="zh-CN"/>
        </w:rPr>
        <w:t>3</w:t>
      </w:r>
      <w:r>
        <w:rPr>
          <w:rFonts w:hint="default" w:ascii="Times New Roman" w:hAnsi="Times New Roman" w:cs="Times New Roman"/>
          <w:color w:val="auto"/>
          <w:lang w:val="en-US" w:eastAsia="zh-CN"/>
        </w:rPr>
        <w:t xml:space="preserve"> 运营期影响分析</w:t>
      </w:r>
    </w:p>
    <w:p w14:paraId="724B16D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在运营期，对野生动物的影响主要是</w:t>
      </w:r>
      <w:r>
        <w:rPr>
          <w:rFonts w:hint="default" w:ascii="Times New Roman" w:hAnsi="Times New Roman" w:cs="Times New Roman"/>
          <w:color w:val="auto"/>
          <w:kern w:val="0"/>
          <w:sz w:val="24"/>
          <w:szCs w:val="24"/>
          <w:lang w:val="en-US" w:eastAsia="zh-CN" w:bidi="ar"/>
        </w:rPr>
        <w:t>公路</w:t>
      </w:r>
      <w:r>
        <w:rPr>
          <w:rFonts w:hint="default" w:ascii="Times New Roman" w:hAnsi="Times New Roman" w:eastAsia="宋体" w:cs="Times New Roman"/>
          <w:color w:val="auto"/>
          <w:kern w:val="0"/>
          <w:sz w:val="24"/>
          <w:szCs w:val="24"/>
          <w:lang w:val="en-US" w:eastAsia="zh-CN" w:bidi="ar"/>
        </w:rPr>
        <w:t>阻隔和行驶车辆产生噪声对动物驱扰的影响。公路为线状工程，由于廊道效应的影响，将对野生动物的活动形成屏障作用，切割其生境，对野生动物的觅食、交配等产生一定影响。但本项目所在区域由于长期从事农业生产活动及其他经济活动的影响，野生动物较少，主要为人工饲养的家畜家禽很少见大型野生动物。根据调查，本项目不设置野生动物专有迁移通道。全线设置</w:t>
      </w:r>
      <w:r>
        <w:rPr>
          <w:rFonts w:hint="default" w:ascii="Times New Roman" w:hAnsi="Times New Roman" w:cs="Times New Roman"/>
          <w:color w:val="auto"/>
          <w:kern w:val="0"/>
          <w:sz w:val="24"/>
          <w:szCs w:val="24"/>
          <w:highlight w:val="none"/>
          <w:lang w:val="en-US" w:eastAsia="zh-CN" w:bidi="ar"/>
        </w:rPr>
        <w:t>桥梁275m/2座，设置隧道1149m（1162m）/1座，涵洞22道</w:t>
      </w:r>
      <w:r>
        <w:rPr>
          <w:rFonts w:hint="default" w:ascii="Times New Roman" w:hAnsi="Times New Roman" w:eastAsia="宋体" w:cs="Times New Roman"/>
          <w:color w:val="auto"/>
          <w:kern w:val="0"/>
          <w:sz w:val="24"/>
          <w:szCs w:val="24"/>
          <w:highlight w:val="none"/>
          <w:lang w:val="en-US" w:eastAsia="zh-CN" w:bidi="ar"/>
        </w:rPr>
        <w:t>可</w:t>
      </w:r>
      <w:r>
        <w:rPr>
          <w:rFonts w:hint="default" w:ascii="Times New Roman" w:hAnsi="Times New Roman" w:eastAsia="宋体" w:cs="Times New Roman"/>
          <w:color w:val="auto"/>
          <w:kern w:val="0"/>
          <w:sz w:val="24"/>
          <w:szCs w:val="24"/>
          <w:lang w:val="en-US" w:eastAsia="zh-CN" w:bidi="ar"/>
        </w:rPr>
        <w:t>以作为项目区域的小型哺乳动物和爬行动物通道；本项目桥涵的设置能够</w:t>
      </w:r>
      <w:r>
        <w:rPr>
          <w:rFonts w:hint="default" w:ascii="Times New Roman" w:hAnsi="Times New Roman" w:cs="Times New Roman"/>
          <w:color w:val="auto"/>
          <w:kern w:val="0"/>
          <w:sz w:val="24"/>
          <w:szCs w:val="24"/>
          <w:lang w:val="en-US" w:eastAsia="zh-CN" w:bidi="ar"/>
        </w:rPr>
        <w:t>基本</w:t>
      </w:r>
      <w:r>
        <w:rPr>
          <w:rFonts w:hint="default" w:ascii="Times New Roman" w:hAnsi="Times New Roman" w:eastAsia="宋体" w:cs="Times New Roman"/>
          <w:color w:val="auto"/>
          <w:kern w:val="0"/>
          <w:sz w:val="24"/>
          <w:szCs w:val="24"/>
          <w:lang w:val="en-US" w:eastAsia="zh-CN" w:bidi="ar"/>
        </w:rPr>
        <w:t>满足动物的通行、觅食等需求，可以减缓工程对野生动物活动的阻隔影响。</w:t>
      </w:r>
    </w:p>
    <w:p w14:paraId="17CABA5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w:t>
      </w:r>
      <w:r>
        <w:rPr>
          <w:rFonts w:hint="default" w:ascii="Times New Roman" w:hAnsi="Times New Roman" w:cs="Times New Roman"/>
          <w:color w:val="auto"/>
          <w:kern w:val="0"/>
          <w:sz w:val="24"/>
          <w:szCs w:val="24"/>
          <w:lang w:val="en-US" w:eastAsia="zh-CN" w:bidi="ar"/>
        </w:rPr>
        <w:t>沿线主要为横穿兰干塔格山</w:t>
      </w:r>
      <w:r>
        <w:rPr>
          <w:rFonts w:hint="default" w:ascii="Times New Roman" w:hAnsi="Times New Roman" w:eastAsia="宋体" w:cs="Times New Roman"/>
          <w:color w:val="auto"/>
          <w:kern w:val="0"/>
          <w:sz w:val="24"/>
          <w:szCs w:val="24"/>
          <w:lang w:val="en-US" w:eastAsia="zh-CN" w:bidi="ar"/>
        </w:rPr>
        <w:t>，兰干塔格山低山区地形起伏变化较大，沟壑丛生，植被稀少，地表多为第三系地层风化砂土，海拔高程为海拔 1350～1500m</w:t>
      </w:r>
      <w:r>
        <w:rPr>
          <w:rFonts w:hint="default" w:ascii="Times New Roman" w:hAnsi="Times New Roman" w:cs="Times New Roman"/>
          <w:color w:val="auto"/>
          <w:kern w:val="0"/>
          <w:sz w:val="24"/>
          <w:szCs w:val="24"/>
          <w:lang w:val="en-US" w:eastAsia="zh-CN" w:bidi="ar"/>
        </w:rPr>
        <w:t>，公路</w:t>
      </w:r>
      <w:r>
        <w:rPr>
          <w:rFonts w:hint="default" w:ascii="Times New Roman" w:hAnsi="Times New Roman" w:eastAsia="宋体" w:cs="Times New Roman"/>
          <w:color w:val="auto"/>
          <w:kern w:val="0"/>
          <w:sz w:val="24"/>
          <w:szCs w:val="24"/>
          <w:lang w:val="en-US" w:eastAsia="zh-CN" w:bidi="ar"/>
        </w:rPr>
        <w:t>两侧1km范围内野生动物</w:t>
      </w:r>
      <w:r>
        <w:rPr>
          <w:rFonts w:hint="default" w:ascii="Times New Roman" w:hAnsi="Times New Roman" w:cs="Times New Roman"/>
          <w:color w:val="auto"/>
          <w:kern w:val="0"/>
          <w:sz w:val="24"/>
          <w:szCs w:val="24"/>
          <w:lang w:val="en-US" w:eastAsia="zh-CN" w:bidi="ar"/>
        </w:rPr>
        <w:t>很</w:t>
      </w:r>
      <w:r>
        <w:rPr>
          <w:rFonts w:hint="default" w:ascii="Times New Roman" w:hAnsi="Times New Roman" w:eastAsia="宋体" w:cs="Times New Roman"/>
          <w:color w:val="auto"/>
          <w:kern w:val="0"/>
          <w:sz w:val="24"/>
          <w:szCs w:val="24"/>
          <w:lang w:val="en-US" w:eastAsia="zh-CN" w:bidi="ar"/>
        </w:rPr>
        <w:t>少，主要为一些啮齿类小型哺乳动物。因此，本项目运营期产生的噪声对区域野生动物影响较小。</w:t>
      </w:r>
    </w:p>
    <w:p w14:paraId="2FFBFE9D">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5.1.6 对水生生态的影响分析</w:t>
      </w:r>
    </w:p>
    <w:p w14:paraId="722C7B3B">
      <w:pPr>
        <w:keepNext w:val="0"/>
        <w:keepLines w:val="0"/>
        <w:widowControl/>
        <w:suppressLineNumbers w:val="0"/>
        <w:jc w:val="left"/>
        <w:rPr>
          <w:rFonts w:hint="default" w:ascii="Times New Roman" w:hAnsi="Times New Roman"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本项目全线共设计桥梁2座，均为275/2座，其中位于K7+006.5处设计一座大桥（兰干山大桥）；K10+861.7设置一座大桥（G3012跨线桥）。</w:t>
      </w:r>
      <w:r>
        <w:rPr>
          <w:rFonts w:hint="default" w:ascii="Times New Roman" w:hAnsi="Times New Roman" w:cs="Times New Roman"/>
          <w:color w:val="auto"/>
          <w:kern w:val="0"/>
          <w:sz w:val="24"/>
          <w:szCs w:val="24"/>
          <w:lang w:val="en-US" w:eastAsia="zh-CN" w:bidi="ar"/>
        </w:rPr>
        <w:t>本项目两座桥梁需设置桥墩，设置桥墩的核心原因：设桥路段地形起伏显著，存在深沟等地形障碍，且地形高差较大；为保障路线</w:t>
      </w:r>
      <w:r>
        <w:rPr>
          <w:rFonts w:hint="eastAsia" w:cs="Times New Roman"/>
          <w:color w:val="auto"/>
          <w:kern w:val="0"/>
          <w:sz w:val="24"/>
          <w:szCs w:val="24"/>
          <w:lang w:val="en-US" w:eastAsia="zh-CN" w:bidi="ar"/>
        </w:rPr>
        <w:t>平面线形</w:t>
      </w:r>
      <w:r>
        <w:rPr>
          <w:rFonts w:hint="default" w:ascii="Times New Roman" w:hAnsi="Times New Roman" w:cs="Times New Roman"/>
          <w:color w:val="auto"/>
          <w:kern w:val="0"/>
          <w:sz w:val="24"/>
          <w:szCs w:val="24"/>
          <w:lang w:val="en-US" w:eastAsia="zh-CN" w:bidi="ar"/>
        </w:rPr>
        <w:t>顺直、满足行车净空要求、安全跨越地形障碍，需通过设置桥墩支撑桥梁主体结构，实现路线的连续通行功能。</w:t>
      </w:r>
    </w:p>
    <w:p w14:paraId="458D1EA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kern w:val="0"/>
          <w:sz w:val="24"/>
          <w:szCs w:val="24"/>
          <w:lang w:val="en-US" w:eastAsia="zh-CN" w:bidi="ar"/>
        </w:rPr>
        <w:t>根据现场调查及区域地形地貌勘察结果，项目周边无自然河流等地表径流分布，项目区水文形势常年无流水，故不存在水生生物。</w:t>
      </w:r>
    </w:p>
    <w:p w14:paraId="4069AD2B">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5.1.7 对水土流失影响分析</w:t>
      </w:r>
    </w:p>
    <w:p w14:paraId="41A848B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施工过程中，会因工程施工占地、土方开挖、土方堆放等造成一定的水土流失。通常因其破坏原有植被，改变表土结构，挖出的土石方因结构松散，如果开挖期间遭遇暴雨，水土流失量将增大。在施工区域内，因机械设备、车辆等碾压、施工人员踩踏和土石方堆放等因素使土地原有植被受到破坏，土壤裸露，易被雨水冲刷，造成水土流失。</w:t>
      </w:r>
    </w:p>
    <w:p w14:paraId="4AC65EF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项目建设时对路基挖出的土方由机械压实，并用防尘网覆盖，</w:t>
      </w:r>
      <w:r>
        <w:rPr>
          <w:rFonts w:hint="default" w:ascii="Times New Roman" w:hAnsi="Times New Roman" w:cs="Times New Roman"/>
          <w:color w:val="auto"/>
          <w:kern w:val="0"/>
          <w:sz w:val="24"/>
          <w:szCs w:val="24"/>
          <w:lang w:val="en-US" w:eastAsia="zh-CN" w:bidi="ar"/>
        </w:rPr>
        <w:t>减少</w:t>
      </w:r>
      <w:r>
        <w:rPr>
          <w:rFonts w:hint="default" w:ascii="Times New Roman" w:hAnsi="Times New Roman" w:eastAsia="宋体" w:cs="Times New Roman"/>
          <w:color w:val="auto"/>
          <w:kern w:val="0"/>
          <w:sz w:val="24"/>
          <w:szCs w:val="24"/>
          <w:lang w:val="en-US" w:eastAsia="zh-CN" w:bidi="ar"/>
        </w:rPr>
        <w:t>风力起尘造成的水土流失。本项目区域雨量较少，占地类型主要为耕地和草地，工程后期会对部分路堤边坡进行喷播草籽绿化，在风沙路段在路基上风侧设置一道芦苇阻沙栅栏，减少水土流失量。同时本项目会对占用林地、草原进行补偿，临时工程结束后进行地表清理，表土回覆，土壤改良后，进行生态恢复。因此，本项目建设对区域水土流失影响较小。</w:t>
      </w:r>
    </w:p>
    <w:p w14:paraId="6E43D3C5">
      <w:pPr>
        <w:pStyle w:val="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5.1.8土地沙化影响</w:t>
      </w:r>
      <w:r>
        <w:rPr>
          <w:rFonts w:hint="eastAsia" w:cs="Times New Roman"/>
          <w:color w:val="auto"/>
          <w:lang w:val="en-US" w:eastAsia="zh-CN"/>
        </w:rPr>
        <w:t>分析</w:t>
      </w:r>
    </w:p>
    <w:p w14:paraId="03CFAB1A">
      <w:pPr>
        <w:keepNext w:val="0"/>
        <w:keepLines w:val="0"/>
        <w:widowControl/>
        <w:suppressLineNumbers w:val="0"/>
        <w:jc w:val="left"/>
        <w:rPr>
          <w:rFonts w:hint="default" w:cs="Times New Roman"/>
          <w:color w:val="auto"/>
          <w:kern w:val="0"/>
          <w:sz w:val="24"/>
          <w:szCs w:val="24"/>
          <w:lang w:val="en-US" w:eastAsia="zh-CN" w:bidi="ar"/>
        </w:rPr>
      </w:pPr>
      <w:r>
        <w:rPr>
          <w:rFonts w:hint="default" w:cs="Times New Roman"/>
          <w:color w:val="auto"/>
          <w:kern w:val="0"/>
          <w:sz w:val="24"/>
          <w:szCs w:val="24"/>
          <w:lang w:val="en-US" w:eastAsia="zh-CN" w:bidi="ar"/>
        </w:rPr>
        <w:t>根据《新疆第六次沙化监测报告》，监测结果显示：新疆沙化土地面积7468.21万公顷，占监测区总面积47.60%，具有明显沙化趋势的土地面积437.96万公顷，占监测区总面积2.79%，非沙化土地面积7782.95万公顷，占监测区总面积49.61%。本项目位于阿图什市、喀什市境内，本项目占地类型为其他土地—裸岩石砾地（裸岩石质地、戈壁）以及少量的建设用地及农用地，项目占地属于非沙化土地。项目所在区属于荒漠区，根据现场调查基本处于戈壁状态，植被覆盖度较少。项目临时占地及永久占地会破坏原有土地的地表植被和结皮，导致土地沙化进一步恶化。</w:t>
      </w:r>
    </w:p>
    <w:p w14:paraId="0B87C5D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本项目生态影响评价自查表见表5.1-</w:t>
      </w:r>
      <w:r>
        <w:rPr>
          <w:rFonts w:hint="eastAsia"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w:t>
      </w:r>
    </w:p>
    <w:p w14:paraId="638D9AA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
        </w:rPr>
        <w:t>表5.1-</w:t>
      </w:r>
      <w:r>
        <w:rPr>
          <w:rFonts w:hint="eastAsia" w:cs="Times New Roman"/>
          <w:b/>
          <w:bCs/>
          <w:color w:val="auto"/>
          <w:kern w:val="0"/>
          <w:sz w:val="21"/>
          <w:szCs w:val="21"/>
          <w:lang w:val="en-US" w:eastAsia="zh-CN" w:bidi="ar"/>
        </w:rPr>
        <w:t>3</w:t>
      </w:r>
      <w:r>
        <w:rPr>
          <w:rFonts w:hint="default" w:ascii="Times New Roman" w:hAnsi="Times New Roman" w:eastAsia="宋体" w:cs="Times New Roman"/>
          <w:b/>
          <w:bCs/>
          <w:color w:val="auto"/>
          <w:kern w:val="0"/>
          <w:sz w:val="21"/>
          <w:szCs w:val="21"/>
          <w:lang w:val="en-US" w:eastAsia="zh-CN" w:bidi="ar"/>
        </w:rPr>
        <w:t xml:space="preserve"> 生态影响评价自查表</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4"/>
        <w:gridCol w:w="2137"/>
        <w:gridCol w:w="5337"/>
      </w:tblGrid>
      <w:tr w14:paraId="6097C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1" w:type="dxa"/>
            <w:gridSpan w:val="2"/>
            <w:vAlign w:val="center"/>
          </w:tcPr>
          <w:p w14:paraId="1CCD4B2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工作内容</w:t>
            </w:r>
          </w:p>
        </w:tc>
        <w:tc>
          <w:tcPr>
            <w:tcW w:w="5337" w:type="dxa"/>
            <w:vAlign w:val="center"/>
          </w:tcPr>
          <w:p w14:paraId="2952C9E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自查项目</w:t>
            </w:r>
          </w:p>
        </w:tc>
      </w:tr>
      <w:tr w14:paraId="45A2C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4" w:type="dxa"/>
            <w:vMerge w:val="restart"/>
            <w:vAlign w:val="center"/>
          </w:tcPr>
          <w:p w14:paraId="15E72AE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生态影响识别</w:t>
            </w:r>
          </w:p>
        </w:tc>
        <w:tc>
          <w:tcPr>
            <w:tcW w:w="2137" w:type="dxa"/>
            <w:vAlign w:val="center"/>
          </w:tcPr>
          <w:p w14:paraId="166CA33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生态保护目标</w:t>
            </w:r>
          </w:p>
        </w:tc>
        <w:tc>
          <w:tcPr>
            <w:tcW w:w="5337" w:type="dxa"/>
            <w:vAlign w:val="center"/>
          </w:tcPr>
          <w:p w14:paraId="00B0795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重要物种□；国家公园□；自然保护区□；自然公园□；世界自然遗产□；生态保护红线□；重要生境□；其他具有重要生态功能、对保护生物多样性具有重要意义的区域□；其他</w:t>
            </w:r>
            <w:r>
              <w:rPr>
                <w:rFonts w:hint="default" w:ascii="Times New Roman" w:hAnsi="Times New Roman" w:eastAsia="Segoe UI Symbol" w:cs="Times New Roman"/>
                <w:color w:val="auto"/>
                <w:kern w:val="0"/>
                <w:sz w:val="21"/>
                <w:szCs w:val="21"/>
                <w:lang w:val="en-US" w:eastAsia="zh-CN" w:bidi="ar"/>
              </w:rPr>
              <w:t>☑</w:t>
            </w:r>
          </w:p>
        </w:tc>
      </w:tr>
      <w:tr w14:paraId="2578D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4" w:type="dxa"/>
            <w:vMerge w:val="continue"/>
            <w:vAlign w:val="center"/>
          </w:tcPr>
          <w:p w14:paraId="6E20319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2137" w:type="dxa"/>
            <w:vAlign w:val="center"/>
          </w:tcPr>
          <w:p w14:paraId="37536CA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影响方式</w:t>
            </w:r>
          </w:p>
        </w:tc>
        <w:tc>
          <w:tcPr>
            <w:tcW w:w="5337" w:type="dxa"/>
            <w:vAlign w:val="center"/>
          </w:tcPr>
          <w:p w14:paraId="3FE5A14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工程占用</w:t>
            </w:r>
            <w:r>
              <w:rPr>
                <w:rFonts w:hint="default" w:ascii="Times New Roman" w:hAnsi="Times New Roman" w:eastAsia="Segoe UI Symbol"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；施工活动干扰</w:t>
            </w:r>
            <w:r>
              <w:rPr>
                <w:rFonts w:hint="default" w:ascii="Times New Roman" w:hAnsi="Times New Roman" w:eastAsia="Segoe UI Symbol"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；改变环境条件□；其他□</w:t>
            </w:r>
          </w:p>
        </w:tc>
      </w:tr>
      <w:tr w14:paraId="228FD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4" w:type="dxa"/>
            <w:vMerge w:val="continue"/>
            <w:vAlign w:val="center"/>
          </w:tcPr>
          <w:p w14:paraId="6A7121A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2137" w:type="dxa"/>
            <w:vAlign w:val="center"/>
          </w:tcPr>
          <w:p w14:paraId="675DF71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评价因子</w:t>
            </w:r>
          </w:p>
        </w:tc>
        <w:tc>
          <w:tcPr>
            <w:tcW w:w="5337" w:type="dxa"/>
            <w:vAlign w:val="center"/>
          </w:tcPr>
          <w:p w14:paraId="5B75CC2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物种</w:t>
            </w:r>
            <w:r>
              <w:rPr>
                <w:rFonts w:hint="default" w:ascii="Times New Roman" w:hAnsi="Times New Roman" w:eastAsia="Segoe UI Symbol"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（分布范围、种群结构       ）</w:t>
            </w:r>
          </w:p>
          <w:p w14:paraId="7EEE1DE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生境□（                          ）</w:t>
            </w:r>
          </w:p>
          <w:p w14:paraId="733CC7D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生物群落</w:t>
            </w:r>
            <w:r>
              <w:rPr>
                <w:rFonts w:hint="default" w:ascii="Times New Roman" w:hAnsi="Times New Roman" w:eastAsia="Segoe UI Symbol"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（物种组成、群落结构    ）</w:t>
            </w:r>
          </w:p>
          <w:p w14:paraId="7030B35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生态系统</w:t>
            </w:r>
            <w:r>
              <w:rPr>
                <w:rFonts w:hint="default" w:ascii="Times New Roman" w:hAnsi="Times New Roman" w:eastAsia="Segoe UI Symbol"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（生物量、生态系统功能  ）</w:t>
            </w:r>
          </w:p>
          <w:p w14:paraId="5EDC7BB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生物多样性</w:t>
            </w:r>
            <w:r>
              <w:rPr>
                <w:rFonts w:hint="default" w:ascii="Times New Roman" w:hAnsi="Times New Roman" w:eastAsia="Segoe UI Symbol"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                    ）</w:t>
            </w:r>
          </w:p>
          <w:p w14:paraId="474D463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生态敏感区□（                     ）</w:t>
            </w:r>
          </w:p>
          <w:p w14:paraId="7B60FAA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自然景观□（                        ）</w:t>
            </w:r>
          </w:p>
          <w:p w14:paraId="70909B1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自然遗迹□（                          ）</w:t>
            </w:r>
          </w:p>
          <w:p w14:paraId="473F29A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其他□（                           ）</w:t>
            </w:r>
          </w:p>
        </w:tc>
      </w:tr>
      <w:tr w14:paraId="7BABC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1" w:type="dxa"/>
            <w:gridSpan w:val="2"/>
            <w:vAlign w:val="center"/>
          </w:tcPr>
          <w:p w14:paraId="5B5ABA9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评价等级</w:t>
            </w:r>
          </w:p>
        </w:tc>
        <w:tc>
          <w:tcPr>
            <w:tcW w:w="5337" w:type="dxa"/>
            <w:vAlign w:val="center"/>
          </w:tcPr>
          <w:p w14:paraId="1B4B0AA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一级□ 二级□ 三级</w:t>
            </w:r>
            <w:r>
              <w:rPr>
                <w:rFonts w:hint="default" w:ascii="Times New Roman" w:hAnsi="Times New Roman" w:eastAsia="MS Gothic"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生态影响简单分析□</w:t>
            </w:r>
          </w:p>
        </w:tc>
      </w:tr>
      <w:tr w14:paraId="2B0EC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1" w:type="dxa"/>
            <w:gridSpan w:val="2"/>
            <w:vAlign w:val="center"/>
          </w:tcPr>
          <w:p w14:paraId="3E22ECE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评价范围</w:t>
            </w:r>
          </w:p>
        </w:tc>
        <w:tc>
          <w:tcPr>
            <w:tcW w:w="5337" w:type="dxa"/>
            <w:vAlign w:val="center"/>
          </w:tcPr>
          <w:p w14:paraId="559B155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陆域面积</w:t>
            </w:r>
            <w:r>
              <w:rPr>
                <w:rFonts w:hint="default" w:ascii="Times New Roman" w:hAnsi="Times New Roman" w:eastAsia="宋体" w:cs="Times New Roman"/>
                <w:color w:val="auto"/>
                <w:kern w:val="0"/>
                <w:sz w:val="21"/>
                <w:szCs w:val="21"/>
                <w:highlight w:val="none"/>
                <w:lang w:val="en-US" w:eastAsia="zh-CN" w:bidi="ar"/>
              </w:rPr>
              <w:t>：（</w:t>
            </w:r>
            <w:r>
              <w:rPr>
                <w:rFonts w:hint="eastAsia" w:cs="Times New Roman"/>
                <w:color w:val="auto"/>
                <w:kern w:val="0"/>
                <w:sz w:val="21"/>
                <w:szCs w:val="21"/>
                <w:highlight w:val="none"/>
                <w:lang w:val="en-US" w:eastAsia="zh-CN" w:bidi="ar"/>
              </w:rPr>
              <w:t>0.78</w:t>
            </w:r>
            <w:r>
              <w:rPr>
                <w:rFonts w:hint="default" w:ascii="Times New Roman" w:hAnsi="Times New Roman" w:eastAsia="宋体" w:cs="Times New Roman"/>
                <w:color w:val="auto"/>
                <w:kern w:val="0"/>
                <w:sz w:val="21"/>
                <w:szCs w:val="21"/>
                <w:highlight w:val="none"/>
                <w:lang w:val="en-US" w:eastAsia="zh-CN" w:bidi="ar"/>
              </w:rPr>
              <w:t>）km</w:t>
            </w:r>
            <w:r>
              <w:rPr>
                <w:rFonts w:hint="default" w:ascii="Times New Roman" w:hAnsi="Times New Roman" w:eastAsia="宋体" w:cs="Times New Roman"/>
                <w:color w:val="auto"/>
                <w:kern w:val="0"/>
                <w:sz w:val="21"/>
                <w:szCs w:val="21"/>
                <w:vertAlign w:val="superscript"/>
                <w:lang w:val="en-US" w:eastAsia="zh-CN" w:bidi="ar"/>
              </w:rPr>
              <w:t>2</w:t>
            </w:r>
            <w:r>
              <w:rPr>
                <w:rFonts w:hint="default" w:ascii="Times New Roman" w:hAnsi="Times New Roman" w:eastAsia="宋体" w:cs="Times New Roman"/>
                <w:color w:val="auto"/>
                <w:kern w:val="0"/>
                <w:sz w:val="21"/>
                <w:szCs w:val="21"/>
                <w:lang w:val="en-US" w:eastAsia="zh-CN" w:bidi="ar"/>
              </w:rPr>
              <w:t>；水域面积：（0 ）km</w:t>
            </w:r>
            <w:r>
              <w:rPr>
                <w:rFonts w:hint="default" w:ascii="Times New Roman" w:hAnsi="Times New Roman" w:eastAsia="宋体" w:cs="Times New Roman"/>
                <w:color w:val="auto"/>
                <w:kern w:val="0"/>
                <w:sz w:val="21"/>
                <w:szCs w:val="21"/>
                <w:vertAlign w:val="superscript"/>
                <w:lang w:val="en-US" w:eastAsia="zh-CN" w:bidi="ar"/>
              </w:rPr>
              <w:t>2</w:t>
            </w:r>
          </w:p>
        </w:tc>
      </w:tr>
      <w:tr w14:paraId="51F82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4" w:type="dxa"/>
            <w:vMerge w:val="restart"/>
            <w:vAlign w:val="center"/>
          </w:tcPr>
          <w:p w14:paraId="1BE7828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生态</w:t>
            </w:r>
          </w:p>
          <w:p w14:paraId="2974119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现状</w:t>
            </w:r>
          </w:p>
          <w:p w14:paraId="7C0C747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调查</w:t>
            </w:r>
          </w:p>
          <w:p w14:paraId="607FDCE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与评</w:t>
            </w:r>
          </w:p>
          <w:p w14:paraId="0B7E951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价</w:t>
            </w:r>
          </w:p>
        </w:tc>
        <w:tc>
          <w:tcPr>
            <w:tcW w:w="2137" w:type="dxa"/>
            <w:vAlign w:val="center"/>
          </w:tcPr>
          <w:p w14:paraId="73E7AAA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调查方法</w:t>
            </w:r>
          </w:p>
        </w:tc>
        <w:tc>
          <w:tcPr>
            <w:tcW w:w="5337" w:type="dxa"/>
            <w:vAlign w:val="center"/>
          </w:tcPr>
          <w:p w14:paraId="6526D3F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资料收集</w:t>
            </w:r>
            <w:r>
              <w:rPr>
                <w:rFonts w:hint="default" w:ascii="Times New Roman" w:hAnsi="Times New Roman" w:eastAsia="Segoe UI Symbol"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；遥感调查</w:t>
            </w:r>
            <w:r>
              <w:rPr>
                <w:rFonts w:hint="default" w:ascii="Times New Roman" w:hAnsi="Times New Roman" w:eastAsia="Segoe UI Symbol"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；调查样方、样线</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；调查点位、断面□；专家和公众咨询法□；其他□</w:t>
            </w:r>
          </w:p>
        </w:tc>
      </w:tr>
      <w:tr w14:paraId="3C2EF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4" w:type="dxa"/>
            <w:vMerge w:val="continue"/>
            <w:vAlign w:val="center"/>
          </w:tcPr>
          <w:p w14:paraId="16F3AE0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2137" w:type="dxa"/>
            <w:vAlign w:val="center"/>
          </w:tcPr>
          <w:p w14:paraId="658D5EE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调查时间</w:t>
            </w:r>
          </w:p>
        </w:tc>
        <w:tc>
          <w:tcPr>
            <w:tcW w:w="5337" w:type="dxa"/>
            <w:vAlign w:val="center"/>
          </w:tcPr>
          <w:p w14:paraId="6091522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春季□；夏季</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；秋季</w:t>
            </w:r>
            <w:r>
              <w:rPr>
                <w:rFonts w:hint="default" w:ascii="Times New Roman" w:hAnsi="Times New Roman" w:eastAsia="MS Gothic"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；冬季□</w:t>
            </w:r>
          </w:p>
          <w:p w14:paraId="5137726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丰水期□；枯水期□；平水期</w:t>
            </w:r>
            <w:r>
              <w:rPr>
                <w:rFonts w:hint="default" w:ascii="Times New Roman" w:hAnsi="Times New Roman" w:eastAsia="Segoe UI Symbol" w:cs="Times New Roman"/>
                <w:color w:val="auto"/>
                <w:kern w:val="0"/>
                <w:sz w:val="21"/>
                <w:szCs w:val="21"/>
                <w:lang w:val="en-US" w:eastAsia="zh-CN" w:bidi="ar"/>
              </w:rPr>
              <w:t>□</w:t>
            </w:r>
          </w:p>
        </w:tc>
      </w:tr>
      <w:tr w14:paraId="6C8E4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4" w:type="dxa"/>
            <w:vMerge w:val="continue"/>
            <w:vAlign w:val="center"/>
          </w:tcPr>
          <w:p w14:paraId="183827C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2137" w:type="dxa"/>
            <w:vAlign w:val="center"/>
          </w:tcPr>
          <w:p w14:paraId="162F46A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所在区域的生态问题</w:t>
            </w:r>
          </w:p>
        </w:tc>
        <w:tc>
          <w:tcPr>
            <w:tcW w:w="5337" w:type="dxa"/>
            <w:vAlign w:val="center"/>
          </w:tcPr>
          <w:p w14:paraId="38E99BE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水土流失</w:t>
            </w:r>
            <w:r>
              <w:rPr>
                <w:rFonts w:hint="default" w:ascii="Times New Roman" w:hAnsi="Times New Roman" w:eastAsia="Segoe UI Symbol"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；沙漠化□；石漠化□；盐渍化□；生物入侵□；污染危害□；其他□</w:t>
            </w:r>
          </w:p>
        </w:tc>
      </w:tr>
      <w:tr w14:paraId="1E716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4" w:type="dxa"/>
            <w:vMerge w:val="continue"/>
            <w:vAlign w:val="center"/>
          </w:tcPr>
          <w:p w14:paraId="3A0F54D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2137" w:type="dxa"/>
            <w:vAlign w:val="center"/>
          </w:tcPr>
          <w:p w14:paraId="0D7FF33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评价内容</w:t>
            </w:r>
          </w:p>
        </w:tc>
        <w:tc>
          <w:tcPr>
            <w:tcW w:w="5337" w:type="dxa"/>
            <w:vAlign w:val="center"/>
          </w:tcPr>
          <w:p w14:paraId="6339C07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植被/植物群落</w:t>
            </w:r>
            <w:r>
              <w:rPr>
                <w:rFonts w:hint="default" w:ascii="Times New Roman" w:hAnsi="Times New Roman" w:eastAsia="Segoe UI Symbol"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；土地利用</w:t>
            </w:r>
            <w:r>
              <w:rPr>
                <w:rFonts w:hint="default" w:ascii="Times New Roman" w:hAnsi="Times New Roman" w:eastAsia="Segoe UI Symbol"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；生态系统</w:t>
            </w:r>
            <w:r>
              <w:rPr>
                <w:rFonts w:hint="default" w:ascii="Times New Roman" w:hAnsi="Times New Roman" w:eastAsia="Segoe UI Symbol"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；生物多样性</w:t>
            </w:r>
            <w:r>
              <w:rPr>
                <w:rFonts w:hint="default" w:ascii="Times New Roman" w:hAnsi="Times New Roman" w:eastAsia="Segoe UI Symbol"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；重要物种□；生态敏感区</w:t>
            </w:r>
            <w:r>
              <w:rPr>
                <w:rFonts w:hint="default" w:ascii="Times New Roman" w:hAnsi="Times New Roman" w:eastAsia="Segoe UI Symbol"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；其他□</w:t>
            </w:r>
          </w:p>
        </w:tc>
      </w:tr>
      <w:tr w14:paraId="4932A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4" w:type="dxa"/>
            <w:vMerge w:val="restart"/>
            <w:vAlign w:val="center"/>
          </w:tcPr>
          <w:p w14:paraId="37541C8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生态</w:t>
            </w:r>
          </w:p>
          <w:p w14:paraId="574FB96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影响</w:t>
            </w:r>
          </w:p>
          <w:p w14:paraId="7A0075B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预测</w:t>
            </w:r>
          </w:p>
          <w:p w14:paraId="58F76E8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与评</w:t>
            </w:r>
          </w:p>
          <w:p w14:paraId="6CAE441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价</w:t>
            </w:r>
          </w:p>
        </w:tc>
        <w:tc>
          <w:tcPr>
            <w:tcW w:w="2137" w:type="dxa"/>
            <w:vAlign w:val="center"/>
          </w:tcPr>
          <w:p w14:paraId="0E36167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评价方法</w:t>
            </w:r>
          </w:p>
        </w:tc>
        <w:tc>
          <w:tcPr>
            <w:tcW w:w="5337" w:type="dxa"/>
            <w:vAlign w:val="center"/>
          </w:tcPr>
          <w:p w14:paraId="3D71562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定性</w:t>
            </w:r>
            <w:r>
              <w:rPr>
                <w:rFonts w:hint="default" w:ascii="Times New Roman" w:hAnsi="Times New Roman" w:eastAsia="Segoe UI Symbol"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；定性和定量□</w:t>
            </w:r>
          </w:p>
        </w:tc>
      </w:tr>
      <w:tr w14:paraId="330A7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4" w:type="dxa"/>
            <w:vMerge w:val="continue"/>
            <w:vAlign w:val="center"/>
          </w:tcPr>
          <w:p w14:paraId="00240DC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2137" w:type="dxa"/>
            <w:vAlign w:val="center"/>
          </w:tcPr>
          <w:p w14:paraId="4EA7C48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评价内容</w:t>
            </w:r>
          </w:p>
        </w:tc>
        <w:tc>
          <w:tcPr>
            <w:tcW w:w="5337" w:type="dxa"/>
            <w:vAlign w:val="center"/>
          </w:tcPr>
          <w:p w14:paraId="1E31606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植被/植物群落</w:t>
            </w:r>
            <w:r>
              <w:rPr>
                <w:rFonts w:hint="default" w:ascii="Times New Roman" w:hAnsi="Times New Roman" w:eastAsia="Segoe UI Symbol"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；土地利用</w:t>
            </w:r>
            <w:r>
              <w:rPr>
                <w:rFonts w:hint="default" w:ascii="Times New Roman" w:hAnsi="Times New Roman" w:eastAsia="Segoe UI Symbol"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；生态系统</w:t>
            </w:r>
            <w:r>
              <w:rPr>
                <w:rFonts w:hint="default" w:ascii="Times New Roman" w:hAnsi="Times New Roman" w:eastAsia="Segoe UI Symbol"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；生物多样性</w:t>
            </w:r>
            <w:r>
              <w:rPr>
                <w:rFonts w:hint="default" w:ascii="Times New Roman" w:hAnsi="Times New Roman" w:eastAsia="Segoe UI Symbol"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；重要物种□；生态敏感区□；其他□</w:t>
            </w:r>
          </w:p>
        </w:tc>
      </w:tr>
      <w:tr w14:paraId="22A73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4" w:type="dxa"/>
            <w:vMerge w:val="restart"/>
            <w:vAlign w:val="center"/>
          </w:tcPr>
          <w:p w14:paraId="5527804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生态</w:t>
            </w:r>
          </w:p>
          <w:p w14:paraId="3C4B553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保护</w:t>
            </w:r>
          </w:p>
          <w:p w14:paraId="673C46D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对策</w:t>
            </w:r>
          </w:p>
          <w:p w14:paraId="15EDAFB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措施</w:t>
            </w:r>
          </w:p>
        </w:tc>
        <w:tc>
          <w:tcPr>
            <w:tcW w:w="2137" w:type="dxa"/>
            <w:vAlign w:val="center"/>
          </w:tcPr>
          <w:p w14:paraId="03665CB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对策措施</w:t>
            </w:r>
          </w:p>
        </w:tc>
        <w:tc>
          <w:tcPr>
            <w:tcW w:w="5337" w:type="dxa"/>
            <w:vAlign w:val="center"/>
          </w:tcPr>
          <w:p w14:paraId="248FDEC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避让</w:t>
            </w:r>
            <w:r>
              <w:rPr>
                <w:rFonts w:hint="default" w:ascii="Times New Roman" w:hAnsi="Times New Roman" w:eastAsia="Segoe UI Symbol"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；减缓</w:t>
            </w:r>
            <w:r>
              <w:rPr>
                <w:rFonts w:hint="default" w:ascii="Times New Roman" w:hAnsi="Times New Roman" w:eastAsia="Segoe UI Symbol"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；生态修复</w:t>
            </w:r>
            <w:r>
              <w:rPr>
                <w:rFonts w:hint="default" w:ascii="Times New Roman" w:hAnsi="Times New Roman" w:eastAsia="Segoe UI Symbol"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；生态补偿□；科研□；其他□</w:t>
            </w:r>
          </w:p>
        </w:tc>
      </w:tr>
      <w:tr w14:paraId="19E2A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4" w:type="dxa"/>
            <w:vMerge w:val="continue"/>
            <w:vAlign w:val="center"/>
          </w:tcPr>
          <w:p w14:paraId="67FDE86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2137" w:type="dxa"/>
            <w:vAlign w:val="center"/>
          </w:tcPr>
          <w:p w14:paraId="4E683DF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生态监测计划</w:t>
            </w:r>
          </w:p>
        </w:tc>
        <w:tc>
          <w:tcPr>
            <w:tcW w:w="5337" w:type="dxa"/>
            <w:vAlign w:val="center"/>
          </w:tcPr>
          <w:p w14:paraId="6B72580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全生命周期□；长期跟踪□；常规□；无</w:t>
            </w:r>
            <w:r>
              <w:rPr>
                <w:rFonts w:hint="default" w:ascii="Times New Roman" w:hAnsi="Times New Roman" w:eastAsia="Segoe UI Symbol" w:cs="Times New Roman"/>
                <w:color w:val="auto"/>
                <w:kern w:val="0"/>
                <w:sz w:val="21"/>
                <w:szCs w:val="21"/>
                <w:lang w:val="en-US" w:eastAsia="zh-CN" w:bidi="ar"/>
              </w:rPr>
              <w:t>☑</w:t>
            </w:r>
          </w:p>
        </w:tc>
      </w:tr>
      <w:tr w14:paraId="10CC4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4" w:type="dxa"/>
            <w:vMerge w:val="continue"/>
            <w:vAlign w:val="center"/>
          </w:tcPr>
          <w:p w14:paraId="7DD4068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2137" w:type="dxa"/>
            <w:vAlign w:val="center"/>
          </w:tcPr>
          <w:p w14:paraId="77CC547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环境管理</w:t>
            </w:r>
          </w:p>
        </w:tc>
        <w:tc>
          <w:tcPr>
            <w:tcW w:w="5337" w:type="dxa"/>
            <w:vAlign w:val="center"/>
          </w:tcPr>
          <w:p w14:paraId="7A8553D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环境监理□；环境影响后评价□；其他</w:t>
            </w:r>
            <w:r>
              <w:rPr>
                <w:rFonts w:hint="default" w:ascii="Times New Roman" w:hAnsi="Times New Roman" w:eastAsia="Segoe UI Symbol" w:cs="Times New Roman"/>
                <w:color w:val="auto"/>
                <w:kern w:val="0"/>
                <w:sz w:val="21"/>
                <w:szCs w:val="21"/>
                <w:lang w:val="en-US" w:eastAsia="zh-CN" w:bidi="ar"/>
              </w:rPr>
              <w:t>☑</w:t>
            </w:r>
          </w:p>
        </w:tc>
      </w:tr>
      <w:tr w14:paraId="0E79E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4" w:type="dxa"/>
            <w:vAlign w:val="center"/>
          </w:tcPr>
          <w:p w14:paraId="246DA9B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评价结论</w:t>
            </w:r>
          </w:p>
        </w:tc>
        <w:tc>
          <w:tcPr>
            <w:tcW w:w="2137" w:type="dxa"/>
            <w:vAlign w:val="center"/>
          </w:tcPr>
          <w:p w14:paraId="3A2441F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环境影响</w:t>
            </w:r>
          </w:p>
        </w:tc>
        <w:tc>
          <w:tcPr>
            <w:tcW w:w="5337" w:type="dxa"/>
            <w:vAlign w:val="center"/>
          </w:tcPr>
          <w:p w14:paraId="7701F55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可行</w:t>
            </w:r>
            <w:r>
              <w:rPr>
                <w:rFonts w:hint="default" w:ascii="Times New Roman" w:hAnsi="Times New Roman" w:eastAsia="Segoe UI Symbol"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不可行□</w:t>
            </w:r>
          </w:p>
        </w:tc>
      </w:tr>
      <w:tr w14:paraId="4804C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28" w:type="dxa"/>
            <w:gridSpan w:val="3"/>
            <w:vAlign w:val="center"/>
          </w:tcPr>
          <w:p w14:paraId="63D7A49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注：“□”为勾选项，填“√”；“（）”为内容填写项</w:t>
            </w:r>
          </w:p>
        </w:tc>
      </w:tr>
    </w:tbl>
    <w:p w14:paraId="1F5C8481">
      <w:pPr>
        <w:pStyle w:val="4"/>
        <w:keepNext/>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5.1.</w:t>
      </w:r>
      <w:r>
        <w:rPr>
          <w:rFonts w:hint="eastAsia" w:cs="Times New Roman"/>
          <w:color w:val="auto"/>
          <w:lang w:val="en-US" w:eastAsia="zh-CN"/>
        </w:rPr>
        <w:t>9</w:t>
      </w:r>
      <w:r>
        <w:rPr>
          <w:rFonts w:hint="default" w:ascii="Times New Roman" w:hAnsi="Times New Roman" w:cs="Times New Roman"/>
          <w:color w:val="auto"/>
          <w:lang w:val="en-US" w:eastAsia="zh-CN"/>
        </w:rPr>
        <w:t xml:space="preserve"> 生态影响评价结论</w:t>
      </w:r>
    </w:p>
    <w:p w14:paraId="539C24E4">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w:t>
      </w:r>
      <w:r>
        <w:rPr>
          <w:rFonts w:hint="default" w:ascii="Times New Roman" w:hAnsi="Times New Roman" w:eastAsia="宋体" w:cs="Times New Roman"/>
          <w:color w:val="auto"/>
          <w:kern w:val="0"/>
          <w:sz w:val="24"/>
          <w:szCs w:val="24"/>
          <w:highlight w:val="none"/>
          <w:lang w:val="en-US" w:eastAsia="zh-CN" w:bidi="ar"/>
        </w:rPr>
        <w:t>永久占地面积为329923m</w:t>
      </w:r>
      <w:r>
        <w:rPr>
          <w:rFonts w:hint="default" w:ascii="Times New Roman" w:hAnsi="Times New Roman" w:eastAsia="宋体" w:cs="Times New Roman"/>
          <w:color w:val="auto"/>
          <w:kern w:val="0"/>
          <w:sz w:val="24"/>
          <w:szCs w:val="24"/>
          <w:highlight w:val="none"/>
          <w:vertAlign w:val="super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，临时占地为450133m</w:t>
      </w:r>
      <w:r>
        <w:rPr>
          <w:rFonts w:hint="default" w:ascii="Times New Roman" w:hAnsi="Times New Roman" w:eastAsia="宋体" w:cs="Times New Roman"/>
          <w:color w:val="auto"/>
          <w:kern w:val="0"/>
          <w:sz w:val="24"/>
          <w:szCs w:val="24"/>
          <w:highlight w:val="none"/>
          <w:vertAlign w:val="superscript"/>
          <w:lang w:val="en-US" w:eastAsia="zh-CN" w:bidi="ar"/>
        </w:rPr>
        <w:t>2</w:t>
      </w:r>
      <w:r>
        <w:rPr>
          <w:rFonts w:hint="default" w:ascii="Times New Roman" w:hAnsi="Times New Roman" w:cs="Times New Roman"/>
          <w:color w:val="auto"/>
          <w:kern w:val="0"/>
          <w:sz w:val="24"/>
          <w:szCs w:val="24"/>
          <w:highlight w:val="none"/>
          <w:lang w:val="en-US" w:eastAsia="zh-CN" w:bidi="ar"/>
        </w:rPr>
        <w:t>（不占用</w:t>
      </w:r>
      <w:r>
        <w:rPr>
          <w:rFonts w:hint="default" w:ascii="Times New Roman" w:hAnsi="Times New Roman" w:eastAsia="宋体" w:cs="Times New Roman"/>
          <w:color w:val="auto"/>
          <w:kern w:val="0"/>
          <w:sz w:val="24"/>
          <w:szCs w:val="24"/>
          <w:highlight w:val="none"/>
          <w:lang w:val="en-US" w:eastAsia="zh-CN" w:bidi="ar"/>
        </w:rPr>
        <w:t>基本农田</w:t>
      </w:r>
      <w:r>
        <w:rPr>
          <w:rFonts w:hint="default" w:ascii="Times New Roman" w:hAnsi="Times New Roman"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。本项目永</w:t>
      </w:r>
      <w:r>
        <w:rPr>
          <w:rFonts w:hint="default" w:ascii="Times New Roman" w:hAnsi="Times New Roman" w:eastAsia="宋体" w:cs="Times New Roman"/>
          <w:color w:val="auto"/>
          <w:kern w:val="0"/>
          <w:sz w:val="24"/>
          <w:szCs w:val="24"/>
          <w:lang w:val="en-US" w:eastAsia="zh-CN" w:bidi="ar"/>
        </w:rPr>
        <w:t>久占地会对当地现有的土地资源和农业生产产生一定的影响，但是相对土地资源的占用率很小。此外，临时占地施工结束后会及时进行生态恢复，因此临时占地的影响也是短暂的。综上，本项目工程占地对区域土地资源与农业生产影响可以接受。</w:t>
      </w:r>
    </w:p>
    <w:p w14:paraId="4BCBDA8D">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工程建设后造成评价范围内植被生物量损失约</w:t>
      </w:r>
      <w:r>
        <w:rPr>
          <w:rFonts w:hint="default" w:ascii="Times New Roman" w:hAnsi="Times New Roman" w:eastAsia="宋体" w:cs="Times New Roman"/>
          <w:color w:val="auto"/>
          <w:kern w:val="0"/>
          <w:sz w:val="24"/>
          <w:szCs w:val="24"/>
          <w:highlight w:val="none"/>
          <w:lang w:val="en-US" w:eastAsia="zh-CN" w:bidi="ar"/>
        </w:rPr>
        <w:t>为</w:t>
      </w:r>
      <w:r>
        <w:rPr>
          <w:rFonts w:hint="default" w:ascii="Times New Roman" w:hAnsi="Times New Roman" w:cs="Times New Roman"/>
          <w:color w:val="auto"/>
          <w:kern w:val="0"/>
          <w:sz w:val="24"/>
          <w:szCs w:val="24"/>
          <w:highlight w:val="none"/>
          <w:lang w:val="en-US" w:eastAsia="zh-CN" w:bidi="ar"/>
        </w:rPr>
        <w:t>94.53t</w:t>
      </w:r>
      <w:r>
        <w:rPr>
          <w:rFonts w:hint="default" w:ascii="Times New Roman" w:hAnsi="Times New Roman" w:eastAsia="宋体" w:cs="Times New Roman"/>
          <w:color w:val="auto"/>
          <w:kern w:val="0"/>
          <w:sz w:val="24"/>
          <w:szCs w:val="24"/>
          <w:highlight w:val="none"/>
          <w:lang w:val="en-US" w:eastAsia="zh-CN" w:bidi="ar"/>
        </w:rPr>
        <w:t>/</w:t>
      </w:r>
      <w:r>
        <w:rPr>
          <w:rFonts w:hint="default" w:ascii="Times New Roman" w:hAnsi="Times New Roman" w:cs="Times New Roman"/>
          <w:color w:val="auto"/>
          <w:kern w:val="0"/>
          <w:sz w:val="24"/>
          <w:szCs w:val="24"/>
          <w:highlight w:val="none"/>
          <w:lang w:val="en-US" w:eastAsia="zh-CN" w:bidi="ar"/>
        </w:rPr>
        <w:t>a</w:t>
      </w:r>
      <w:r>
        <w:rPr>
          <w:rFonts w:hint="default" w:ascii="Times New Roman" w:hAnsi="Times New Roman" w:eastAsia="宋体" w:cs="Times New Roman"/>
          <w:color w:val="auto"/>
          <w:kern w:val="0"/>
          <w:sz w:val="24"/>
          <w:szCs w:val="24"/>
          <w:highlight w:val="none"/>
          <w:lang w:val="en-US" w:eastAsia="zh-CN" w:bidi="ar"/>
        </w:rPr>
        <w:t>。项目破坏植被对占地范围内的生物量有一定的影响。公路的建设使植被生物量减少和</w:t>
      </w:r>
      <w:r>
        <w:rPr>
          <w:rFonts w:hint="default" w:ascii="Times New Roman" w:hAnsi="Times New Roman" w:eastAsia="宋体" w:cs="Times New Roman"/>
          <w:color w:val="auto"/>
          <w:kern w:val="0"/>
          <w:sz w:val="24"/>
          <w:szCs w:val="24"/>
          <w:lang w:val="en-US" w:eastAsia="zh-CN" w:bidi="ar"/>
        </w:rPr>
        <w:t>丧失是公路工程产生的主要负面影响之一，施工期由于碾压、施工人员踩踏等，施工作业周围的植被将遭到破坏，但施工期影响是短期的、可恢复的。</w:t>
      </w:r>
    </w:p>
    <w:p w14:paraId="61DF3193">
      <w:pPr>
        <w:keepNext w:val="0"/>
        <w:keepLines w:val="0"/>
        <w:widowControl/>
        <w:suppressLineNumbers w:val="0"/>
        <w:jc w:val="both"/>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w:t>
      </w:r>
      <w:r>
        <w:rPr>
          <w:rFonts w:hint="default" w:ascii="Times New Roman" w:hAnsi="Times New Roman" w:cs="Times New Roman"/>
          <w:color w:val="auto"/>
          <w:kern w:val="0"/>
          <w:sz w:val="24"/>
          <w:szCs w:val="24"/>
          <w:lang w:val="en-US" w:eastAsia="zh-CN" w:bidi="ar"/>
        </w:rPr>
        <w:t>公路沿线</w:t>
      </w:r>
      <w:r>
        <w:rPr>
          <w:rFonts w:hint="default" w:ascii="Times New Roman" w:hAnsi="Times New Roman" w:eastAsia="宋体" w:cs="Times New Roman"/>
          <w:color w:val="auto"/>
          <w:kern w:val="0"/>
          <w:sz w:val="24"/>
          <w:szCs w:val="24"/>
          <w:lang w:val="en-US" w:eastAsia="zh-CN" w:bidi="ar"/>
        </w:rPr>
        <w:t>两侧1km范围内野生动物相对较少，主要为一些啮齿类小型哺乳动物。因此，本项目运营期产生的噪声对区域野生动物影响较小。</w:t>
      </w:r>
    </w:p>
    <w:p w14:paraId="32DD7D91">
      <w:pPr>
        <w:pStyle w:val="3"/>
        <w:numPr>
          <w:ilvl w:val="1"/>
          <w:numId w:val="0"/>
        </w:numPr>
        <w:bidi w:val="0"/>
        <w:rPr>
          <w:rFonts w:hint="default" w:ascii="Times New Roman" w:hAnsi="Times New Roman" w:cs="Times New Roman"/>
          <w:color w:val="auto"/>
        </w:rPr>
      </w:pPr>
      <w:bookmarkStart w:id="1254" w:name="_Toc16183"/>
      <w:bookmarkStart w:id="1255" w:name="_Toc19240"/>
      <w:bookmarkStart w:id="1256" w:name="_Toc32132"/>
      <w:bookmarkStart w:id="1257" w:name="_Toc23706"/>
      <w:bookmarkStart w:id="1258" w:name="_Toc492"/>
      <w:bookmarkStart w:id="1259" w:name="_Toc20183"/>
      <w:bookmarkStart w:id="1260" w:name="_Toc5472"/>
      <w:bookmarkStart w:id="1261" w:name="_Toc7114"/>
      <w:bookmarkStart w:id="1262" w:name="_Toc13848"/>
      <w:bookmarkStart w:id="1263" w:name="_Toc4329"/>
      <w:r>
        <w:rPr>
          <w:rFonts w:hint="default" w:ascii="Times New Roman" w:hAnsi="Times New Roman" w:cs="Times New Roman"/>
          <w:color w:val="auto"/>
          <w:lang w:val="en-US" w:eastAsia="zh-CN"/>
        </w:rPr>
        <w:t xml:space="preserve">5.2 </w:t>
      </w:r>
      <w:bookmarkEnd w:id="1254"/>
      <w:bookmarkEnd w:id="1255"/>
      <w:bookmarkEnd w:id="1256"/>
      <w:bookmarkEnd w:id="1257"/>
      <w:bookmarkEnd w:id="1258"/>
      <w:bookmarkEnd w:id="1259"/>
      <w:bookmarkEnd w:id="1260"/>
      <w:bookmarkEnd w:id="1261"/>
      <w:r>
        <w:rPr>
          <w:rFonts w:hint="default" w:ascii="Times New Roman" w:hAnsi="Times New Roman" w:cs="Times New Roman"/>
          <w:color w:val="auto"/>
          <w:lang w:val="en-US" w:eastAsia="zh-CN"/>
        </w:rPr>
        <w:t>大气环境影响预测与评价</w:t>
      </w:r>
      <w:bookmarkEnd w:id="1262"/>
      <w:bookmarkEnd w:id="1263"/>
    </w:p>
    <w:p w14:paraId="358A60CF">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5.2.1 施工期大气环境影响分析</w:t>
      </w:r>
    </w:p>
    <w:p w14:paraId="4D505BB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施工期间，对环境空气的污染主要来自施工扬尘及沥青拌合站及路面铺浇沥青的烟气。其主要污染物为扬尘、烟尘、SO</w:t>
      </w:r>
      <w:r>
        <w:rPr>
          <w:rFonts w:hint="default" w:ascii="Times New Roman" w:hAnsi="Times New Roman" w:eastAsia="宋体" w:cs="Times New Roman"/>
          <w:color w:val="auto"/>
          <w:kern w:val="0"/>
          <w:sz w:val="15"/>
          <w:szCs w:val="15"/>
          <w:lang w:val="en-US" w:eastAsia="zh-CN" w:bidi="ar"/>
        </w:rPr>
        <w:t>2</w:t>
      </w:r>
      <w:r>
        <w:rPr>
          <w:rFonts w:hint="default" w:ascii="Times New Roman" w:hAnsi="Times New Roman" w:eastAsia="宋体" w:cs="Times New Roman"/>
          <w:color w:val="auto"/>
          <w:kern w:val="0"/>
          <w:sz w:val="24"/>
          <w:szCs w:val="24"/>
          <w:lang w:val="en-US" w:eastAsia="zh-CN" w:bidi="ar"/>
        </w:rPr>
        <w:t>、NOx、沥青烟和苯并[a]芘等。施工期评价因子为总悬浮颗粒物（TSP）。</w:t>
      </w:r>
    </w:p>
    <w:p w14:paraId="1AC2868E">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5.2.1.1路基施工扬尘影响分析</w:t>
      </w:r>
    </w:p>
    <w:p w14:paraId="779EC8C1">
      <w:pPr>
        <w:keepNext w:val="0"/>
        <w:keepLines w:val="0"/>
        <w:widowControl/>
        <w:suppressLineNumbers w:val="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公路施工过程中产生的扬尘主要包括物料运输扬尘、堆场扬尘、物料拌合扬尘和施工现场扬尘。</w:t>
      </w:r>
    </w:p>
    <w:p w14:paraId="2FA43BA7">
      <w:pPr>
        <w:keepNext w:val="0"/>
        <w:keepLines w:val="0"/>
        <w:widowControl/>
        <w:suppressLineNumbers w:val="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（1）物料运输扬尘</w:t>
      </w:r>
    </w:p>
    <w:p w14:paraId="47DB25E5">
      <w:pPr>
        <w:keepNext w:val="0"/>
        <w:keepLines w:val="0"/>
        <w:widowControl/>
        <w:suppressLineNumbers w:val="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1）材料运输扬尘</w:t>
      </w:r>
    </w:p>
    <w:p w14:paraId="039D03E4">
      <w:pPr>
        <w:keepNext w:val="0"/>
        <w:keepLines w:val="0"/>
        <w:widowControl/>
        <w:suppressLineNumbers w:val="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石灰和沙石等</w:t>
      </w:r>
      <w:r>
        <w:rPr>
          <w:rFonts w:hint="default" w:ascii="Times New Roman" w:hAnsi="Times New Roman" w:cs="Times New Roman"/>
          <w:color w:val="auto"/>
          <w:kern w:val="0"/>
          <w:sz w:val="24"/>
          <w:szCs w:val="24"/>
          <w:lang w:val="en-US" w:eastAsia="zh-CN" w:bidi="ar"/>
        </w:rPr>
        <w:t>固体</w:t>
      </w:r>
      <w:r>
        <w:rPr>
          <w:rFonts w:hint="default" w:ascii="Times New Roman" w:hAnsi="Times New Roman" w:eastAsia="宋体" w:cs="Times New Roman"/>
          <w:color w:val="auto"/>
          <w:kern w:val="0"/>
          <w:sz w:val="24"/>
          <w:szCs w:val="24"/>
          <w:lang w:val="en-US" w:eastAsia="zh-CN" w:bidi="ar"/>
        </w:rPr>
        <w:t>物质在运输过程中，极易引起粉尘污染，影响范围可达下风向150m（在下风向150m处，TSP污染</w:t>
      </w:r>
      <w:r>
        <w:rPr>
          <w:rFonts w:hint="eastAsia" w:cs="Times New Roman"/>
          <w:color w:val="auto"/>
          <w:kern w:val="0"/>
          <w:sz w:val="24"/>
          <w:szCs w:val="24"/>
          <w:lang w:val="en-US" w:eastAsia="zh-CN" w:bidi="ar"/>
        </w:rPr>
        <w:t>仍</w:t>
      </w:r>
      <w:r>
        <w:rPr>
          <w:rFonts w:hint="default" w:ascii="Times New Roman" w:hAnsi="Times New Roman" w:eastAsia="宋体" w:cs="Times New Roman"/>
          <w:color w:val="auto"/>
          <w:kern w:val="0"/>
          <w:sz w:val="24"/>
          <w:szCs w:val="24"/>
          <w:lang w:val="en-US" w:eastAsia="zh-CN" w:bidi="ar"/>
        </w:rPr>
        <w:t>可能超过环境空气质量二级标准的4倍之多）。本报告要求建设单位和施工单位加强运输散体物质车辆管理，对运输车辆采用加盖</w:t>
      </w:r>
      <w:r>
        <w:rPr>
          <w:rFonts w:hint="default" w:ascii="Times New Roman" w:hAnsi="Times New Roman" w:cs="Times New Roman"/>
          <w:color w:val="auto"/>
          <w:kern w:val="0"/>
          <w:sz w:val="24"/>
          <w:szCs w:val="24"/>
          <w:lang w:val="en-US" w:eastAsia="zh-CN" w:bidi="ar"/>
        </w:rPr>
        <w:t>篷布</w:t>
      </w:r>
      <w:r>
        <w:rPr>
          <w:rFonts w:hint="default" w:ascii="Times New Roman" w:hAnsi="Times New Roman" w:eastAsia="宋体" w:cs="Times New Roman"/>
          <w:color w:val="auto"/>
          <w:kern w:val="0"/>
          <w:sz w:val="24"/>
          <w:szCs w:val="24"/>
          <w:lang w:val="en-US" w:eastAsia="zh-CN" w:bidi="ar"/>
        </w:rPr>
        <w:t>或将物料洒水等防护措施。</w:t>
      </w:r>
    </w:p>
    <w:p w14:paraId="2DC63F6B">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2）施工便道扬尘</w:t>
      </w:r>
    </w:p>
    <w:p w14:paraId="57E1D20D">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施工便道如果有路面或采用砂砾石进行铺装，运输扬尘相对较轻。如果施工便道只是土路面，施工车辆运输引起的扬尘污染则比较严重，且影响范围较大。</w:t>
      </w:r>
    </w:p>
    <w:p w14:paraId="35B85D32">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据有关资料介绍，扬尘属于粒径较小的降尘（0μm~20μm），在未铺装道路表面（泥土），粒径分布小于5μm的粉尘占8%，5μm~10μm的占24%，大于30μm的占68%，因此，临时道路、未铺装的施工便道和正在施工的道路极易起尘。但较灰土</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引起的粉尘污染而言，扬尘危害较小，且影响的周期也较短。为减少起尘量，有效地降低其对居民正常生活的不利影响，建议在途经村庄路段采取洒水降尘措施（每天两次）。通过洒水可有效地减少起尘量（据有关资料介绍，可减少起尘量的70%），降低施工便道扬尘对环境空气质量的影响。</w:t>
      </w:r>
    </w:p>
    <w:p w14:paraId="2AA816B6">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（2）堆场扬尘</w:t>
      </w:r>
    </w:p>
    <w:p w14:paraId="2800B159">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公路施工一般在预制场、</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站和施工场地内设置物料堆场，堆场物料的种类、性质及风速对起尘量有很大影响，比重小的物料容易受扰动而起尘，物料中小颗粒比例大时起尘量相应也大。堆场的扬尘包括料堆的风吹扬尘、装卸扬尘和过往车辆引起路面积尘二次扬尘等，这将产生较大的扬尘污染，对周围环境带来一定的影响。通过适时洒水可有效抑制扬尘，可使扬尘量减少70%（京津唐高速施工道路扬尘洒水降尘试验监测结果）。此外，对一些粉状材料采取一些苫盖防风措施也可有效减少扬尘污染。为减小堆场扬尘对居民区敏感点的污染影响，施工物料堆场应根据当地主导风向，应设在附近村庄等敏感点下风向500m以外。</w:t>
      </w:r>
    </w:p>
    <w:p w14:paraId="4D11E62B">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根据《工业料堆场扬尘整治规范》（DB65/T 4061-2017），拟建公路拌合站中的砂石料场属于II类料场，应采取下列扬尘抑制措施：</w:t>
      </w:r>
    </w:p>
    <w:p w14:paraId="5077EA4C">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1）半封闭仓库；</w:t>
      </w:r>
    </w:p>
    <w:p w14:paraId="770365EB">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2）防风抑尘网（墙）；</w:t>
      </w:r>
    </w:p>
    <w:p w14:paraId="6DF44A8D">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3）喷洒水或覆盖或喷洒抑尘剂或干雾抑尘。</w:t>
      </w:r>
    </w:p>
    <w:p w14:paraId="4E57DF15">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（3）物料</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扬尘</w:t>
      </w:r>
    </w:p>
    <w:p w14:paraId="50473858">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公路施工中，砂石料、水泥等物料在</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过程中易起尘。本公路物料</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采取站拌方式。站拌是工厂生产式的物料集中</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，扬尘对环境空气的影响较为集中，采取防尘措施后可有效地控制扬尘污染。拟建公路采用拌合站集中拌合的方式，包括：沥青混凝土</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、稳定土</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、水泥混凝土</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拌合站物料传输、提升、筛分等工序，各工序都会有粉尘产生，目前施工单位使用的拌合站设备物料传输采用全封闭式，粉尘排放点配备除尘器，只要保证除尘器正常使用，拌合站工艺排放的粉尘可以满足相应的排放标准，对环境的影响较小。</w:t>
      </w:r>
    </w:p>
    <w:p w14:paraId="4438683E">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路面基层施工过程中需要设立混凝土</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站根据有关测试成果，在</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站下风向50m处大气中TSP浓度为8.849mg/m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，100m处为1.703mg/m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，150m处为0.483mg/m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，在200m外基本上能达到国家环境空气质量二级标准的要求。按上述监测数据和环境空气质量标准进行衡量，并考虑到沿线地区施工季节的常年主导风向，应将</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站设在村庄敏感点所在地主导风向的下风向300m之外。</w:t>
      </w:r>
    </w:p>
    <w:p w14:paraId="2FBC02B7">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拟建公路沿线评价范围内无居民区等敏感目标分布。</w:t>
      </w:r>
    </w:p>
    <w:p w14:paraId="5883AF7F">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（4）施工现场扬尘</w:t>
      </w:r>
    </w:p>
    <w:p w14:paraId="7A2F2C4E">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在修筑路面时，路面的初期开挖及填方过程中由于路面土壤的暴露，在有风天气易产生扬尘影响。随着施工进程的不同，其对环境空气的影响程度也不同。</w:t>
      </w:r>
    </w:p>
    <w:p w14:paraId="6730606A">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由于扬尘影响情况的不确定性，本次评价依据为新疆维吾尔自治区环境监测中心站在新疆“吐-乌-大”高速公路施工过程中对施工扬尘现场监测结果，通过类比分析得出本次工程公路施工现场的扬尘污染情况。“吐-乌-大”高速公路施工现场监测的施工扬尘浓度结果表明：</w:t>
      </w:r>
    </w:p>
    <w:p w14:paraId="4FD28C96">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1）在公路施工中产生的扬尘对周围环境会产生一定影响，并可导致周围空气中降尘的浓度超标。施工场地周围的监测结果TSP超标率为72.5%，最大监测值为4.78mg/m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；降尘超标率为52.5%，最大值为247t/（月·km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w:t>
      </w:r>
    </w:p>
    <w:p w14:paraId="44579869">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2）在公路施工中，不同的作业过程产生的扬尘影响程度差别很大，影响最大的施工过程是路基挖填和通过便道拉、运、卸土石方，TSP监测结果平均值为0.768mg/m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，降尘平均值为67.9t/（月·km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）；影响较小的施工过程是路面铺设和桥涵施工，TSP监测结果平均值为0.376mg/m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，降尘平均值为13.26t</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月·km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），而区域TSP监测背景平均值则为0.260mg/m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w:t>
      </w:r>
    </w:p>
    <w:p w14:paraId="2924A8B0">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3）在施工过程中，作业人员对环保措施的落实情况，对环境影响</w:t>
      </w:r>
      <w:r>
        <w:rPr>
          <w:rFonts w:hint="eastAsia" w:cs="Times New Roman"/>
          <w:color w:val="auto"/>
          <w:kern w:val="0"/>
          <w:sz w:val="24"/>
          <w:szCs w:val="24"/>
          <w:lang w:val="en-US" w:eastAsia="zh-CN" w:bidi="ar"/>
        </w:rPr>
        <w:t>程度</w:t>
      </w:r>
      <w:r>
        <w:rPr>
          <w:rFonts w:hint="default" w:ascii="Times New Roman" w:hAnsi="Times New Roman" w:eastAsia="宋体" w:cs="Times New Roman"/>
          <w:color w:val="auto"/>
          <w:kern w:val="0"/>
          <w:sz w:val="24"/>
          <w:szCs w:val="24"/>
          <w:lang w:val="en-US" w:eastAsia="zh-CN" w:bidi="ar"/>
        </w:rPr>
        <w:t>差别很大。监测到的高浓度值均是由于施工人员不认真执行环保措施，非法作业所造成的。而认真执行环保措施的施工标段，其监测结果就相对较低。</w:t>
      </w:r>
    </w:p>
    <w:p w14:paraId="2FBCF80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施工中对地表的破坏会加大沙尘的浓度，因此施工作业必然对拟建公路沿线环境空气造成一定程度的污染，但这种污染是短期的，工程结束后，这种污染将逐渐减轻或消失。本报告要求建设单位和施工单位对施工现场定期洒水，有效降低施工扬尘对周边环境的影响。</w:t>
      </w:r>
    </w:p>
    <w:p w14:paraId="766DC58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沿线分布有大气环境保护目标，项目道路运输以及路基填筑过程中的扬尘对沿线的居民将造成一定的影响，施工过程中运输车辆尽量避开居民集中区300m以上，另外通过设置施工围挡和施工现场洒水措施可以有效降低扬尘量，减轻施工扬尘对居民生活的影响。</w:t>
      </w:r>
    </w:p>
    <w:p w14:paraId="56F373A9">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5.2.1.2 沥青拌合站废气影响预测分析</w:t>
      </w:r>
    </w:p>
    <w:p w14:paraId="766024D5">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（1）沥青</w:t>
      </w:r>
      <w:r>
        <w:rPr>
          <w:rFonts w:hint="default" w:ascii="Times New Roman" w:hAnsi="Times New Roman" w:cs="Times New Roman"/>
          <w:color w:val="auto"/>
          <w:kern w:val="0"/>
          <w:sz w:val="24"/>
          <w:szCs w:val="24"/>
          <w:lang w:val="en-US" w:eastAsia="zh-CN" w:bidi="ar"/>
        </w:rPr>
        <w:t>拌合站</w:t>
      </w:r>
      <w:r>
        <w:rPr>
          <w:rFonts w:hint="default" w:ascii="Times New Roman" w:hAnsi="Times New Roman" w:eastAsia="宋体" w:cs="Times New Roman"/>
          <w:color w:val="auto"/>
          <w:kern w:val="0"/>
          <w:sz w:val="24"/>
          <w:szCs w:val="24"/>
          <w:lang w:val="en-US" w:eastAsia="zh-CN" w:bidi="ar"/>
        </w:rPr>
        <w:t>选址</w:t>
      </w:r>
    </w:p>
    <w:p w14:paraId="644D2067">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经调查，沥青拌合站周围</w:t>
      </w:r>
      <w:r>
        <w:rPr>
          <w:rFonts w:hint="default" w:ascii="Times New Roman" w:hAnsi="Times New Roman" w:eastAsia="宋体" w:cs="Times New Roman"/>
          <w:color w:val="auto"/>
          <w:kern w:val="0"/>
          <w:sz w:val="24"/>
          <w:szCs w:val="24"/>
          <w:highlight w:val="none"/>
          <w:lang w:val="en-US" w:eastAsia="zh-CN" w:bidi="ar"/>
        </w:rPr>
        <w:t>500m范围内</w:t>
      </w:r>
      <w:r>
        <w:rPr>
          <w:rFonts w:hint="default" w:ascii="Times New Roman" w:hAnsi="Times New Roman" w:eastAsia="宋体" w:cs="Times New Roman"/>
          <w:color w:val="auto"/>
          <w:kern w:val="0"/>
          <w:sz w:val="24"/>
          <w:szCs w:val="24"/>
          <w:lang w:val="en-US" w:eastAsia="zh-CN" w:bidi="ar"/>
        </w:rPr>
        <w:t>无村庄等环境敏感点分布，其选址符合环保要求。</w:t>
      </w:r>
    </w:p>
    <w:p w14:paraId="00459EB1">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（2）工艺流程</w:t>
      </w:r>
    </w:p>
    <w:p w14:paraId="782D5957">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沥青混凝土</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站</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工艺为：</w:t>
      </w:r>
      <w:r>
        <w:rPr>
          <w:rFonts w:hint="default" w:ascii="Times New Roman" w:hAnsi="Times New Roman" w:cs="Times New Roman"/>
          <w:color w:val="auto"/>
          <w:kern w:val="0"/>
          <w:sz w:val="24"/>
          <w:szCs w:val="24"/>
          <w:lang w:val="en-US" w:eastAsia="zh-CN" w:bidi="ar"/>
        </w:rPr>
        <w:t>拌合站</w:t>
      </w:r>
      <w:r>
        <w:rPr>
          <w:rFonts w:hint="default" w:ascii="Times New Roman" w:hAnsi="Times New Roman" w:eastAsia="宋体" w:cs="Times New Roman"/>
          <w:color w:val="auto"/>
          <w:kern w:val="0"/>
          <w:sz w:val="24"/>
          <w:szCs w:val="24"/>
          <w:lang w:val="en-US" w:eastAsia="zh-CN" w:bidi="ar"/>
        </w:rPr>
        <w:t>主要由上料机组、烘干加热机组、</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机组、沥青供给机组、矿粉供给机组、成品料储存机组及中央控制室组成。</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工艺为：当中央控制室发出开机命令后，冷料仓冷料经皮带输送机输送到干燥滚筒内，烘干后的骨料，由热料提升机输送到振动筛上进行筛分。筛分后的骨料落入各热料仓室。各骨料和粉料由各自室门落入各自的称量斗内由</w:t>
      </w:r>
      <w:r>
        <w:rPr>
          <w:rFonts w:hint="default" w:ascii="Times New Roman" w:hAnsi="Times New Roman" w:cs="Times New Roman"/>
          <w:color w:val="auto"/>
          <w:kern w:val="0"/>
          <w:sz w:val="24"/>
          <w:szCs w:val="24"/>
          <w:lang w:val="en-US" w:eastAsia="zh-CN" w:bidi="ar"/>
        </w:rPr>
        <w:t>电子秤</w:t>
      </w:r>
      <w:r>
        <w:rPr>
          <w:rFonts w:hint="default" w:ascii="Times New Roman" w:hAnsi="Times New Roman" w:eastAsia="宋体" w:cs="Times New Roman"/>
          <w:color w:val="auto"/>
          <w:kern w:val="0"/>
          <w:sz w:val="24"/>
          <w:szCs w:val="24"/>
          <w:lang w:val="en-US" w:eastAsia="zh-CN" w:bidi="ar"/>
        </w:rPr>
        <w:t>计量，随后放入拌缸内，经称量好后的热沥青经喷洒泵经喷嘴随后喷入拌缸内。各种混合料经充分搅拌后，形成成品料，卸到送料斗车里。送料斗车经轨道卸入储料罐。最后通过卸料闸门，将成品料放到运输汽车上，用无热源或高温容器将沥青运至铺筑工地。</w:t>
      </w:r>
    </w:p>
    <w:p w14:paraId="759F39C7">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（3）沥青烟气及拌合扬尘影响分析</w:t>
      </w:r>
    </w:p>
    <w:p w14:paraId="371FD756">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拟建公路推荐采用沥青混凝土路面结构，因此施工过程中需要设置沥青</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站。加热沥青所需燃料燃烧产生的烟气和沥青在加热、</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过程中因挥发而产生的沥青烟等污染物对空气环境均将产生一定的影响，沥青</w:t>
      </w:r>
      <w:r>
        <w:rPr>
          <w:rFonts w:hint="default" w:ascii="Times New Roman" w:hAnsi="Times New Roman" w:cs="Times New Roman"/>
          <w:color w:val="auto"/>
          <w:kern w:val="0"/>
          <w:sz w:val="24"/>
          <w:szCs w:val="24"/>
          <w:lang w:val="en-US" w:eastAsia="zh-CN" w:bidi="ar"/>
        </w:rPr>
        <w:t>拌合站</w:t>
      </w:r>
      <w:r>
        <w:rPr>
          <w:rFonts w:hint="default" w:ascii="Times New Roman" w:hAnsi="Times New Roman" w:eastAsia="宋体" w:cs="Times New Roman"/>
          <w:color w:val="auto"/>
          <w:kern w:val="0"/>
          <w:sz w:val="24"/>
          <w:szCs w:val="24"/>
          <w:lang w:val="en-US" w:eastAsia="zh-CN" w:bidi="ar"/>
        </w:rPr>
        <w:t>废气是公路建设施工期空气环境影响的重要因素之一。目前国内外高等级公路施工中采用的沥青</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设备对这一问题已有较好</w:t>
      </w:r>
      <w:r>
        <w:rPr>
          <w:rFonts w:hint="default" w:ascii="Times New Roman" w:hAnsi="Times New Roman" w:cs="Times New Roman"/>
          <w:color w:val="auto"/>
          <w:kern w:val="0"/>
          <w:sz w:val="24"/>
          <w:szCs w:val="24"/>
          <w:lang w:val="en-US" w:eastAsia="zh-CN" w:bidi="ar"/>
        </w:rPr>
        <w:t>的</w:t>
      </w:r>
      <w:r>
        <w:rPr>
          <w:rFonts w:hint="default" w:ascii="Times New Roman" w:hAnsi="Times New Roman" w:eastAsia="宋体" w:cs="Times New Roman"/>
          <w:color w:val="auto"/>
          <w:kern w:val="0"/>
          <w:sz w:val="24"/>
          <w:szCs w:val="24"/>
          <w:lang w:val="en-US" w:eastAsia="zh-CN" w:bidi="ar"/>
        </w:rPr>
        <w:t>解决方法，采用蒸汽加热沥青，并采用密闭</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过程、除尘装置，使沥青烟产生量很少，对环境影响也很小。加热沥青所需燃料燃烧产生的烟气对环境会有一定影响，但影响距离有限。</w:t>
      </w:r>
    </w:p>
    <w:p w14:paraId="275CF125">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在沥青搅</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路面铺设过程中会产生沥青烟气，主要的有毒有害物质是THC、酚和3，4－苯并芘。拟建</w:t>
      </w:r>
      <w:r>
        <w:rPr>
          <w:rFonts w:hint="default" w:ascii="Times New Roman" w:hAnsi="Times New Roman" w:cs="Times New Roman"/>
          <w:color w:val="auto"/>
          <w:kern w:val="0"/>
          <w:sz w:val="24"/>
          <w:szCs w:val="24"/>
          <w:lang w:val="en-US" w:eastAsia="zh-CN" w:bidi="ar"/>
        </w:rPr>
        <w:t>公路</w:t>
      </w:r>
      <w:r>
        <w:rPr>
          <w:rFonts w:hint="default" w:ascii="Times New Roman" w:hAnsi="Times New Roman" w:eastAsia="宋体" w:cs="Times New Roman"/>
          <w:color w:val="auto"/>
          <w:kern w:val="0"/>
          <w:sz w:val="24"/>
          <w:szCs w:val="24"/>
          <w:lang w:val="en-US" w:eastAsia="zh-CN" w:bidi="ar"/>
        </w:rPr>
        <w:t>建设采用设有除尘设备的封闭式场拌工艺，沥青</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过程中采用布袋除尘器和沥青烟气处理装置（“冷凝+电捕集+活性炭吸附”），可使沥青烟、苯并[a]芘、粉尘达标排放，用无热源或高温容器将沥青运至铺浇工地，沥青烟气的排放浓度较低。类比现在公路施工中常用沥青</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设备的排放源强：封闭式站拌工艺周围污染物浓度在下风向100m分别为：THC浓度为0.057mg/m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（低于《大气污染综合排放标准》标准值4mg/m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）；3，4－苯并芘的平均值0.15×10</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（低于《大气污染物综合排放标准》标准值0.8×10</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）；酚&lt;0.01mg/m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（低于《大气污染物综合排放标准》标准值0.08mg/m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w:t>
      </w:r>
    </w:p>
    <w:p w14:paraId="1D6A5CE3">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沥青烟和苯并[a]芘来源于沥青拌合、铺路过程。对于沥青混凝土</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站来说，</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过程中沥青的使用均为精确计量，最后</w:t>
      </w:r>
      <w:r>
        <w:rPr>
          <w:rFonts w:hint="default" w:ascii="Times New Roman" w:hAnsi="Times New Roman" w:cs="Times New Roman"/>
          <w:color w:val="auto"/>
          <w:kern w:val="0"/>
          <w:sz w:val="24"/>
          <w:szCs w:val="24"/>
          <w:lang w:val="en-US" w:eastAsia="zh-CN" w:bidi="ar"/>
        </w:rPr>
        <w:t>在</w:t>
      </w:r>
      <w:r>
        <w:rPr>
          <w:rFonts w:hint="default" w:ascii="Times New Roman" w:hAnsi="Times New Roman" w:eastAsia="宋体" w:cs="Times New Roman"/>
          <w:color w:val="auto"/>
          <w:kern w:val="0"/>
          <w:sz w:val="24"/>
          <w:szCs w:val="24"/>
          <w:lang w:val="en-US" w:eastAsia="zh-CN" w:bidi="ar"/>
        </w:rPr>
        <w:t>拌缸内完成充分搅拌，整个系统密闭进行，不会产生沥青烟的</w:t>
      </w:r>
      <w:r>
        <w:rPr>
          <w:rFonts w:hint="default" w:ascii="Times New Roman" w:hAnsi="Times New Roman" w:cs="Times New Roman"/>
          <w:color w:val="auto"/>
          <w:kern w:val="0"/>
          <w:sz w:val="24"/>
          <w:szCs w:val="24"/>
          <w:lang w:val="en-US" w:eastAsia="zh-CN" w:bidi="ar"/>
        </w:rPr>
        <w:t>泄漏</w:t>
      </w:r>
      <w:r>
        <w:rPr>
          <w:rFonts w:hint="default" w:ascii="Times New Roman" w:hAnsi="Times New Roman" w:eastAsia="宋体" w:cs="Times New Roman"/>
          <w:color w:val="auto"/>
          <w:kern w:val="0"/>
          <w:sz w:val="24"/>
          <w:szCs w:val="24"/>
          <w:lang w:val="en-US" w:eastAsia="zh-CN" w:bidi="ar"/>
        </w:rPr>
        <w:t>。烘干筒、振动筛、称量装置和搅拌装置在作业时产生大量粉尘，这些粉尘在引风机产生的负压作用下由风筒导出，先进入旋风除尘器，在旋转过程中，气流中大颗粒的石屑由于离心作用而碰撞器壁，落入底部后，被螺旋输送器回收送入骨料砂仓中。经过第一次除尘的空气接着进入布袋除尘器进一步过滤，收集的粉尘由螺旋输送器送入主塔上的矿粉桶回收。经过二次过滤的净化空气通过引风机、烟囱进入大气。经现代的沥青混凝土</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设备除尘后的净化空气含尘量低于0.1g/m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（标准状态下），满足环境保护要求。</w:t>
      </w:r>
    </w:p>
    <w:p w14:paraId="2997548E">
      <w:pPr>
        <w:keepNext w:val="0"/>
        <w:keepLines w:val="0"/>
        <w:widowControl/>
        <w:suppressLineNumbers w:val="0"/>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根据有关资料，沥青</w:t>
      </w:r>
      <w:r>
        <w:rPr>
          <w:rFonts w:hint="default" w:ascii="Times New Roman" w:hAnsi="Times New Roman" w:cs="Times New Roman"/>
          <w:color w:val="auto"/>
          <w:kern w:val="0"/>
          <w:sz w:val="24"/>
          <w:szCs w:val="24"/>
          <w:lang w:val="en-US" w:eastAsia="zh-CN" w:bidi="ar"/>
        </w:rPr>
        <w:t>拌合站</w:t>
      </w:r>
      <w:r>
        <w:rPr>
          <w:rFonts w:hint="default" w:ascii="Times New Roman" w:hAnsi="Times New Roman" w:eastAsia="宋体" w:cs="Times New Roman"/>
          <w:color w:val="auto"/>
          <w:kern w:val="0"/>
          <w:sz w:val="24"/>
          <w:szCs w:val="24"/>
          <w:lang w:val="en-US" w:eastAsia="zh-CN" w:bidi="ar"/>
        </w:rPr>
        <w:t>对环境空气的影响范围在半径500～1500m以内。经调查，沥青拌合站周围500m范围内无自然保护区、村庄等大气</w:t>
      </w:r>
      <w:r>
        <w:rPr>
          <w:rFonts w:hint="default" w:ascii="Times New Roman" w:hAnsi="Times New Roman" w:cs="Times New Roman"/>
          <w:color w:val="auto"/>
          <w:kern w:val="0"/>
          <w:sz w:val="24"/>
          <w:szCs w:val="24"/>
          <w:lang w:val="en-US" w:eastAsia="zh-CN" w:bidi="ar"/>
        </w:rPr>
        <w:t>环境</w:t>
      </w:r>
      <w:r>
        <w:rPr>
          <w:rFonts w:hint="default" w:ascii="Times New Roman" w:hAnsi="Times New Roman" w:eastAsia="宋体" w:cs="Times New Roman"/>
          <w:color w:val="auto"/>
          <w:kern w:val="0"/>
          <w:sz w:val="24"/>
          <w:szCs w:val="24"/>
          <w:lang w:val="en-US" w:eastAsia="zh-CN" w:bidi="ar"/>
        </w:rPr>
        <w:t>保护目标分布。由于拟建公路沥青拌合站距离大气环境保护目标较远，沥青拌合站在做好密闭</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、高效除尘装置等措施前提下，拌合废气对沿线大气</w:t>
      </w:r>
      <w:r>
        <w:rPr>
          <w:rFonts w:hint="default" w:ascii="Times New Roman" w:hAnsi="Times New Roman" w:cs="Times New Roman"/>
          <w:color w:val="auto"/>
          <w:kern w:val="0"/>
          <w:sz w:val="24"/>
          <w:szCs w:val="24"/>
          <w:lang w:val="en-US" w:eastAsia="zh-CN" w:bidi="ar"/>
        </w:rPr>
        <w:t>环境</w:t>
      </w:r>
      <w:r>
        <w:rPr>
          <w:rFonts w:hint="default" w:ascii="Times New Roman" w:hAnsi="Times New Roman" w:eastAsia="宋体" w:cs="Times New Roman"/>
          <w:color w:val="auto"/>
          <w:kern w:val="0"/>
          <w:sz w:val="24"/>
          <w:szCs w:val="24"/>
          <w:lang w:val="en-US" w:eastAsia="zh-CN" w:bidi="ar"/>
        </w:rPr>
        <w:t>保护目标影响较小。随着沥青</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结束，施工沥青烟气影响将不再存在，施工沥青烟气对环境的不利影响是暂时的、短期的。</w:t>
      </w:r>
    </w:p>
    <w:p w14:paraId="637A7EF5">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5.2.1.3 机械尾气排放影响分析</w:t>
      </w:r>
    </w:p>
    <w:p w14:paraId="48CD8D6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施工机械耗油中相当一部分燃油消耗于汽车运输上，特别是载重车辆耗油量较大，主要是在公路上行驶。因此，燃油污染物排放中相当一部分是分散于运输道路上，而并不集中在施工现场，</w:t>
      </w:r>
      <w:r>
        <w:rPr>
          <w:rFonts w:hint="eastAsia" w:cs="Times New Roman"/>
          <w:color w:val="auto"/>
          <w:kern w:val="0"/>
          <w:sz w:val="24"/>
          <w:szCs w:val="24"/>
          <w:lang w:val="en-US" w:eastAsia="zh-CN" w:bidi="ar"/>
        </w:rPr>
        <w:t>施工现场</w:t>
      </w:r>
      <w:r>
        <w:rPr>
          <w:rFonts w:hint="default" w:ascii="Times New Roman" w:hAnsi="Times New Roman" w:eastAsia="宋体" w:cs="Times New Roman"/>
          <w:color w:val="auto"/>
          <w:kern w:val="0"/>
          <w:sz w:val="24"/>
          <w:szCs w:val="24"/>
          <w:lang w:val="en-US" w:eastAsia="zh-CN" w:bidi="ar"/>
        </w:rPr>
        <w:t>实际排放的污染物的量不大，对周围环境空气质量影响不大。</w:t>
      </w:r>
    </w:p>
    <w:p w14:paraId="3F35E1B2">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5.2.2 运营期大气环境影响预测与评价</w:t>
      </w:r>
    </w:p>
    <w:p w14:paraId="1CB3152E">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（1）运营期车辆尾气对环境空气的影响分析</w:t>
      </w:r>
    </w:p>
    <w:p w14:paraId="6875BA47">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营运车辆排放主要是汽车尾气排放对沿线大气环境的影响。汽车尾气中主要污染物是一氧化碳、二氧化氮、烟尘、碳氢化合物等。其污染源类型属分散、流动的线源，排放源高度低，污染物扩散范围小。因昼夜车流量的变化，一般白天的污染重于夜间，下风向一侧污染重于上风向一侧，静风天气重于有风天气。污染物排放量随燃油类型、耗油量而变化，重型车多于中、轻型车。汽油车一氧化碳、碳氢化合物排放量大，而柴油车二氧化硫、颗粒物、甲醛污染重于汽油车。</w:t>
      </w:r>
    </w:p>
    <w:p w14:paraId="2D232DEC">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结合近几年已建成公路的竣工环境保护验收调查报告的综合结果，汽车尾气对环境的影响范围和程度十分有限，其中TSP扬尘主要源于环境本底，路面起尘贡献值极小。日交通量达到3万辆时，NO</w:t>
      </w:r>
      <w:r>
        <w:rPr>
          <w:rFonts w:hint="default" w:ascii="Times New Roman" w:hAnsi="Times New Roman" w:eastAsia="宋体" w:cs="Times New Roman"/>
          <w:color w:val="auto"/>
          <w:kern w:val="0"/>
          <w:sz w:val="24"/>
          <w:szCs w:val="24"/>
          <w:vertAlign w:val="subscript"/>
          <w:lang w:val="en-US" w:eastAsia="zh-CN" w:bidi="ar"/>
        </w:rPr>
        <w:t>2</w:t>
      </w:r>
      <w:r>
        <w:rPr>
          <w:rFonts w:hint="default" w:ascii="Times New Roman" w:hAnsi="Times New Roman" w:eastAsia="宋体" w:cs="Times New Roman"/>
          <w:color w:val="auto"/>
          <w:kern w:val="0"/>
          <w:sz w:val="24"/>
          <w:szCs w:val="24"/>
          <w:lang w:val="en-US" w:eastAsia="zh-CN" w:bidi="ar"/>
        </w:rPr>
        <w:t xml:space="preserve">和TSP均不超标。随着我国执行单车排放标准的不断提高，单车尾气的排放量将会不断降低，运输车种构成比例将更为优化，逐步减少高能耗、高排污的车种比例，汽车尾气排放将大大降低，因此公路汽车尾气对沿线两侧环境空气的影响范围将会缩小，公路对沿线空气质量带来的影响轻微。 </w:t>
      </w:r>
    </w:p>
    <w:p w14:paraId="08F5F728">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（2）附属设施产生的废气对环境的影响分析</w:t>
      </w:r>
    </w:p>
    <w:p w14:paraId="39633D5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本项目运营期设置收费站一处（与隧道管理站合建），冬季采用电锅炉供暖，不产生大气污染，不会对大气环境产生影响。</w:t>
      </w:r>
    </w:p>
    <w:p w14:paraId="2CFB57E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本项目大气环境影响评价自查表见表5.2-</w:t>
      </w:r>
      <w:r>
        <w:rPr>
          <w:rFonts w:hint="eastAsia" w:cs="Times New Roman"/>
          <w:color w:val="auto"/>
          <w:kern w:val="0"/>
          <w:sz w:val="24"/>
          <w:szCs w:val="24"/>
          <w:lang w:val="en-US" w:eastAsia="zh-CN" w:bidi="ar"/>
        </w:rPr>
        <w:t>1</w:t>
      </w:r>
      <w:r>
        <w:rPr>
          <w:rFonts w:hint="default" w:ascii="Times New Roman" w:hAnsi="Times New Roman" w:eastAsia="宋体" w:cs="Times New Roman"/>
          <w:color w:val="auto"/>
          <w:kern w:val="0"/>
          <w:sz w:val="24"/>
          <w:szCs w:val="24"/>
          <w:lang w:val="en-US" w:eastAsia="zh-CN" w:bidi="ar"/>
        </w:rPr>
        <w:t>。</w:t>
      </w:r>
    </w:p>
    <w:p w14:paraId="5C0C340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
        </w:rPr>
        <w:t>表5.2-</w:t>
      </w:r>
      <w:r>
        <w:rPr>
          <w:rFonts w:hint="eastAsia" w:cs="Times New Roman"/>
          <w:b/>
          <w:bCs/>
          <w:color w:val="auto"/>
          <w:kern w:val="0"/>
          <w:sz w:val="21"/>
          <w:szCs w:val="21"/>
          <w:lang w:val="en-US" w:eastAsia="zh-CN" w:bidi="ar"/>
        </w:rPr>
        <w:t>1</w:t>
      </w:r>
      <w:r>
        <w:rPr>
          <w:rFonts w:hint="default" w:ascii="Times New Roman" w:hAnsi="Times New Roman" w:eastAsia="宋体" w:cs="Times New Roman"/>
          <w:b/>
          <w:bCs/>
          <w:color w:val="auto"/>
          <w:kern w:val="0"/>
          <w:sz w:val="21"/>
          <w:szCs w:val="21"/>
          <w:lang w:val="en-US" w:eastAsia="zh-CN" w:bidi="ar"/>
        </w:rPr>
        <w:t xml:space="preserve"> 建设项目大气环境影响评价自查表</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9"/>
        <w:gridCol w:w="1836"/>
        <w:gridCol w:w="796"/>
        <w:gridCol w:w="52"/>
        <w:gridCol w:w="546"/>
        <w:gridCol w:w="198"/>
        <w:gridCol w:w="575"/>
        <w:gridCol w:w="221"/>
        <w:gridCol w:w="87"/>
        <w:gridCol w:w="313"/>
        <w:gridCol w:w="331"/>
        <w:gridCol w:w="65"/>
        <w:gridCol w:w="270"/>
        <w:gridCol w:w="418"/>
        <w:gridCol w:w="108"/>
        <w:gridCol w:w="202"/>
        <w:gridCol w:w="258"/>
        <w:gridCol w:w="336"/>
        <w:gridCol w:w="801"/>
      </w:tblGrid>
      <w:tr w14:paraId="552F2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noWrap w:val="0"/>
            <w:vAlign w:val="center"/>
          </w:tcPr>
          <w:p w14:paraId="2FFECBC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工作内容</w:t>
            </w:r>
          </w:p>
        </w:tc>
        <w:tc>
          <w:tcPr>
            <w:tcW w:w="7413" w:type="dxa"/>
            <w:gridSpan w:val="18"/>
            <w:noWrap w:val="0"/>
            <w:vAlign w:val="center"/>
          </w:tcPr>
          <w:p w14:paraId="47BC49B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自查项目</w:t>
            </w:r>
          </w:p>
        </w:tc>
      </w:tr>
      <w:tr w14:paraId="5DDEC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vMerge w:val="restart"/>
            <w:noWrap w:val="0"/>
            <w:vAlign w:val="center"/>
          </w:tcPr>
          <w:p w14:paraId="7D455E4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评价等级与范围</w:t>
            </w:r>
          </w:p>
        </w:tc>
        <w:tc>
          <w:tcPr>
            <w:tcW w:w="1836" w:type="dxa"/>
            <w:noWrap w:val="0"/>
            <w:vAlign w:val="center"/>
          </w:tcPr>
          <w:p w14:paraId="58837B3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评价等级</w:t>
            </w:r>
          </w:p>
        </w:tc>
        <w:tc>
          <w:tcPr>
            <w:tcW w:w="2167" w:type="dxa"/>
            <w:gridSpan w:val="5"/>
            <w:noWrap w:val="0"/>
            <w:vAlign w:val="center"/>
          </w:tcPr>
          <w:p w14:paraId="4D031B2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一级□</w:t>
            </w:r>
          </w:p>
        </w:tc>
        <w:tc>
          <w:tcPr>
            <w:tcW w:w="1705" w:type="dxa"/>
            <w:gridSpan w:val="7"/>
            <w:noWrap w:val="0"/>
            <w:vAlign w:val="center"/>
          </w:tcPr>
          <w:p w14:paraId="69983FF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二级□</w:t>
            </w:r>
          </w:p>
        </w:tc>
        <w:tc>
          <w:tcPr>
            <w:tcW w:w="1705" w:type="dxa"/>
            <w:gridSpan w:val="5"/>
            <w:noWrap w:val="0"/>
            <w:vAlign w:val="center"/>
          </w:tcPr>
          <w:p w14:paraId="41CB1F1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三级☑</w:t>
            </w:r>
          </w:p>
        </w:tc>
      </w:tr>
      <w:tr w14:paraId="78247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vMerge w:val="continue"/>
            <w:noWrap w:val="0"/>
            <w:vAlign w:val="center"/>
          </w:tcPr>
          <w:p w14:paraId="5A407A6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1836" w:type="dxa"/>
            <w:noWrap w:val="0"/>
            <w:vAlign w:val="center"/>
          </w:tcPr>
          <w:p w14:paraId="2157126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评级范围</w:t>
            </w:r>
          </w:p>
        </w:tc>
        <w:tc>
          <w:tcPr>
            <w:tcW w:w="2167" w:type="dxa"/>
            <w:gridSpan w:val="5"/>
            <w:noWrap w:val="0"/>
            <w:vAlign w:val="center"/>
          </w:tcPr>
          <w:p w14:paraId="3BB289F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边长=50km□</w:t>
            </w:r>
          </w:p>
        </w:tc>
        <w:tc>
          <w:tcPr>
            <w:tcW w:w="1705" w:type="dxa"/>
            <w:gridSpan w:val="7"/>
            <w:noWrap w:val="0"/>
            <w:vAlign w:val="center"/>
          </w:tcPr>
          <w:p w14:paraId="7E50AD7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边长5~50km□</w:t>
            </w:r>
          </w:p>
        </w:tc>
        <w:tc>
          <w:tcPr>
            <w:tcW w:w="1705" w:type="dxa"/>
            <w:gridSpan w:val="5"/>
            <w:noWrap w:val="0"/>
            <w:vAlign w:val="center"/>
          </w:tcPr>
          <w:p w14:paraId="4A9C4A5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边长=5km□</w:t>
            </w:r>
          </w:p>
        </w:tc>
      </w:tr>
      <w:tr w14:paraId="49DC8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vMerge w:val="restart"/>
            <w:noWrap w:val="0"/>
            <w:vAlign w:val="center"/>
          </w:tcPr>
          <w:p w14:paraId="433DDEE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评价因子</w:t>
            </w:r>
          </w:p>
        </w:tc>
        <w:tc>
          <w:tcPr>
            <w:tcW w:w="1836" w:type="dxa"/>
            <w:noWrap w:val="0"/>
            <w:vAlign w:val="center"/>
          </w:tcPr>
          <w:p w14:paraId="424036D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SO</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lang w:val="en-US" w:eastAsia="zh-CN"/>
              </w:rPr>
              <w:t>+NO</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lang w:val="en-US" w:eastAsia="zh-CN"/>
              </w:rPr>
              <w:t>排放量</w:t>
            </w:r>
          </w:p>
        </w:tc>
        <w:tc>
          <w:tcPr>
            <w:tcW w:w="2167" w:type="dxa"/>
            <w:gridSpan w:val="5"/>
            <w:noWrap w:val="0"/>
            <w:vAlign w:val="center"/>
          </w:tcPr>
          <w:p w14:paraId="6258AA7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≥2000t/a□</w:t>
            </w:r>
          </w:p>
        </w:tc>
        <w:tc>
          <w:tcPr>
            <w:tcW w:w="1705" w:type="dxa"/>
            <w:gridSpan w:val="7"/>
            <w:noWrap w:val="0"/>
            <w:vAlign w:val="center"/>
          </w:tcPr>
          <w:p w14:paraId="3D7F905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500~2000t/a□</w:t>
            </w:r>
          </w:p>
        </w:tc>
        <w:tc>
          <w:tcPr>
            <w:tcW w:w="1705" w:type="dxa"/>
            <w:gridSpan w:val="5"/>
            <w:noWrap w:val="0"/>
            <w:vAlign w:val="center"/>
          </w:tcPr>
          <w:p w14:paraId="4C5829D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＜500t/a□</w:t>
            </w:r>
          </w:p>
        </w:tc>
      </w:tr>
      <w:tr w14:paraId="05286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vMerge w:val="continue"/>
            <w:noWrap w:val="0"/>
            <w:vAlign w:val="center"/>
          </w:tcPr>
          <w:p w14:paraId="66B0678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1836" w:type="dxa"/>
            <w:noWrap w:val="0"/>
            <w:vAlign w:val="center"/>
          </w:tcPr>
          <w:p w14:paraId="50E7E48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评价因子</w:t>
            </w:r>
          </w:p>
        </w:tc>
        <w:tc>
          <w:tcPr>
            <w:tcW w:w="3119" w:type="dxa"/>
            <w:gridSpan w:val="9"/>
            <w:noWrap w:val="0"/>
            <w:vAlign w:val="center"/>
          </w:tcPr>
          <w:p w14:paraId="371F09C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基本污染物（颗粒物）</w:t>
            </w:r>
          </w:p>
          <w:p w14:paraId="5F74848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其他污染物（无）</w:t>
            </w:r>
          </w:p>
        </w:tc>
        <w:tc>
          <w:tcPr>
            <w:tcW w:w="2458" w:type="dxa"/>
            <w:gridSpan w:val="8"/>
            <w:noWrap w:val="0"/>
            <w:vAlign w:val="center"/>
          </w:tcPr>
          <w:p w14:paraId="54ECE51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包括二次PM</w:t>
            </w:r>
            <w:r>
              <w:rPr>
                <w:rFonts w:hint="default" w:ascii="Times New Roman" w:hAnsi="Times New Roman" w:eastAsia="宋体" w:cs="Times New Roman"/>
                <w:color w:val="auto"/>
                <w:sz w:val="21"/>
                <w:szCs w:val="21"/>
                <w:vertAlign w:val="subscript"/>
                <w:lang w:val="en-US" w:eastAsia="zh-CN"/>
              </w:rPr>
              <w:t>2.5</w:t>
            </w:r>
            <w:r>
              <w:rPr>
                <w:rFonts w:hint="default" w:ascii="Times New Roman" w:hAnsi="Times New Roman" w:eastAsia="宋体" w:cs="Times New Roman"/>
                <w:color w:val="auto"/>
                <w:sz w:val="21"/>
                <w:szCs w:val="21"/>
                <w:lang w:val="en-US" w:eastAsia="zh-CN"/>
              </w:rPr>
              <w:t>□</w:t>
            </w:r>
          </w:p>
          <w:p w14:paraId="5EF5F6D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不包括二次PM</w:t>
            </w:r>
            <w:r>
              <w:rPr>
                <w:rFonts w:hint="default" w:ascii="Times New Roman" w:hAnsi="Times New Roman" w:eastAsia="宋体" w:cs="Times New Roman"/>
                <w:color w:val="auto"/>
                <w:sz w:val="21"/>
                <w:szCs w:val="21"/>
                <w:vertAlign w:val="subscript"/>
                <w:lang w:val="en-US" w:eastAsia="zh-CN"/>
              </w:rPr>
              <w:t>2.5</w:t>
            </w:r>
            <w:r>
              <w:rPr>
                <w:rFonts w:hint="default" w:ascii="Times New Roman" w:hAnsi="Times New Roman" w:eastAsia="宋体" w:cs="Times New Roman"/>
                <w:color w:val="auto"/>
                <w:sz w:val="21"/>
                <w:szCs w:val="21"/>
                <w:lang w:val="en-US" w:eastAsia="zh-CN"/>
              </w:rPr>
              <w:t>□</w:t>
            </w:r>
          </w:p>
        </w:tc>
      </w:tr>
      <w:tr w14:paraId="30D16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noWrap w:val="0"/>
            <w:vAlign w:val="center"/>
          </w:tcPr>
          <w:p w14:paraId="5F36712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评价标准</w:t>
            </w:r>
          </w:p>
        </w:tc>
        <w:tc>
          <w:tcPr>
            <w:tcW w:w="1836" w:type="dxa"/>
            <w:noWrap w:val="0"/>
            <w:vAlign w:val="center"/>
          </w:tcPr>
          <w:p w14:paraId="5F42F29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评价标准</w:t>
            </w:r>
          </w:p>
        </w:tc>
        <w:tc>
          <w:tcPr>
            <w:tcW w:w="2167" w:type="dxa"/>
            <w:gridSpan w:val="5"/>
            <w:noWrap w:val="0"/>
            <w:vAlign w:val="center"/>
          </w:tcPr>
          <w:p w14:paraId="2C117B1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国家标准☑</w:t>
            </w:r>
          </w:p>
        </w:tc>
        <w:tc>
          <w:tcPr>
            <w:tcW w:w="952" w:type="dxa"/>
            <w:gridSpan w:val="4"/>
            <w:noWrap w:val="0"/>
            <w:vAlign w:val="center"/>
          </w:tcPr>
          <w:p w14:paraId="4A480D3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地方标准□</w:t>
            </w:r>
          </w:p>
        </w:tc>
        <w:tc>
          <w:tcPr>
            <w:tcW w:w="1321" w:type="dxa"/>
            <w:gridSpan w:val="6"/>
            <w:noWrap w:val="0"/>
            <w:vAlign w:val="center"/>
          </w:tcPr>
          <w:p w14:paraId="7ABF397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附录D□</w:t>
            </w:r>
          </w:p>
        </w:tc>
        <w:tc>
          <w:tcPr>
            <w:tcW w:w="1137" w:type="dxa"/>
            <w:gridSpan w:val="2"/>
            <w:noWrap w:val="0"/>
            <w:vAlign w:val="center"/>
          </w:tcPr>
          <w:p w14:paraId="3B6DE60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其他标准□</w:t>
            </w:r>
          </w:p>
        </w:tc>
      </w:tr>
      <w:tr w14:paraId="7AA9F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vMerge w:val="restart"/>
            <w:noWrap w:val="0"/>
            <w:vAlign w:val="center"/>
          </w:tcPr>
          <w:p w14:paraId="24A1DEE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现状评价</w:t>
            </w:r>
          </w:p>
        </w:tc>
        <w:tc>
          <w:tcPr>
            <w:tcW w:w="1836" w:type="dxa"/>
            <w:noWrap w:val="0"/>
            <w:vAlign w:val="center"/>
          </w:tcPr>
          <w:p w14:paraId="6D81AB6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环境功能区</w:t>
            </w:r>
          </w:p>
        </w:tc>
        <w:tc>
          <w:tcPr>
            <w:tcW w:w="2167" w:type="dxa"/>
            <w:gridSpan w:val="5"/>
            <w:noWrap w:val="0"/>
            <w:vAlign w:val="center"/>
          </w:tcPr>
          <w:p w14:paraId="7BBF232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一类区□</w:t>
            </w:r>
          </w:p>
        </w:tc>
        <w:tc>
          <w:tcPr>
            <w:tcW w:w="1705" w:type="dxa"/>
            <w:gridSpan w:val="7"/>
            <w:noWrap w:val="0"/>
            <w:vAlign w:val="center"/>
          </w:tcPr>
          <w:p w14:paraId="0F3B083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二类区☑</w:t>
            </w:r>
          </w:p>
        </w:tc>
        <w:tc>
          <w:tcPr>
            <w:tcW w:w="1705" w:type="dxa"/>
            <w:gridSpan w:val="5"/>
            <w:noWrap w:val="0"/>
            <w:vAlign w:val="center"/>
          </w:tcPr>
          <w:p w14:paraId="2456925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一类区和二类区□</w:t>
            </w:r>
          </w:p>
        </w:tc>
      </w:tr>
      <w:tr w14:paraId="683B1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vMerge w:val="continue"/>
            <w:noWrap w:val="0"/>
            <w:vAlign w:val="center"/>
          </w:tcPr>
          <w:p w14:paraId="09D44F6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1836" w:type="dxa"/>
            <w:noWrap w:val="0"/>
            <w:vAlign w:val="center"/>
          </w:tcPr>
          <w:p w14:paraId="1827669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评价基准年</w:t>
            </w:r>
          </w:p>
        </w:tc>
        <w:tc>
          <w:tcPr>
            <w:tcW w:w="5577" w:type="dxa"/>
            <w:gridSpan w:val="17"/>
            <w:noWrap w:val="0"/>
            <w:vAlign w:val="center"/>
          </w:tcPr>
          <w:p w14:paraId="43345EC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（202</w:t>
            </w:r>
            <w:r>
              <w:rPr>
                <w:rFonts w:hint="eastAsia" w:ascii="Times New Roman" w:hAnsi="Times New Roman" w:cs="Times New Roman"/>
                <w:color w:val="auto"/>
                <w:sz w:val="21"/>
                <w:szCs w:val="21"/>
                <w:lang w:val="en-US" w:eastAsia="zh-CN"/>
              </w:rPr>
              <w:t>4</w:t>
            </w:r>
            <w:r>
              <w:rPr>
                <w:rFonts w:hint="default" w:ascii="Times New Roman" w:hAnsi="Times New Roman" w:eastAsia="宋体" w:cs="Times New Roman"/>
                <w:color w:val="auto"/>
                <w:sz w:val="21"/>
                <w:szCs w:val="21"/>
                <w:lang w:val="en-US" w:eastAsia="zh-CN"/>
              </w:rPr>
              <w:t>）年</w:t>
            </w:r>
          </w:p>
        </w:tc>
      </w:tr>
      <w:tr w14:paraId="5B504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vMerge w:val="continue"/>
            <w:noWrap w:val="0"/>
            <w:vAlign w:val="center"/>
          </w:tcPr>
          <w:p w14:paraId="14169B1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1836" w:type="dxa"/>
            <w:noWrap w:val="0"/>
            <w:vAlign w:val="center"/>
          </w:tcPr>
          <w:p w14:paraId="3155C93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环境空气质量现状调查数据来源</w:t>
            </w:r>
          </w:p>
        </w:tc>
        <w:tc>
          <w:tcPr>
            <w:tcW w:w="2167" w:type="dxa"/>
            <w:gridSpan w:val="5"/>
            <w:noWrap w:val="0"/>
            <w:vAlign w:val="center"/>
          </w:tcPr>
          <w:p w14:paraId="1321A44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长期例行监测数据□</w:t>
            </w:r>
          </w:p>
        </w:tc>
        <w:tc>
          <w:tcPr>
            <w:tcW w:w="1705" w:type="dxa"/>
            <w:gridSpan w:val="7"/>
            <w:noWrap w:val="0"/>
            <w:vAlign w:val="center"/>
          </w:tcPr>
          <w:p w14:paraId="7C962FE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主管部门发布的数据☑</w:t>
            </w:r>
          </w:p>
        </w:tc>
        <w:tc>
          <w:tcPr>
            <w:tcW w:w="1705" w:type="dxa"/>
            <w:gridSpan w:val="5"/>
            <w:noWrap w:val="0"/>
            <w:vAlign w:val="center"/>
          </w:tcPr>
          <w:p w14:paraId="1A5FFDA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现状补充监测□</w:t>
            </w:r>
          </w:p>
        </w:tc>
      </w:tr>
      <w:tr w14:paraId="17CFF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vMerge w:val="continue"/>
            <w:noWrap w:val="0"/>
            <w:vAlign w:val="center"/>
          </w:tcPr>
          <w:p w14:paraId="7841F7C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1836" w:type="dxa"/>
            <w:noWrap w:val="0"/>
            <w:vAlign w:val="center"/>
          </w:tcPr>
          <w:p w14:paraId="5335D55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现状评价</w:t>
            </w:r>
          </w:p>
        </w:tc>
        <w:tc>
          <w:tcPr>
            <w:tcW w:w="3119" w:type="dxa"/>
            <w:gridSpan w:val="9"/>
            <w:noWrap w:val="0"/>
            <w:vAlign w:val="center"/>
          </w:tcPr>
          <w:p w14:paraId="18DA8CB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达标区□</w:t>
            </w:r>
          </w:p>
        </w:tc>
        <w:tc>
          <w:tcPr>
            <w:tcW w:w="2458" w:type="dxa"/>
            <w:gridSpan w:val="8"/>
            <w:noWrap w:val="0"/>
            <w:vAlign w:val="center"/>
          </w:tcPr>
          <w:p w14:paraId="53D9962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不达标区☑</w:t>
            </w:r>
          </w:p>
        </w:tc>
      </w:tr>
      <w:tr w14:paraId="3CF02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noWrap w:val="0"/>
            <w:vAlign w:val="center"/>
          </w:tcPr>
          <w:p w14:paraId="0B87805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污染源调查</w:t>
            </w:r>
          </w:p>
        </w:tc>
        <w:tc>
          <w:tcPr>
            <w:tcW w:w="1836" w:type="dxa"/>
            <w:noWrap w:val="0"/>
            <w:vAlign w:val="center"/>
          </w:tcPr>
          <w:p w14:paraId="3891F0E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调查内容</w:t>
            </w:r>
          </w:p>
        </w:tc>
        <w:tc>
          <w:tcPr>
            <w:tcW w:w="2167" w:type="dxa"/>
            <w:gridSpan w:val="5"/>
            <w:noWrap w:val="0"/>
            <w:vAlign w:val="center"/>
          </w:tcPr>
          <w:p w14:paraId="372E13F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本项目正常排放源☑</w:t>
            </w:r>
          </w:p>
          <w:p w14:paraId="129C7F3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本项目正常排放源□</w:t>
            </w:r>
          </w:p>
          <w:p w14:paraId="1C78ABD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现有污染源□</w:t>
            </w:r>
          </w:p>
        </w:tc>
        <w:tc>
          <w:tcPr>
            <w:tcW w:w="952" w:type="dxa"/>
            <w:gridSpan w:val="4"/>
            <w:noWrap w:val="0"/>
            <w:vAlign w:val="center"/>
          </w:tcPr>
          <w:p w14:paraId="6D7AF13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拟替代的污染源□</w:t>
            </w:r>
          </w:p>
        </w:tc>
        <w:tc>
          <w:tcPr>
            <w:tcW w:w="1321" w:type="dxa"/>
            <w:gridSpan w:val="6"/>
            <w:noWrap w:val="0"/>
            <w:vAlign w:val="center"/>
          </w:tcPr>
          <w:p w14:paraId="2B1307F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其他在建、拟建项目污染源□</w:t>
            </w:r>
          </w:p>
        </w:tc>
        <w:tc>
          <w:tcPr>
            <w:tcW w:w="1137" w:type="dxa"/>
            <w:gridSpan w:val="2"/>
            <w:noWrap w:val="0"/>
            <w:vAlign w:val="center"/>
          </w:tcPr>
          <w:p w14:paraId="05EE2E0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区域污染源□</w:t>
            </w:r>
          </w:p>
        </w:tc>
      </w:tr>
      <w:tr w14:paraId="34603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vMerge w:val="restart"/>
            <w:noWrap w:val="0"/>
            <w:vAlign w:val="center"/>
          </w:tcPr>
          <w:p w14:paraId="4AC0DB9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大气环境影响预测与评价</w:t>
            </w:r>
          </w:p>
        </w:tc>
        <w:tc>
          <w:tcPr>
            <w:tcW w:w="1836" w:type="dxa"/>
            <w:noWrap w:val="0"/>
            <w:vAlign w:val="center"/>
          </w:tcPr>
          <w:p w14:paraId="2C3C714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预测模型</w:t>
            </w:r>
          </w:p>
        </w:tc>
        <w:tc>
          <w:tcPr>
            <w:tcW w:w="796" w:type="dxa"/>
            <w:noWrap w:val="0"/>
            <w:vAlign w:val="center"/>
          </w:tcPr>
          <w:p w14:paraId="521B3DE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AERMOD□</w:t>
            </w:r>
          </w:p>
        </w:tc>
        <w:tc>
          <w:tcPr>
            <w:tcW w:w="796" w:type="dxa"/>
            <w:gridSpan w:val="3"/>
            <w:noWrap w:val="0"/>
            <w:vAlign w:val="center"/>
          </w:tcPr>
          <w:p w14:paraId="6FEE97A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ADMS□</w:t>
            </w:r>
          </w:p>
        </w:tc>
        <w:tc>
          <w:tcPr>
            <w:tcW w:w="796" w:type="dxa"/>
            <w:gridSpan w:val="2"/>
            <w:noWrap w:val="0"/>
            <w:vAlign w:val="center"/>
          </w:tcPr>
          <w:p w14:paraId="7851FF9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AUTAL2000□</w:t>
            </w:r>
          </w:p>
        </w:tc>
        <w:tc>
          <w:tcPr>
            <w:tcW w:w="796" w:type="dxa"/>
            <w:gridSpan w:val="4"/>
            <w:noWrap w:val="0"/>
            <w:vAlign w:val="center"/>
          </w:tcPr>
          <w:p w14:paraId="646A993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EDMS/AEDT□</w:t>
            </w:r>
          </w:p>
        </w:tc>
        <w:tc>
          <w:tcPr>
            <w:tcW w:w="796" w:type="dxa"/>
            <w:gridSpan w:val="3"/>
            <w:noWrap w:val="0"/>
            <w:vAlign w:val="center"/>
          </w:tcPr>
          <w:p w14:paraId="35CE529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CALPUFF□</w:t>
            </w:r>
          </w:p>
        </w:tc>
        <w:tc>
          <w:tcPr>
            <w:tcW w:w="796" w:type="dxa"/>
            <w:gridSpan w:val="3"/>
            <w:noWrap w:val="0"/>
            <w:vAlign w:val="center"/>
          </w:tcPr>
          <w:p w14:paraId="32FA151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网络模型□</w:t>
            </w:r>
          </w:p>
        </w:tc>
        <w:tc>
          <w:tcPr>
            <w:tcW w:w="801" w:type="dxa"/>
            <w:noWrap w:val="0"/>
            <w:vAlign w:val="center"/>
          </w:tcPr>
          <w:p w14:paraId="2F877E0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其他□</w:t>
            </w:r>
          </w:p>
        </w:tc>
      </w:tr>
      <w:tr w14:paraId="23C4E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vMerge w:val="continue"/>
            <w:noWrap w:val="0"/>
            <w:vAlign w:val="center"/>
          </w:tcPr>
          <w:p w14:paraId="09B985B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1836" w:type="dxa"/>
            <w:noWrap w:val="0"/>
            <w:vAlign w:val="center"/>
          </w:tcPr>
          <w:p w14:paraId="24F2D6C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预测范围</w:t>
            </w:r>
          </w:p>
        </w:tc>
        <w:tc>
          <w:tcPr>
            <w:tcW w:w="2167" w:type="dxa"/>
            <w:gridSpan w:val="5"/>
            <w:noWrap w:val="0"/>
            <w:vAlign w:val="center"/>
          </w:tcPr>
          <w:p w14:paraId="46FD1CA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边长≥50km□</w:t>
            </w:r>
          </w:p>
        </w:tc>
        <w:tc>
          <w:tcPr>
            <w:tcW w:w="1705" w:type="dxa"/>
            <w:gridSpan w:val="7"/>
            <w:noWrap w:val="0"/>
            <w:vAlign w:val="center"/>
          </w:tcPr>
          <w:p w14:paraId="77D4827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边长5~50km□</w:t>
            </w:r>
          </w:p>
        </w:tc>
        <w:tc>
          <w:tcPr>
            <w:tcW w:w="1705" w:type="dxa"/>
            <w:gridSpan w:val="5"/>
            <w:noWrap w:val="0"/>
            <w:vAlign w:val="center"/>
          </w:tcPr>
          <w:p w14:paraId="0909A53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边长=5km□</w:t>
            </w:r>
          </w:p>
        </w:tc>
      </w:tr>
      <w:tr w14:paraId="4C98E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vMerge w:val="continue"/>
            <w:noWrap w:val="0"/>
            <w:vAlign w:val="center"/>
          </w:tcPr>
          <w:p w14:paraId="412D138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1836" w:type="dxa"/>
            <w:noWrap w:val="0"/>
            <w:vAlign w:val="center"/>
          </w:tcPr>
          <w:p w14:paraId="68844ED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预测因子</w:t>
            </w:r>
          </w:p>
        </w:tc>
        <w:tc>
          <w:tcPr>
            <w:tcW w:w="2475" w:type="dxa"/>
            <w:gridSpan w:val="7"/>
            <w:noWrap w:val="0"/>
            <w:vAlign w:val="center"/>
          </w:tcPr>
          <w:p w14:paraId="79BB7A0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预测因子（   ）</w:t>
            </w:r>
          </w:p>
        </w:tc>
        <w:tc>
          <w:tcPr>
            <w:tcW w:w="3102" w:type="dxa"/>
            <w:gridSpan w:val="10"/>
            <w:noWrap w:val="0"/>
            <w:vAlign w:val="center"/>
          </w:tcPr>
          <w:p w14:paraId="55F5F7A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包括二次PM</w:t>
            </w:r>
            <w:r>
              <w:rPr>
                <w:rFonts w:hint="default" w:ascii="Times New Roman" w:hAnsi="Times New Roman" w:eastAsia="宋体" w:cs="Times New Roman"/>
                <w:color w:val="auto"/>
                <w:sz w:val="21"/>
                <w:szCs w:val="21"/>
                <w:vertAlign w:val="subscript"/>
                <w:lang w:val="en-US" w:eastAsia="zh-CN"/>
              </w:rPr>
              <w:t>2.5</w:t>
            </w:r>
            <w:r>
              <w:rPr>
                <w:rFonts w:hint="default" w:ascii="Times New Roman" w:hAnsi="Times New Roman" w:eastAsia="宋体" w:cs="Times New Roman"/>
                <w:color w:val="auto"/>
                <w:sz w:val="21"/>
                <w:szCs w:val="21"/>
                <w:lang w:val="en-US" w:eastAsia="zh-CN"/>
              </w:rPr>
              <w:t>□</w:t>
            </w:r>
          </w:p>
          <w:p w14:paraId="5E7A113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不包括二次PM</w:t>
            </w:r>
            <w:r>
              <w:rPr>
                <w:rFonts w:hint="default" w:ascii="Times New Roman" w:hAnsi="Times New Roman" w:eastAsia="宋体" w:cs="Times New Roman"/>
                <w:color w:val="auto"/>
                <w:sz w:val="21"/>
                <w:szCs w:val="21"/>
                <w:vertAlign w:val="subscript"/>
                <w:lang w:val="en-US" w:eastAsia="zh-CN"/>
              </w:rPr>
              <w:t>2.5</w:t>
            </w:r>
            <w:r>
              <w:rPr>
                <w:rFonts w:hint="default" w:ascii="Times New Roman" w:hAnsi="Times New Roman" w:eastAsia="宋体" w:cs="Times New Roman"/>
                <w:color w:val="auto"/>
                <w:sz w:val="21"/>
                <w:szCs w:val="21"/>
                <w:lang w:val="en-US" w:eastAsia="zh-CN"/>
              </w:rPr>
              <w:t>□</w:t>
            </w:r>
          </w:p>
        </w:tc>
      </w:tr>
      <w:tr w14:paraId="14B6B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vMerge w:val="continue"/>
            <w:noWrap w:val="0"/>
            <w:vAlign w:val="center"/>
          </w:tcPr>
          <w:p w14:paraId="5DAF3F4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1836" w:type="dxa"/>
            <w:noWrap w:val="0"/>
            <w:vAlign w:val="center"/>
          </w:tcPr>
          <w:p w14:paraId="5F256A2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正常排放短期</w:t>
            </w:r>
          </w:p>
        </w:tc>
        <w:tc>
          <w:tcPr>
            <w:tcW w:w="2475" w:type="dxa"/>
            <w:gridSpan w:val="7"/>
            <w:noWrap w:val="0"/>
            <w:vAlign w:val="center"/>
          </w:tcPr>
          <w:p w14:paraId="6E26251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浓度贡献值C本项目最大占标率≤100%□</w:t>
            </w:r>
          </w:p>
        </w:tc>
        <w:tc>
          <w:tcPr>
            <w:tcW w:w="3102" w:type="dxa"/>
            <w:gridSpan w:val="10"/>
            <w:noWrap w:val="0"/>
            <w:vAlign w:val="center"/>
          </w:tcPr>
          <w:p w14:paraId="2C458BD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C本项目最大占标率≥100%□</w:t>
            </w:r>
          </w:p>
        </w:tc>
      </w:tr>
      <w:tr w14:paraId="0B7D5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vMerge w:val="continue"/>
            <w:noWrap w:val="0"/>
            <w:vAlign w:val="center"/>
          </w:tcPr>
          <w:p w14:paraId="0F7848D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1836" w:type="dxa"/>
            <w:vMerge w:val="restart"/>
            <w:noWrap w:val="0"/>
            <w:vAlign w:val="center"/>
          </w:tcPr>
          <w:p w14:paraId="2047AF2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正常排放年均</w:t>
            </w:r>
          </w:p>
          <w:p w14:paraId="62F6894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浓度贡献值</w:t>
            </w:r>
          </w:p>
        </w:tc>
        <w:tc>
          <w:tcPr>
            <w:tcW w:w="848" w:type="dxa"/>
            <w:gridSpan w:val="2"/>
            <w:noWrap w:val="0"/>
            <w:vAlign w:val="center"/>
          </w:tcPr>
          <w:p w14:paraId="01BB9A7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一类区</w:t>
            </w:r>
          </w:p>
        </w:tc>
        <w:tc>
          <w:tcPr>
            <w:tcW w:w="2606" w:type="dxa"/>
            <w:gridSpan w:val="9"/>
            <w:noWrap w:val="0"/>
            <w:vAlign w:val="center"/>
          </w:tcPr>
          <w:p w14:paraId="3A6452B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C 本项目最大占标率≤100%□</w:t>
            </w:r>
          </w:p>
        </w:tc>
        <w:tc>
          <w:tcPr>
            <w:tcW w:w="2123" w:type="dxa"/>
            <w:gridSpan w:val="6"/>
            <w:noWrap w:val="0"/>
            <w:vAlign w:val="center"/>
          </w:tcPr>
          <w:p w14:paraId="1C00A7F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C本项目最大占标率≥100%□</w:t>
            </w:r>
          </w:p>
        </w:tc>
      </w:tr>
      <w:tr w14:paraId="7B7B6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vMerge w:val="continue"/>
            <w:noWrap w:val="0"/>
            <w:vAlign w:val="center"/>
          </w:tcPr>
          <w:p w14:paraId="0681E48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1836" w:type="dxa"/>
            <w:vMerge w:val="continue"/>
            <w:noWrap w:val="0"/>
            <w:vAlign w:val="center"/>
          </w:tcPr>
          <w:p w14:paraId="71384A7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848" w:type="dxa"/>
            <w:gridSpan w:val="2"/>
            <w:noWrap w:val="0"/>
            <w:vAlign w:val="center"/>
          </w:tcPr>
          <w:p w14:paraId="2D38D57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二类区</w:t>
            </w:r>
          </w:p>
        </w:tc>
        <w:tc>
          <w:tcPr>
            <w:tcW w:w="2606" w:type="dxa"/>
            <w:gridSpan w:val="9"/>
            <w:noWrap w:val="0"/>
            <w:vAlign w:val="center"/>
          </w:tcPr>
          <w:p w14:paraId="4ECEB40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C 本项目最大占标率≤100%☑</w:t>
            </w:r>
          </w:p>
        </w:tc>
        <w:tc>
          <w:tcPr>
            <w:tcW w:w="2123" w:type="dxa"/>
            <w:gridSpan w:val="6"/>
            <w:noWrap w:val="0"/>
            <w:vAlign w:val="center"/>
          </w:tcPr>
          <w:p w14:paraId="466A798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C本项目最大占标率≥100%□</w:t>
            </w:r>
          </w:p>
        </w:tc>
      </w:tr>
      <w:tr w14:paraId="4EF25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vMerge w:val="continue"/>
            <w:noWrap w:val="0"/>
            <w:vAlign w:val="center"/>
          </w:tcPr>
          <w:p w14:paraId="1B075FA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1836" w:type="dxa"/>
            <w:noWrap w:val="0"/>
            <w:vAlign w:val="center"/>
          </w:tcPr>
          <w:p w14:paraId="5F98369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非正常排放1h浓度贡献值</w:t>
            </w:r>
          </w:p>
        </w:tc>
        <w:tc>
          <w:tcPr>
            <w:tcW w:w="2167" w:type="dxa"/>
            <w:gridSpan w:val="5"/>
            <w:noWrap w:val="0"/>
            <w:vAlign w:val="center"/>
          </w:tcPr>
          <w:p w14:paraId="086EF88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非正常持续时长（）h</w:t>
            </w:r>
          </w:p>
        </w:tc>
        <w:tc>
          <w:tcPr>
            <w:tcW w:w="1705" w:type="dxa"/>
            <w:gridSpan w:val="7"/>
            <w:noWrap w:val="0"/>
            <w:vAlign w:val="center"/>
          </w:tcPr>
          <w:p w14:paraId="7704C81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C 本项目最大占标率≤100%□</w:t>
            </w:r>
          </w:p>
        </w:tc>
        <w:tc>
          <w:tcPr>
            <w:tcW w:w="1705" w:type="dxa"/>
            <w:gridSpan w:val="5"/>
            <w:noWrap w:val="0"/>
            <w:vAlign w:val="center"/>
          </w:tcPr>
          <w:p w14:paraId="5AA2AB4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C 本项目最大占标率≥100%□</w:t>
            </w:r>
          </w:p>
        </w:tc>
      </w:tr>
      <w:tr w14:paraId="6A916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vMerge w:val="continue"/>
            <w:noWrap w:val="0"/>
            <w:vAlign w:val="center"/>
          </w:tcPr>
          <w:p w14:paraId="7BE61ED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1836" w:type="dxa"/>
            <w:noWrap w:val="0"/>
            <w:vAlign w:val="center"/>
          </w:tcPr>
          <w:p w14:paraId="1AA850E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保证率日平均浓度和年平均浓度叠加值</w:t>
            </w:r>
          </w:p>
        </w:tc>
        <w:tc>
          <w:tcPr>
            <w:tcW w:w="2475" w:type="dxa"/>
            <w:gridSpan w:val="7"/>
            <w:noWrap w:val="0"/>
            <w:vAlign w:val="center"/>
          </w:tcPr>
          <w:p w14:paraId="5043DAB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C叠加达标□</w:t>
            </w:r>
          </w:p>
        </w:tc>
        <w:tc>
          <w:tcPr>
            <w:tcW w:w="3102" w:type="dxa"/>
            <w:gridSpan w:val="10"/>
            <w:noWrap w:val="0"/>
            <w:vAlign w:val="center"/>
          </w:tcPr>
          <w:p w14:paraId="269D164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C叠加不达标□</w:t>
            </w:r>
          </w:p>
        </w:tc>
      </w:tr>
      <w:tr w14:paraId="0F3EF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vMerge w:val="continue"/>
            <w:noWrap w:val="0"/>
            <w:vAlign w:val="center"/>
          </w:tcPr>
          <w:p w14:paraId="018250B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1836" w:type="dxa"/>
            <w:noWrap w:val="0"/>
            <w:vAlign w:val="center"/>
          </w:tcPr>
          <w:p w14:paraId="2F44C9F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区域环境质量的整体变化情况</w:t>
            </w:r>
          </w:p>
        </w:tc>
        <w:tc>
          <w:tcPr>
            <w:tcW w:w="2475" w:type="dxa"/>
            <w:gridSpan w:val="7"/>
            <w:noWrap w:val="0"/>
            <w:vAlign w:val="center"/>
          </w:tcPr>
          <w:p w14:paraId="65024FD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k≤-20%□</w:t>
            </w:r>
          </w:p>
        </w:tc>
        <w:tc>
          <w:tcPr>
            <w:tcW w:w="3102" w:type="dxa"/>
            <w:gridSpan w:val="10"/>
            <w:noWrap w:val="0"/>
            <w:vAlign w:val="center"/>
          </w:tcPr>
          <w:p w14:paraId="64AD0D7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k≥-20%□</w:t>
            </w:r>
          </w:p>
        </w:tc>
      </w:tr>
      <w:tr w14:paraId="4246B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vMerge w:val="restart"/>
            <w:noWrap w:val="0"/>
            <w:vAlign w:val="center"/>
          </w:tcPr>
          <w:p w14:paraId="0140800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环境监测计划</w:t>
            </w:r>
          </w:p>
        </w:tc>
        <w:tc>
          <w:tcPr>
            <w:tcW w:w="1836" w:type="dxa"/>
            <w:noWrap w:val="0"/>
            <w:vAlign w:val="center"/>
          </w:tcPr>
          <w:p w14:paraId="7F5BD70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污染源监测</w:t>
            </w:r>
          </w:p>
        </w:tc>
        <w:tc>
          <w:tcPr>
            <w:tcW w:w="2167" w:type="dxa"/>
            <w:gridSpan w:val="5"/>
            <w:noWrap w:val="0"/>
            <w:vAlign w:val="center"/>
          </w:tcPr>
          <w:p w14:paraId="4677AD3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监测因子：（TSP）</w:t>
            </w:r>
          </w:p>
        </w:tc>
        <w:tc>
          <w:tcPr>
            <w:tcW w:w="1705" w:type="dxa"/>
            <w:gridSpan w:val="7"/>
            <w:noWrap w:val="0"/>
            <w:vAlign w:val="center"/>
          </w:tcPr>
          <w:p w14:paraId="4F2082A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有组织废气监测□</w:t>
            </w:r>
          </w:p>
          <w:p w14:paraId="0294216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无组织废气监测☑</w:t>
            </w:r>
          </w:p>
        </w:tc>
        <w:tc>
          <w:tcPr>
            <w:tcW w:w="1705" w:type="dxa"/>
            <w:gridSpan w:val="5"/>
            <w:noWrap w:val="0"/>
            <w:vAlign w:val="center"/>
          </w:tcPr>
          <w:p w14:paraId="7A01F98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无监测□</w:t>
            </w:r>
          </w:p>
        </w:tc>
      </w:tr>
      <w:tr w14:paraId="6AA64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vMerge w:val="continue"/>
            <w:noWrap w:val="0"/>
            <w:vAlign w:val="center"/>
          </w:tcPr>
          <w:p w14:paraId="7648A81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1836" w:type="dxa"/>
            <w:noWrap w:val="0"/>
            <w:vAlign w:val="center"/>
          </w:tcPr>
          <w:p w14:paraId="0B42E1D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环境质量监测</w:t>
            </w:r>
          </w:p>
        </w:tc>
        <w:tc>
          <w:tcPr>
            <w:tcW w:w="2167" w:type="dxa"/>
            <w:gridSpan w:val="5"/>
            <w:noWrap w:val="0"/>
            <w:vAlign w:val="center"/>
          </w:tcPr>
          <w:p w14:paraId="3BDC7D0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监测因子：（  ）</w:t>
            </w:r>
          </w:p>
        </w:tc>
        <w:tc>
          <w:tcPr>
            <w:tcW w:w="1705" w:type="dxa"/>
            <w:gridSpan w:val="7"/>
            <w:noWrap w:val="0"/>
            <w:vAlign w:val="center"/>
          </w:tcPr>
          <w:p w14:paraId="422CB42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有组织废气监测□</w:t>
            </w:r>
          </w:p>
          <w:p w14:paraId="366E306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无组织废气监测□</w:t>
            </w:r>
          </w:p>
        </w:tc>
        <w:tc>
          <w:tcPr>
            <w:tcW w:w="1705" w:type="dxa"/>
            <w:gridSpan w:val="5"/>
            <w:noWrap w:val="0"/>
            <w:vAlign w:val="center"/>
          </w:tcPr>
          <w:p w14:paraId="290BABB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无监测□</w:t>
            </w:r>
          </w:p>
        </w:tc>
      </w:tr>
      <w:tr w14:paraId="2124B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vMerge w:val="restart"/>
            <w:noWrap w:val="0"/>
            <w:vAlign w:val="center"/>
          </w:tcPr>
          <w:p w14:paraId="0903AA6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评价结论</w:t>
            </w:r>
          </w:p>
        </w:tc>
        <w:tc>
          <w:tcPr>
            <w:tcW w:w="1836" w:type="dxa"/>
            <w:noWrap w:val="0"/>
            <w:vAlign w:val="center"/>
          </w:tcPr>
          <w:p w14:paraId="7415F41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环境影响</w:t>
            </w:r>
          </w:p>
        </w:tc>
        <w:tc>
          <w:tcPr>
            <w:tcW w:w="5577" w:type="dxa"/>
            <w:gridSpan w:val="17"/>
            <w:noWrap w:val="0"/>
            <w:vAlign w:val="center"/>
          </w:tcPr>
          <w:p w14:paraId="000A53C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可以接受☑ 不可以接受□</w:t>
            </w:r>
          </w:p>
        </w:tc>
      </w:tr>
      <w:tr w14:paraId="118CC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vMerge w:val="continue"/>
            <w:noWrap w:val="0"/>
            <w:vAlign w:val="center"/>
          </w:tcPr>
          <w:p w14:paraId="446C628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1836" w:type="dxa"/>
            <w:noWrap w:val="0"/>
            <w:vAlign w:val="center"/>
          </w:tcPr>
          <w:p w14:paraId="59047F0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大气环境防护</w:t>
            </w:r>
          </w:p>
        </w:tc>
        <w:tc>
          <w:tcPr>
            <w:tcW w:w="5577" w:type="dxa"/>
            <w:gridSpan w:val="17"/>
            <w:noWrap w:val="0"/>
            <w:vAlign w:val="center"/>
          </w:tcPr>
          <w:p w14:paraId="137F127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距离距（东、南、西、北）厂界最远（500）m</w:t>
            </w:r>
          </w:p>
        </w:tc>
      </w:tr>
      <w:tr w14:paraId="29CE7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vMerge w:val="continue"/>
            <w:noWrap w:val="0"/>
            <w:vAlign w:val="center"/>
          </w:tcPr>
          <w:p w14:paraId="7620457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1836" w:type="dxa"/>
            <w:vMerge w:val="restart"/>
            <w:noWrap w:val="0"/>
            <w:vAlign w:val="center"/>
          </w:tcPr>
          <w:p w14:paraId="18D121F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污染源年排放量</w:t>
            </w:r>
          </w:p>
        </w:tc>
        <w:tc>
          <w:tcPr>
            <w:tcW w:w="5577" w:type="dxa"/>
            <w:gridSpan w:val="17"/>
            <w:noWrap w:val="0"/>
            <w:vAlign w:val="center"/>
          </w:tcPr>
          <w:p w14:paraId="548CC07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无组织排放总量</w:t>
            </w:r>
          </w:p>
        </w:tc>
      </w:tr>
      <w:tr w14:paraId="73D41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9" w:type="dxa"/>
            <w:vMerge w:val="continue"/>
            <w:noWrap w:val="0"/>
            <w:vAlign w:val="center"/>
          </w:tcPr>
          <w:p w14:paraId="2691AB9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1836" w:type="dxa"/>
            <w:vMerge w:val="continue"/>
            <w:noWrap w:val="0"/>
            <w:vAlign w:val="center"/>
          </w:tcPr>
          <w:p w14:paraId="3A7B490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c>
          <w:tcPr>
            <w:tcW w:w="1394" w:type="dxa"/>
            <w:gridSpan w:val="3"/>
            <w:noWrap w:val="0"/>
            <w:vAlign w:val="center"/>
          </w:tcPr>
          <w:p w14:paraId="3DF407F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SO</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lang w:val="en-US" w:eastAsia="zh-CN"/>
              </w:rPr>
              <w:t>（ ）t/a</w:t>
            </w:r>
          </w:p>
        </w:tc>
        <w:tc>
          <w:tcPr>
            <w:tcW w:w="1394" w:type="dxa"/>
            <w:gridSpan w:val="5"/>
            <w:noWrap w:val="0"/>
            <w:vAlign w:val="center"/>
          </w:tcPr>
          <w:p w14:paraId="4B34851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NO</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lang w:val="en-US" w:eastAsia="zh-CN"/>
              </w:rPr>
              <w:t>（ ）t/a</w:t>
            </w:r>
          </w:p>
        </w:tc>
        <w:tc>
          <w:tcPr>
            <w:tcW w:w="1394" w:type="dxa"/>
            <w:gridSpan w:val="6"/>
            <w:noWrap w:val="0"/>
            <w:vAlign w:val="center"/>
          </w:tcPr>
          <w:p w14:paraId="6BC830D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颗粒物（ ）t/a</w:t>
            </w:r>
          </w:p>
        </w:tc>
        <w:tc>
          <w:tcPr>
            <w:tcW w:w="1395" w:type="dxa"/>
            <w:gridSpan w:val="3"/>
            <w:noWrap w:val="0"/>
            <w:vAlign w:val="center"/>
          </w:tcPr>
          <w:p w14:paraId="595F191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VOCs（ ）t/a</w:t>
            </w:r>
          </w:p>
        </w:tc>
      </w:tr>
      <w:tr w14:paraId="29007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22" w:type="dxa"/>
            <w:gridSpan w:val="19"/>
            <w:noWrap w:val="0"/>
            <w:vAlign w:val="center"/>
          </w:tcPr>
          <w:p w14:paraId="3CE57C2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注：“□”为勾选项，填“√”；“（）”为内容填写项</w:t>
            </w:r>
          </w:p>
        </w:tc>
      </w:tr>
    </w:tbl>
    <w:p w14:paraId="2E4D04FB">
      <w:pPr>
        <w:pStyle w:val="4"/>
        <w:keepNext/>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5.2.3 大气环境影响评价结论</w:t>
      </w:r>
    </w:p>
    <w:p w14:paraId="7F668DB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本项目施工期的大气污染主要来自扬尘污染和沥青烟气污染。采取设置围挡、施工现场洒水、</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站合理选址、</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设备全封闭作业及安装除尘设备等措施，可以有效降低施工期施工扬尘、沥青烟气对沿线大气环境的影响。由于施工是暂时的，随着施工的结束，上述环境影响也将消失。因此，在采取上述污染防治措施的情况下，本项目施工期大气污染物排放对沿线敏感点的影响处于可以接受的程度。</w:t>
      </w:r>
    </w:p>
    <w:p w14:paraId="0C684983">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本项目运营期收费站、</w:t>
      </w:r>
      <w:r>
        <w:rPr>
          <w:rFonts w:hint="default" w:ascii="Times New Roman" w:hAnsi="Times New Roman" w:cs="Times New Roman"/>
          <w:color w:val="auto"/>
          <w:kern w:val="0"/>
          <w:sz w:val="24"/>
          <w:szCs w:val="24"/>
          <w:lang w:val="en-US" w:eastAsia="zh-CN" w:bidi="ar"/>
        </w:rPr>
        <w:t>隧道管理站</w:t>
      </w:r>
      <w:r>
        <w:rPr>
          <w:rFonts w:hint="default" w:ascii="Times New Roman" w:hAnsi="Times New Roman" w:eastAsia="宋体" w:cs="Times New Roman"/>
          <w:color w:val="auto"/>
          <w:kern w:val="0"/>
          <w:sz w:val="24"/>
          <w:szCs w:val="24"/>
          <w:lang w:val="en-US" w:eastAsia="zh-CN" w:bidi="ar"/>
        </w:rPr>
        <w:t>使用电锅炉供暖，不设置服务区和停车区，本项目对周边环境空气质量影响较小，在营运中期和远期由于环保型清洁燃料的大规模使用及车辆排放执行标准的提高，对空气的影响也将会进一步降低。高速公路尾气排放对沿线地区环境影响可接受。</w:t>
      </w:r>
    </w:p>
    <w:p w14:paraId="292ABB5E">
      <w:pPr>
        <w:pStyle w:val="3"/>
        <w:numPr>
          <w:ilvl w:val="1"/>
          <w:numId w:val="0"/>
        </w:numPr>
        <w:bidi w:val="0"/>
        <w:rPr>
          <w:rFonts w:hint="default" w:ascii="Times New Roman" w:hAnsi="Times New Roman" w:cs="Times New Roman"/>
          <w:color w:val="auto"/>
        </w:rPr>
      </w:pPr>
      <w:bookmarkStart w:id="1264" w:name="_Toc5849"/>
      <w:bookmarkStart w:id="1265" w:name="_Toc27116"/>
      <w:bookmarkStart w:id="1266" w:name="_Toc32431"/>
      <w:bookmarkStart w:id="1267" w:name="_Toc30416"/>
      <w:bookmarkStart w:id="1268" w:name="_Toc29501"/>
      <w:bookmarkStart w:id="1269" w:name="_Toc26417"/>
      <w:bookmarkStart w:id="1270" w:name="_Toc15255"/>
      <w:bookmarkStart w:id="1271" w:name="_Toc21133"/>
      <w:bookmarkStart w:id="1272" w:name="_Toc19789"/>
      <w:bookmarkStart w:id="1273" w:name="_Toc14690"/>
      <w:r>
        <w:rPr>
          <w:rFonts w:hint="default" w:ascii="Times New Roman" w:hAnsi="Times New Roman" w:cs="Times New Roman"/>
          <w:color w:val="auto"/>
          <w:lang w:val="en-US" w:eastAsia="zh-CN"/>
        </w:rPr>
        <w:t>5.3 声环境影响预测与评价</w:t>
      </w:r>
      <w:bookmarkEnd w:id="1264"/>
      <w:bookmarkEnd w:id="1265"/>
      <w:bookmarkEnd w:id="1266"/>
      <w:bookmarkEnd w:id="1267"/>
      <w:bookmarkEnd w:id="1268"/>
      <w:bookmarkEnd w:id="1269"/>
      <w:bookmarkEnd w:id="1270"/>
      <w:bookmarkEnd w:id="1271"/>
      <w:bookmarkEnd w:id="1272"/>
      <w:bookmarkEnd w:id="1273"/>
    </w:p>
    <w:p w14:paraId="66FA92CD">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5.3.1 施工期噪声预测与评价</w:t>
      </w:r>
    </w:p>
    <w:p w14:paraId="332E745B">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5.3.1.1 施工期噪声源分析</w:t>
      </w:r>
    </w:p>
    <w:p w14:paraId="55AFD97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（1）施工期噪声污染源及其特点</w:t>
      </w:r>
    </w:p>
    <w:p w14:paraId="19A18F6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公路施工期噪声主要来源于施工机械、运输车辆和场站辐射的噪声，施工噪声类型具体可区分为以下两大类：公路施工现场机械噪声、施工场站的噪声。</w:t>
      </w:r>
    </w:p>
    <w:p w14:paraId="4B79104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公路建设项目所用的机械设备种类繁多，据实际调查，目前道路建设施工工程使用的机械主要有：挖掘机、推土机、平地机、搅拌机、压路机、装载机、摊铺机等。不同设备的噪声源特性不同，其中有些设备噪声呈振动式的、突发的及脉冲特性的，对人的影响较大；有些设备（如搅拌机）频率低沉，不易衰减，易使人感觉烦躁；施工机械的噪声均较大，但它们之间声级相差仍很大，有些设备的运行噪声可高达90dB左右。</w:t>
      </w:r>
    </w:p>
    <w:p w14:paraId="556EB26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公路建设期噪声的特点施工噪声源与一般的固定噪声源及流动噪声源有所不同，施工机械往往都是暴露在室外的，而且它们会在某段时间内在一定</w:t>
      </w:r>
      <w:r>
        <w:rPr>
          <w:rFonts w:hint="default" w:ascii="Times New Roman" w:hAnsi="Times New Roman" w:cs="Times New Roman"/>
          <w:color w:val="auto"/>
          <w:kern w:val="0"/>
          <w:sz w:val="24"/>
          <w:szCs w:val="24"/>
          <w:lang w:val="en-US" w:eastAsia="zh-CN" w:bidi="ar"/>
        </w:rPr>
        <w:t>的</w:t>
      </w:r>
      <w:r>
        <w:rPr>
          <w:rFonts w:hint="default" w:ascii="Times New Roman" w:hAnsi="Times New Roman" w:eastAsia="宋体" w:cs="Times New Roman"/>
          <w:color w:val="auto"/>
          <w:kern w:val="0"/>
          <w:sz w:val="24"/>
          <w:szCs w:val="24"/>
          <w:lang w:val="en-US" w:eastAsia="zh-CN" w:bidi="ar"/>
        </w:rPr>
        <w:t>范围内移动，这与固定噪声源相比增加了这段时间内的噪声污染范围，但与流动噪声源相比施工噪声污染还是在局部范围内的。施工机械噪声可视为点声源。</w:t>
      </w:r>
    </w:p>
    <w:p w14:paraId="7B7BB38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（2）施工期不同施工阶段施工噪声源分析</w:t>
      </w:r>
    </w:p>
    <w:p w14:paraId="7805948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根据公路施工特点，可以把施工阶段分为三个阶段，即基础施工、路面施工、交通工程施工。以下分别介绍这三个阶段主</w:t>
      </w:r>
      <w:r>
        <w:rPr>
          <w:rFonts w:hint="default" w:ascii="Times New Roman" w:hAnsi="Times New Roman" w:cs="Times New Roman"/>
          <w:color w:val="auto"/>
          <w:kern w:val="0"/>
          <w:sz w:val="24"/>
          <w:szCs w:val="24"/>
          <w:lang w:val="en-US" w:eastAsia="zh-CN" w:bidi="ar"/>
        </w:rPr>
        <w:t>要使</w:t>
      </w:r>
      <w:r>
        <w:rPr>
          <w:rFonts w:hint="default" w:ascii="Times New Roman" w:hAnsi="Times New Roman" w:eastAsia="宋体" w:cs="Times New Roman"/>
          <w:color w:val="auto"/>
          <w:kern w:val="0"/>
          <w:sz w:val="24"/>
          <w:szCs w:val="24"/>
          <w:lang w:val="en-US" w:eastAsia="zh-CN" w:bidi="ar"/>
        </w:rPr>
        <w:t>用的施工工艺和施工机械。</w:t>
      </w:r>
    </w:p>
    <w:p w14:paraId="65E5C4C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基础施工：这一工序是公路耗时最长、所用施工机械最多、噪声最强的阶段，该阶段主要包括处理地基、路基平整、挖填土方、逐层压实路面等施工工艺，这一过程还伴随着大量运输物料车辆进出施工现场。该阶段需用的施工机械包括装载机、振动式压路机、推土机、平地机、挖掘机等，高架桥路段，还使用打桩机，打桩噪声是非连续的声源，其声级高，对声环境的影响较大。</w:t>
      </w:r>
    </w:p>
    <w:p w14:paraId="3A9E9E8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路面施工：这一工序继路基施工结束后开展，主要是对全线摊铺沥青，用到的施工机械主要是大型沥青摊铺机，根据国内对公路施工期进行的一些噪声监测，该阶段公路施工噪声相对路基施工段微小，距路边50m外的敏感点受到的影响甚小。</w:t>
      </w:r>
    </w:p>
    <w:p w14:paraId="64CA98E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交通工程施工：这一工序主要是对公路的交通通讯设施进行安装、标志标线进行完善，该工序基本不用大型施工机械，因此噪声的影响微小。</w:t>
      </w:r>
    </w:p>
    <w:p w14:paraId="2316A0F4">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隧道施工：本项目隧道施工采用钻爆法，爆破作业将不可避免地产生振动与噪声，对周边环境造成瞬时影响。根据《爆破安全规程》（GB6722-2014）规定，一般隧道、矿山等爆破作业，振动评价范围为300m，本项目起点距离兰干村536m，超出评价范围，说明项目周边无爆破振动、噪声环境保护敏感目标，且项目夜间不施工。施工影响随着施工的结束，噪声振动的影响也随之结束，故项目在施工过程中基本不对外环境造成影响。</w:t>
      </w:r>
    </w:p>
    <w:p w14:paraId="3455FC2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（3）施工噪声源的源强与分布</w:t>
      </w:r>
    </w:p>
    <w:p w14:paraId="4511B90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1）施工期声环境影响预测主要根据有关资料进行类比分析。公路施工经常使用的机械有运输车辆、筑路机、大型搅拌机、钻孔打桩机等，</w:t>
      </w:r>
      <w:r>
        <w:rPr>
          <w:rFonts w:hint="default" w:ascii="Times New Roman" w:hAnsi="Times New Roman" w:cs="Times New Roman"/>
          <w:color w:val="auto"/>
          <w:kern w:val="0"/>
          <w:sz w:val="24"/>
          <w:szCs w:val="24"/>
          <w:lang w:val="en-US" w:eastAsia="zh-CN" w:bidi="ar"/>
        </w:rPr>
        <w:t>其他施工</w:t>
      </w:r>
      <w:r>
        <w:rPr>
          <w:rFonts w:hint="default" w:ascii="Times New Roman" w:hAnsi="Times New Roman" w:eastAsia="宋体" w:cs="Times New Roman"/>
          <w:color w:val="auto"/>
          <w:kern w:val="0"/>
          <w:sz w:val="24"/>
          <w:szCs w:val="24"/>
          <w:lang w:val="en-US" w:eastAsia="zh-CN" w:bidi="ar"/>
        </w:rPr>
        <w:t>机械如空压机、汽锤等均为短期使用。公路主要施工机械施工噪声类比监测结果见下表。</w:t>
      </w:r>
    </w:p>
    <w:p w14:paraId="5D685B81">
      <w:pPr>
        <w:pStyle w:val="39"/>
        <w:bidi w:val="0"/>
        <w:rPr>
          <w:rFonts w:hint="default" w:ascii="Times New Roman" w:hAnsi="Times New Roman" w:cs="Times New Roman"/>
          <w:color w:val="auto"/>
        </w:rPr>
      </w:pPr>
      <w:r>
        <w:rPr>
          <w:rFonts w:hint="default" w:ascii="Times New Roman" w:hAnsi="Times New Roman" w:cs="Times New Roman"/>
          <w:color w:val="auto"/>
          <w:lang w:val="en-US" w:eastAsia="zh-CN"/>
        </w:rPr>
        <w:t>表5.</w:t>
      </w:r>
      <w:r>
        <w:rPr>
          <w:rFonts w:hint="eastAsia" w:cs="Times New Roman"/>
          <w:color w:val="auto"/>
          <w:lang w:val="en-US" w:eastAsia="zh-CN"/>
        </w:rPr>
        <w:t>3</w:t>
      </w:r>
      <w:r>
        <w:rPr>
          <w:rFonts w:hint="default" w:ascii="Times New Roman" w:hAnsi="Times New Roman" w:cs="Times New Roman"/>
          <w:color w:val="auto"/>
          <w:lang w:val="en-US" w:eastAsia="zh-CN"/>
        </w:rPr>
        <w:t>-1 主要施工机械和车辆的噪声级</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9"/>
        <w:gridCol w:w="2033"/>
        <w:gridCol w:w="1233"/>
        <w:gridCol w:w="1609"/>
        <w:gridCol w:w="1102"/>
        <w:gridCol w:w="1742"/>
      </w:tblGrid>
      <w:tr w14:paraId="44E7B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vMerge w:val="restart"/>
            <w:vAlign w:val="center"/>
          </w:tcPr>
          <w:p w14:paraId="4AB4ED1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序号</w:t>
            </w:r>
          </w:p>
        </w:tc>
        <w:tc>
          <w:tcPr>
            <w:tcW w:w="2033" w:type="dxa"/>
            <w:vMerge w:val="restart"/>
            <w:vAlign w:val="center"/>
          </w:tcPr>
          <w:p w14:paraId="7E4428F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施工机械</w:t>
            </w:r>
          </w:p>
        </w:tc>
        <w:tc>
          <w:tcPr>
            <w:tcW w:w="5686" w:type="dxa"/>
            <w:gridSpan w:val="4"/>
            <w:vAlign w:val="center"/>
          </w:tcPr>
          <w:p w14:paraId="657959F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源强</w:t>
            </w:r>
          </w:p>
        </w:tc>
      </w:tr>
      <w:tr w14:paraId="29062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vMerge w:val="continue"/>
            <w:vAlign w:val="center"/>
          </w:tcPr>
          <w:p w14:paraId="62B0C48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p>
        </w:tc>
        <w:tc>
          <w:tcPr>
            <w:tcW w:w="2033" w:type="dxa"/>
            <w:vMerge w:val="continue"/>
            <w:vAlign w:val="center"/>
          </w:tcPr>
          <w:p w14:paraId="1DC2B09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p>
        </w:tc>
        <w:tc>
          <w:tcPr>
            <w:tcW w:w="1233" w:type="dxa"/>
            <w:vAlign w:val="center"/>
          </w:tcPr>
          <w:p w14:paraId="279FE9B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测距（m）</w:t>
            </w:r>
          </w:p>
        </w:tc>
        <w:tc>
          <w:tcPr>
            <w:tcW w:w="1609" w:type="dxa"/>
            <w:vAlign w:val="center"/>
          </w:tcPr>
          <w:p w14:paraId="0563F29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噪声值dB（A）</w:t>
            </w:r>
          </w:p>
        </w:tc>
        <w:tc>
          <w:tcPr>
            <w:tcW w:w="1102" w:type="dxa"/>
            <w:vAlign w:val="center"/>
          </w:tcPr>
          <w:p w14:paraId="12008CE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测距（m）</w:t>
            </w:r>
          </w:p>
        </w:tc>
        <w:tc>
          <w:tcPr>
            <w:tcW w:w="1742" w:type="dxa"/>
            <w:vAlign w:val="center"/>
          </w:tcPr>
          <w:p w14:paraId="0286E14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噪声值dB（A）</w:t>
            </w:r>
          </w:p>
        </w:tc>
      </w:tr>
      <w:tr w14:paraId="75DF1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shd w:val="clear" w:color="auto" w:fill="auto"/>
            <w:vAlign w:val="center"/>
          </w:tcPr>
          <w:p w14:paraId="2541D18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2033" w:type="dxa"/>
            <w:shd w:val="clear" w:color="auto" w:fill="auto"/>
            <w:vAlign w:val="center"/>
          </w:tcPr>
          <w:p w14:paraId="4911E0C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液压挖掘机</w:t>
            </w:r>
          </w:p>
        </w:tc>
        <w:tc>
          <w:tcPr>
            <w:tcW w:w="1233" w:type="dxa"/>
            <w:shd w:val="clear" w:color="auto" w:fill="auto"/>
            <w:vAlign w:val="center"/>
          </w:tcPr>
          <w:p w14:paraId="5F75255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w:t>
            </w:r>
          </w:p>
        </w:tc>
        <w:tc>
          <w:tcPr>
            <w:tcW w:w="1609" w:type="dxa"/>
            <w:shd w:val="clear" w:color="auto" w:fill="auto"/>
            <w:vAlign w:val="center"/>
          </w:tcPr>
          <w:p w14:paraId="4C801B3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82-90</w:t>
            </w:r>
          </w:p>
        </w:tc>
        <w:tc>
          <w:tcPr>
            <w:tcW w:w="1102" w:type="dxa"/>
            <w:shd w:val="clear" w:color="auto" w:fill="auto"/>
            <w:vAlign w:val="center"/>
          </w:tcPr>
          <w:p w14:paraId="6EEE4E1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w:t>
            </w:r>
          </w:p>
        </w:tc>
        <w:tc>
          <w:tcPr>
            <w:tcW w:w="1742" w:type="dxa"/>
            <w:shd w:val="clear" w:color="auto" w:fill="auto"/>
            <w:vAlign w:val="center"/>
          </w:tcPr>
          <w:p w14:paraId="503F393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78-86</w:t>
            </w:r>
          </w:p>
        </w:tc>
      </w:tr>
      <w:tr w14:paraId="74384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shd w:val="clear" w:color="auto" w:fill="auto"/>
            <w:vAlign w:val="center"/>
          </w:tcPr>
          <w:p w14:paraId="2598ED9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2033" w:type="dxa"/>
            <w:shd w:val="clear" w:color="auto" w:fill="auto"/>
            <w:vAlign w:val="center"/>
          </w:tcPr>
          <w:p w14:paraId="1BE07D9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电动挖掘机</w:t>
            </w:r>
          </w:p>
        </w:tc>
        <w:tc>
          <w:tcPr>
            <w:tcW w:w="1233" w:type="dxa"/>
            <w:shd w:val="clear" w:color="auto" w:fill="auto"/>
            <w:vAlign w:val="center"/>
          </w:tcPr>
          <w:p w14:paraId="33E2CB4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w:t>
            </w:r>
          </w:p>
        </w:tc>
        <w:tc>
          <w:tcPr>
            <w:tcW w:w="1609" w:type="dxa"/>
            <w:shd w:val="clear" w:color="auto" w:fill="auto"/>
            <w:vAlign w:val="center"/>
          </w:tcPr>
          <w:p w14:paraId="332A4DD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80-86</w:t>
            </w:r>
          </w:p>
        </w:tc>
        <w:tc>
          <w:tcPr>
            <w:tcW w:w="1102" w:type="dxa"/>
            <w:shd w:val="clear" w:color="auto" w:fill="auto"/>
            <w:vAlign w:val="center"/>
          </w:tcPr>
          <w:p w14:paraId="1385978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w:t>
            </w:r>
          </w:p>
        </w:tc>
        <w:tc>
          <w:tcPr>
            <w:tcW w:w="1742" w:type="dxa"/>
            <w:shd w:val="clear" w:color="auto" w:fill="auto"/>
            <w:vAlign w:val="center"/>
          </w:tcPr>
          <w:p w14:paraId="0BFB36A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75-83</w:t>
            </w:r>
          </w:p>
        </w:tc>
      </w:tr>
      <w:tr w14:paraId="55733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shd w:val="clear" w:color="auto" w:fill="auto"/>
            <w:vAlign w:val="center"/>
          </w:tcPr>
          <w:p w14:paraId="429AA54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w:t>
            </w:r>
          </w:p>
        </w:tc>
        <w:tc>
          <w:tcPr>
            <w:tcW w:w="2033" w:type="dxa"/>
            <w:shd w:val="clear" w:color="auto" w:fill="auto"/>
            <w:vAlign w:val="center"/>
          </w:tcPr>
          <w:p w14:paraId="2B640C6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轮式装载机</w:t>
            </w:r>
          </w:p>
        </w:tc>
        <w:tc>
          <w:tcPr>
            <w:tcW w:w="1233" w:type="dxa"/>
            <w:shd w:val="clear" w:color="auto" w:fill="auto"/>
            <w:vAlign w:val="center"/>
          </w:tcPr>
          <w:p w14:paraId="551B2F8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w:t>
            </w:r>
          </w:p>
        </w:tc>
        <w:tc>
          <w:tcPr>
            <w:tcW w:w="1609" w:type="dxa"/>
            <w:shd w:val="clear" w:color="auto" w:fill="auto"/>
            <w:vAlign w:val="center"/>
          </w:tcPr>
          <w:p w14:paraId="2BB7D7E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90-95</w:t>
            </w:r>
          </w:p>
        </w:tc>
        <w:tc>
          <w:tcPr>
            <w:tcW w:w="1102" w:type="dxa"/>
            <w:shd w:val="clear" w:color="auto" w:fill="auto"/>
            <w:vAlign w:val="center"/>
          </w:tcPr>
          <w:p w14:paraId="6C38F33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w:t>
            </w:r>
          </w:p>
        </w:tc>
        <w:tc>
          <w:tcPr>
            <w:tcW w:w="1742" w:type="dxa"/>
            <w:shd w:val="clear" w:color="auto" w:fill="auto"/>
            <w:vAlign w:val="center"/>
          </w:tcPr>
          <w:p w14:paraId="244D12B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85-91</w:t>
            </w:r>
          </w:p>
        </w:tc>
      </w:tr>
      <w:tr w14:paraId="542B6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shd w:val="clear" w:color="auto" w:fill="auto"/>
            <w:vAlign w:val="center"/>
          </w:tcPr>
          <w:p w14:paraId="612EA5E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w:t>
            </w:r>
          </w:p>
        </w:tc>
        <w:tc>
          <w:tcPr>
            <w:tcW w:w="2033" w:type="dxa"/>
            <w:shd w:val="clear" w:color="auto" w:fill="auto"/>
            <w:vAlign w:val="center"/>
          </w:tcPr>
          <w:p w14:paraId="3DB3694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推土机</w:t>
            </w:r>
          </w:p>
        </w:tc>
        <w:tc>
          <w:tcPr>
            <w:tcW w:w="1233" w:type="dxa"/>
            <w:shd w:val="clear" w:color="auto" w:fill="auto"/>
            <w:vAlign w:val="center"/>
          </w:tcPr>
          <w:p w14:paraId="584B261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w:t>
            </w:r>
          </w:p>
        </w:tc>
        <w:tc>
          <w:tcPr>
            <w:tcW w:w="1609" w:type="dxa"/>
            <w:shd w:val="clear" w:color="auto" w:fill="auto"/>
            <w:vAlign w:val="center"/>
          </w:tcPr>
          <w:p w14:paraId="0D03F9A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83-88</w:t>
            </w:r>
          </w:p>
        </w:tc>
        <w:tc>
          <w:tcPr>
            <w:tcW w:w="1102" w:type="dxa"/>
            <w:shd w:val="clear" w:color="auto" w:fill="auto"/>
            <w:vAlign w:val="center"/>
          </w:tcPr>
          <w:p w14:paraId="42A9538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w:t>
            </w:r>
          </w:p>
        </w:tc>
        <w:tc>
          <w:tcPr>
            <w:tcW w:w="1742" w:type="dxa"/>
            <w:shd w:val="clear" w:color="auto" w:fill="auto"/>
            <w:vAlign w:val="center"/>
          </w:tcPr>
          <w:p w14:paraId="0B88BF7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80-85</w:t>
            </w:r>
          </w:p>
        </w:tc>
      </w:tr>
      <w:tr w14:paraId="5C8CD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shd w:val="clear" w:color="auto" w:fill="auto"/>
            <w:vAlign w:val="center"/>
          </w:tcPr>
          <w:p w14:paraId="23AA3C7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w:t>
            </w:r>
          </w:p>
        </w:tc>
        <w:tc>
          <w:tcPr>
            <w:tcW w:w="2033" w:type="dxa"/>
            <w:shd w:val="clear" w:color="auto" w:fill="auto"/>
            <w:vAlign w:val="center"/>
          </w:tcPr>
          <w:p w14:paraId="3984594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移动式发电机</w:t>
            </w:r>
          </w:p>
        </w:tc>
        <w:tc>
          <w:tcPr>
            <w:tcW w:w="1233" w:type="dxa"/>
            <w:shd w:val="clear" w:color="auto" w:fill="auto"/>
            <w:vAlign w:val="center"/>
          </w:tcPr>
          <w:p w14:paraId="4FC2269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w:t>
            </w:r>
          </w:p>
        </w:tc>
        <w:tc>
          <w:tcPr>
            <w:tcW w:w="1609" w:type="dxa"/>
            <w:shd w:val="clear" w:color="auto" w:fill="auto"/>
            <w:vAlign w:val="center"/>
          </w:tcPr>
          <w:p w14:paraId="6932AE9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95-102</w:t>
            </w:r>
          </w:p>
        </w:tc>
        <w:tc>
          <w:tcPr>
            <w:tcW w:w="1102" w:type="dxa"/>
            <w:shd w:val="clear" w:color="auto" w:fill="auto"/>
            <w:vAlign w:val="center"/>
          </w:tcPr>
          <w:p w14:paraId="44EDD57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w:t>
            </w:r>
          </w:p>
        </w:tc>
        <w:tc>
          <w:tcPr>
            <w:tcW w:w="1742" w:type="dxa"/>
            <w:shd w:val="clear" w:color="auto" w:fill="auto"/>
            <w:vAlign w:val="center"/>
          </w:tcPr>
          <w:p w14:paraId="7C53BA4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90-98</w:t>
            </w:r>
          </w:p>
        </w:tc>
      </w:tr>
      <w:tr w14:paraId="55F21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shd w:val="clear" w:color="auto" w:fill="auto"/>
            <w:vAlign w:val="center"/>
          </w:tcPr>
          <w:p w14:paraId="5E2ED59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w:t>
            </w:r>
          </w:p>
        </w:tc>
        <w:tc>
          <w:tcPr>
            <w:tcW w:w="2033" w:type="dxa"/>
            <w:shd w:val="clear" w:color="auto" w:fill="auto"/>
            <w:vAlign w:val="center"/>
          </w:tcPr>
          <w:p w14:paraId="72BCF82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各类压缩机</w:t>
            </w:r>
          </w:p>
        </w:tc>
        <w:tc>
          <w:tcPr>
            <w:tcW w:w="1233" w:type="dxa"/>
            <w:shd w:val="clear" w:color="auto" w:fill="auto"/>
            <w:vAlign w:val="center"/>
          </w:tcPr>
          <w:p w14:paraId="5306F01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w:t>
            </w:r>
          </w:p>
        </w:tc>
        <w:tc>
          <w:tcPr>
            <w:tcW w:w="1609" w:type="dxa"/>
            <w:shd w:val="clear" w:color="auto" w:fill="auto"/>
            <w:vAlign w:val="center"/>
          </w:tcPr>
          <w:p w14:paraId="56F121B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80-90</w:t>
            </w:r>
          </w:p>
        </w:tc>
        <w:tc>
          <w:tcPr>
            <w:tcW w:w="1102" w:type="dxa"/>
            <w:shd w:val="clear" w:color="auto" w:fill="auto"/>
            <w:vAlign w:val="center"/>
          </w:tcPr>
          <w:p w14:paraId="0ACBE08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w:t>
            </w:r>
          </w:p>
        </w:tc>
        <w:tc>
          <w:tcPr>
            <w:tcW w:w="1742" w:type="dxa"/>
            <w:shd w:val="clear" w:color="auto" w:fill="auto"/>
            <w:vAlign w:val="center"/>
          </w:tcPr>
          <w:p w14:paraId="49603D3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76-86</w:t>
            </w:r>
          </w:p>
        </w:tc>
      </w:tr>
      <w:tr w14:paraId="4FEE8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vAlign w:val="center"/>
          </w:tcPr>
          <w:p w14:paraId="3C7AB91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7</w:t>
            </w:r>
          </w:p>
        </w:tc>
        <w:tc>
          <w:tcPr>
            <w:tcW w:w="2033" w:type="dxa"/>
            <w:vAlign w:val="center"/>
          </w:tcPr>
          <w:p w14:paraId="5B8C017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木工电锯</w:t>
            </w:r>
          </w:p>
        </w:tc>
        <w:tc>
          <w:tcPr>
            <w:tcW w:w="1233" w:type="dxa"/>
            <w:vAlign w:val="center"/>
          </w:tcPr>
          <w:p w14:paraId="2F50DF2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5</w:t>
            </w:r>
          </w:p>
        </w:tc>
        <w:tc>
          <w:tcPr>
            <w:tcW w:w="1609" w:type="dxa"/>
            <w:vAlign w:val="center"/>
          </w:tcPr>
          <w:p w14:paraId="6F0BE16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93-99</w:t>
            </w:r>
          </w:p>
        </w:tc>
        <w:tc>
          <w:tcPr>
            <w:tcW w:w="1102" w:type="dxa"/>
            <w:vAlign w:val="center"/>
          </w:tcPr>
          <w:p w14:paraId="28A0078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10</w:t>
            </w:r>
          </w:p>
        </w:tc>
        <w:tc>
          <w:tcPr>
            <w:tcW w:w="1742" w:type="dxa"/>
            <w:vAlign w:val="center"/>
          </w:tcPr>
          <w:p w14:paraId="6A43183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90-95</w:t>
            </w:r>
          </w:p>
        </w:tc>
      </w:tr>
      <w:tr w14:paraId="6B956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vAlign w:val="center"/>
          </w:tcPr>
          <w:p w14:paraId="59FDBF5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8</w:t>
            </w:r>
          </w:p>
        </w:tc>
        <w:tc>
          <w:tcPr>
            <w:tcW w:w="2033" w:type="dxa"/>
            <w:vAlign w:val="center"/>
          </w:tcPr>
          <w:p w14:paraId="67E22EA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电锤</w:t>
            </w:r>
          </w:p>
        </w:tc>
        <w:tc>
          <w:tcPr>
            <w:tcW w:w="1233" w:type="dxa"/>
            <w:vAlign w:val="center"/>
          </w:tcPr>
          <w:p w14:paraId="4BC6C66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5</w:t>
            </w:r>
          </w:p>
        </w:tc>
        <w:tc>
          <w:tcPr>
            <w:tcW w:w="1609" w:type="dxa"/>
            <w:vAlign w:val="center"/>
          </w:tcPr>
          <w:p w14:paraId="6F26E09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100-105</w:t>
            </w:r>
          </w:p>
        </w:tc>
        <w:tc>
          <w:tcPr>
            <w:tcW w:w="1102" w:type="dxa"/>
            <w:vAlign w:val="center"/>
          </w:tcPr>
          <w:p w14:paraId="13F5902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10</w:t>
            </w:r>
          </w:p>
        </w:tc>
        <w:tc>
          <w:tcPr>
            <w:tcW w:w="1742" w:type="dxa"/>
            <w:vAlign w:val="center"/>
          </w:tcPr>
          <w:p w14:paraId="692E35E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95-99</w:t>
            </w:r>
          </w:p>
        </w:tc>
      </w:tr>
      <w:tr w14:paraId="4E8F7C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vAlign w:val="center"/>
          </w:tcPr>
          <w:p w14:paraId="3FDF69C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9</w:t>
            </w:r>
          </w:p>
        </w:tc>
        <w:tc>
          <w:tcPr>
            <w:tcW w:w="2033" w:type="dxa"/>
            <w:vAlign w:val="center"/>
          </w:tcPr>
          <w:p w14:paraId="55B833E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振动夯锤</w:t>
            </w:r>
          </w:p>
        </w:tc>
        <w:tc>
          <w:tcPr>
            <w:tcW w:w="1233" w:type="dxa"/>
            <w:vAlign w:val="center"/>
          </w:tcPr>
          <w:p w14:paraId="09E3F67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5</w:t>
            </w:r>
          </w:p>
        </w:tc>
        <w:tc>
          <w:tcPr>
            <w:tcW w:w="1609" w:type="dxa"/>
            <w:vAlign w:val="center"/>
          </w:tcPr>
          <w:p w14:paraId="3D8CF9B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90-100</w:t>
            </w:r>
          </w:p>
        </w:tc>
        <w:tc>
          <w:tcPr>
            <w:tcW w:w="1102" w:type="dxa"/>
            <w:vAlign w:val="center"/>
          </w:tcPr>
          <w:p w14:paraId="3B2CFA6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10</w:t>
            </w:r>
          </w:p>
        </w:tc>
        <w:tc>
          <w:tcPr>
            <w:tcW w:w="1742" w:type="dxa"/>
            <w:vAlign w:val="center"/>
          </w:tcPr>
          <w:p w14:paraId="4CBE295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86-94</w:t>
            </w:r>
          </w:p>
        </w:tc>
      </w:tr>
      <w:tr w14:paraId="760C8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vAlign w:val="center"/>
          </w:tcPr>
          <w:p w14:paraId="1DA11DE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10</w:t>
            </w:r>
          </w:p>
        </w:tc>
        <w:tc>
          <w:tcPr>
            <w:tcW w:w="2033" w:type="dxa"/>
            <w:vAlign w:val="center"/>
          </w:tcPr>
          <w:p w14:paraId="3B26CC8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打桩机</w:t>
            </w:r>
          </w:p>
        </w:tc>
        <w:tc>
          <w:tcPr>
            <w:tcW w:w="1233" w:type="dxa"/>
            <w:vAlign w:val="center"/>
          </w:tcPr>
          <w:p w14:paraId="527BC1A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5</w:t>
            </w:r>
          </w:p>
        </w:tc>
        <w:tc>
          <w:tcPr>
            <w:tcW w:w="1609" w:type="dxa"/>
            <w:vAlign w:val="center"/>
          </w:tcPr>
          <w:p w14:paraId="4F69854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100-110</w:t>
            </w:r>
          </w:p>
        </w:tc>
        <w:tc>
          <w:tcPr>
            <w:tcW w:w="1102" w:type="dxa"/>
            <w:vAlign w:val="center"/>
          </w:tcPr>
          <w:p w14:paraId="14B05E0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10</w:t>
            </w:r>
          </w:p>
        </w:tc>
        <w:tc>
          <w:tcPr>
            <w:tcW w:w="1742" w:type="dxa"/>
            <w:vAlign w:val="center"/>
          </w:tcPr>
          <w:p w14:paraId="7D71106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95-105</w:t>
            </w:r>
          </w:p>
        </w:tc>
      </w:tr>
      <w:tr w14:paraId="71AD3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vAlign w:val="center"/>
          </w:tcPr>
          <w:p w14:paraId="5BEB20E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11</w:t>
            </w:r>
          </w:p>
        </w:tc>
        <w:tc>
          <w:tcPr>
            <w:tcW w:w="2033" w:type="dxa"/>
            <w:vAlign w:val="center"/>
          </w:tcPr>
          <w:p w14:paraId="6DFADEB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静力压装机</w:t>
            </w:r>
          </w:p>
        </w:tc>
        <w:tc>
          <w:tcPr>
            <w:tcW w:w="1233" w:type="dxa"/>
            <w:vAlign w:val="center"/>
          </w:tcPr>
          <w:p w14:paraId="47B9858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5</w:t>
            </w:r>
          </w:p>
        </w:tc>
        <w:tc>
          <w:tcPr>
            <w:tcW w:w="1609" w:type="dxa"/>
            <w:vAlign w:val="center"/>
          </w:tcPr>
          <w:p w14:paraId="5E85575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70-75</w:t>
            </w:r>
          </w:p>
        </w:tc>
        <w:tc>
          <w:tcPr>
            <w:tcW w:w="1102" w:type="dxa"/>
            <w:vAlign w:val="center"/>
          </w:tcPr>
          <w:p w14:paraId="4904D77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10</w:t>
            </w:r>
          </w:p>
        </w:tc>
        <w:tc>
          <w:tcPr>
            <w:tcW w:w="1742" w:type="dxa"/>
            <w:vAlign w:val="center"/>
          </w:tcPr>
          <w:p w14:paraId="3A7B3B9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68-73</w:t>
            </w:r>
          </w:p>
        </w:tc>
      </w:tr>
      <w:tr w14:paraId="7139F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vAlign w:val="center"/>
          </w:tcPr>
          <w:p w14:paraId="23449A7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12</w:t>
            </w:r>
          </w:p>
        </w:tc>
        <w:tc>
          <w:tcPr>
            <w:tcW w:w="2033" w:type="dxa"/>
            <w:vAlign w:val="center"/>
          </w:tcPr>
          <w:p w14:paraId="28CE38A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风镐</w:t>
            </w:r>
          </w:p>
        </w:tc>
        <w:tc>
          <w:tcPr>
            <w:tcW w:w="1233" w:type="dxa"/>
            <w:vAlign w:val="center"/>
          </w:tcPr>
          <w:p w14:paraId="3C7B2FB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5</w:t>
            </w:r>
          </w:p>
        </w:tc>
        <w:tc>
          <w:tcPr>
            <w:tcW w:w="1609" w:type="dxa"/>
            <w:vAlign w:val="center"/>
          </w:tcPr>
          <w:p w14:paraId="79256E8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88-92</w:t>
            </w:r>
          </w:p>
        </w:tc>
        <w:tc>
          <w:tcPr>
            <w:tcW w:w="1102" w:type="dxa"/>
            <w:vAlign w:val="center"/>
          </w:tcPr>
          <w:p w14:paraId="553DB3C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10</w:t>
            </w:r>
          </w:p>
        </w:tc>
        <w:tc>
          <w:tcPr>
            <w:tcW w:w="1742" w:type="dxa"/>
            <w:vAlign w:val="center"/>
          </w:tcPr>
          <w:p w14:paraId="3D08589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83-87</w:t>
            </w:r>
          </w:p>
        </w:tc>
      </w:tr>
      <w:tr w14:paraId="52401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vAlign w:val="center"/>
          </w:tcPr>
          <w:p w14:paraId="337C098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13</w:t>
            </w:r>
          </w:p>
        </w:tc>
        <w:tc>
          <w:tcPr>
            <w:tcW w:w="2033" w:type="dxa"/>
            <w:vAlign w:val="center"/>
          </w:tcPr>
          <w:p w14:paraId="4332D98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混凝土输送泵</w:t>
            </w:r>
          </w:p>
        </w:tc>
        <w:tc>
          <w:tcPr>
            <w:tcW w:w="1233" w:type="dxa"/>
            <w:vAlign w:val="center"/>
          </w:tcPr>
          <w:p w14:paraId="0B83B08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5</w:t>
            </w:r>
          </w:p>
        </w:tc>
        <w:tc>
          <w:tcPr>
            <w:tcW w:w="1609" w:type="dxa"/>
            <w:vAlign w:val="center"/>
          </w:tcPr>
          <w:p w14:paraId="7B8CF48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88-95</w:t>
            </w:r>
          </w:p>
        </w:tc>
        <w:tc>
          <w:tcPr>
            <w:tcW w:w="1102" w:type="dxa"/>
            <w:vAlign w:val="center"/>
          </w:tcPr>
          <w:p w14:paraId="34C417B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10</w:t>
            </w:r>
          </w:p>
        </w:tc>
        <w:tc>
          <w:tcPr>
            <w:tcW w:w="1742" w:type="dxa"/>
            <w:vAlign w:val="center"/>
          </w:tcPr>
          <w:p w14:paraId="61BD33D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84-90</w:t>
            </w:r>
          </w:p>
        </w:tc>
      </w:tr>
      <w:tr w14:paraId="23637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vAlign w:val="center"/>
          </w:tcPr>
          <w:p w14:paraId="42717D6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14</w:t>
            </w:r>
          </w:p>
        </w:tc>
        <w:tc>
          <w:tcPr>
            <w:tcW w:w="2033" w:type="dxa"/>
            <w:vAlign w:val="center"/>
          </w:tcPr>
          <w:p w14:paraId="3E64701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商砼搅拌车</w:t>
            </w:r>
          </w:p>
        </w:tc>
        <w:tc>
          <w:tcPr>
            <w:tcW w:w="1233" w:type="dxa"/>
            <w:vAlign w:val="center"/>
          </w:tcPr>
          <w:p w14:paraId="770336E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5</w:t>
            </w:r>
          </w:p>
        </w:tc>
        <w:tc>
          <w:tcPr>
            <w:tcW w:w="1609" w:type="dxa"/>
            <w:vAlign w:val="center"/>
          </w:tcPr>
          <w:p w14:paraId="157DD64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85-90</w:t>
            </w:r>
          </w:p>
        </w:tc>
        <w:tc>
          <w:tcPr>
            <w:tcW w:w="1102" w:type="dxa"/>
            <w:vAlign w:val="center"/>
          </w:tcPr>
          <w:p w14:paraId="7DD1930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10</w:t>
            </w:r>
          </w:p>
        </w:tc>
        <w:tc>
          <w:tcPr>
            <w:tcW w:w="1742" w:type="dxa"/>
            <w:vAlign w:val="center"/>
          </w:tcPr>
          <w:p w14:paraId="4BD0EEE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82-84</w:t>
            </w:r>
          </w:p>
        </w:tc>
      </w:tr>
      <w:tr w14:paraId="68FA4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vAlign w:val="center"/>
          </w:tcPr>
          <w:p w14:paraId="3B8391E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15</w:t>
            </w:r>
          </w:p>
        </w:tc>
        <w:tc>
          <w:tcPr>
            <w:tcW w:w="2033" w:type="dxa"/>
            <w:vAlign w:val="center"/>
          </w:tcPr>
          <w:p w14:paraId="4A7CA47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混凝土振捣器</w:t>
            </w:r>
          </w:p>
        </w:tc>
        <w:tc>
          <w:tcPr>
            <w:tcW w:w="1233" w:type="dxa"/>
            <w:vAlign w:val="center"/>
          </w:tcPr>
          <w:p w14:paraId="6E8E110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5</w:t>
            </w:r>
          </w:p>
        </w:tc>
        <w:tc>
          <w:tcPr>
            <w:tcW w:w="1609" w:type="dxa"/>
            <w:vAlign w:val="center"/>
          </w:tcPr>
          <w:p w14:paraId="249CB7A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80-88</w:t>
            </w:r>
          </w:p>
        </w:tc>
        <w:tc>
          <w:tcPr>
            <w:tcW w:w="1102" w:type="dxa"/>
            <w:vAlign w:val="center"/>
          </w:tcPr>
          <w:p w14:paraId="52D83F6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10</w:t>
            </w:r>
          </w:p>
        </w:tc>
        <w:tc>
          <w:tcPr>
            <w:tcW w:w="1742" w:type="dxa"/>
            <w:vAlign w:val="center"/>
          </w:tcPr>
          <w:p w14:paraId="0B92751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75-84</w:t>
            </w:r>
          </w:p>
        </w:tc>
      </w:tr>
      <w:tr w14:paraId="36AD5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vAlign w:val="center"/>
          </w:tcPr>
          <w:p w14:paraId="40DC0C6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16</w:t>
            </w:r>
          </w:p>
        </w:tc>
        <w:tc>
          <w:tcPr>
            <w:tcW w:w="2033" w:type="dxa"/>
            <w:vAlign w:val="center"/>
          </w:tcPr>
          <w:p w14:paraId="5D71896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云石机、角磨机</w:t>
            </w:r>
          </w:p>
        </w:tc>
        <w:tc>
          <w:tcPr>
            <w:tcW w:w="1233" w:type="dxa"/>
            <w:vAlign w:val="center"/>
          </w:tcPr>
          <w:p w14:paraId="1360CAE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5</w:t>
            </w:r>
          </w:p>
        </w:tc>
        <w:tc>
          <w:tcPr>
            <w:tcW w:w="1609" w:type="dxa"/>
            <w:vAlign w:val="center"/>
          </w:tcPr>
          <w:p w14:paraId="76D7364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90-96</w:t>
            </w:r>
          </w:p>
        </w:tc>
        <w:tc>
          <w:tcPr>
            <w:tcW w:w="1102" w:type="dxa"/>
            <w:vAlign w:val="center"/>
          </w:tcPr>
          <w:p w14:paraId="44FB44C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10</w:t>
            </w:r>
          </w:p>
        </w:tc>
        <w:tc>
          <w:tcPr>
            <w:tcW w:w="1742" w:type="dxa"/>
            <w:vAlign w:val="center"/>
          </w:tcPr>
          <w:p w14:paraId="76EFCBE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84-90</w:t>
            </w:r>
          </w:p>
        </w:tc>
      </w:tr>
      <w:tr w14:paraId="794AD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9" w:type="dxa"/>
            <w:vAlign w:val="center"/>
          </w:tcPr>
          <w:p w14:paraId="59241A6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17</w:t>
            </w:r>
          </w:p>
        </w:tc>
        <w:tc>
          <w:tcPr>
            <w:tcW w:w="2033" w:type="dxa"/>
            <w:vAlign w:val="center"/>
          </w:tcPr>
          <w:p w14:paraId="1E03CDA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空压机</w:t>
            </w:r>
          </w:p>
        </w:tc>
        <w:tc>
          <w:tcPr>
            <w:tcW w:w="1233" w:type="dxa"/>
            <w:vAlign w:val="center"/>
          </w:tcPr>
          <w:p w14:paraId="1DE407F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5</w:t>
            </w:r>
          </w:p>
        </w:tc>
        <w:tc>
          <w:tcPr>
            <w:tcW w:w="1609" w:type="dxa"/>
            <w:vAlign w:val="center"/>
          </w:tcPr>
          <w:p w14:paraId="1DFE0F5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88-92</w:t>
            </w:r>
          </w:p>
        </w:tc>
        <w:tc>
          <w:tcPr>
            <w:tcW w:w="1102" w:type="dxa"/>
            <w:vAlign w:val="center"/>
          </w:tcPr>
          <w:p w14:paraId="154585A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10</w:t>
            </w:r>
          </w:p>
        </w:tc>
        <w:tc>
          <w:tcPr>
            <w:tcW w:w="1742" w:type="dxa"/>
            <w:vAlign w:val="center"/>
          </w:tcPr>
          <w:p w14:paraId="101FD61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83-88</w:t>
            </w:r>
          </w:p>
        </w:tc>
      </w:tr>
    </w:tbl>
    <w:p w14:paraId="41A69821">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2）噪声源分布</w:t>
      </w:r>
    </w:p>
    <w:p w14:paraId="3C13834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根据公路工程的施工特点，对噪声源分布的描述如下：</w:t>
      </w:r>
    </w:p>
    <w:p w14:paraId="0041BCA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①压路机、推土机、平地机等筑路机械主要分布在公路主线用地范围内；</w:t>
      </w:r>
    </w:p>
    <w:p w14:paraId="6FA5E13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②打桩机等主要集中在桥梁和立交区域；装载机等主要集中在取土场、临时堆土场、土石方量大的路段；</w:t>
      </w:r>
    </w:p>
    <w:p w14:paraId="41F79D2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③搅拌机主要集中在搅拌站；</w:t>
      </w:r>
    </w:p>
    <w:p w14:paraId="4FCCC9B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④挖掘机和装载机主要集中在取土场和临时堆土场；</w:t>
      </w:r>
    </w:p>
    <w:p w14:paraId="5824457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⑤自卸式运输车主要行走于弃渣场和主线之间的施工便道、搅拌站和桥梁、立交之间、沿主线布设的施工便道以及联系主线的周边现有道路；</w:t>
      </w:r>
    </w:p>
    <w:p w14:paraId="4B41B8B3">
      <w:pPr>
        <w:keepNext w:val="0"/>
        <w:keepLines w:val="0"/>
        <w:widowControl/>
        <w:suppressLineNumbers w:val="0"/>
        <w:ind w:left="0" w:leftChars="0" w:firstLine="0" w:firstLineChars="0"/>
        <w:jc w:val="left"/>
        <w:rPr>
          <w:rFonts w:hint="default" w:ascii="Times New Roman" w:hAnsi="Times New Roman" w:cs="Times New Roman"/>
          <w:color w:val="auto"/>
        </w:rPr>
      </w:pPr>
      <w:r>
        <w:rPr>
          <w:rFonts w:hint="default" w:ascii="Times New Roman" w:hAnsi="Times New Roman" w:eastAsia="宋体" w:cs="Times New Roman"/>
          <w:b/>
          <w:bCs/>
          <w:color w:val="auto"/>
          <w:kern w:val="0"/>
          <w:sz w:val="24"/>
          <w:szCs w:val="24"/>
          <w:lang w:val="en-US" w:eastAsia="zh-CN" w:bidi="ar"/>
        </w:rPr>
        <w:t>5.3.1.2 施工期噪声影响预测</w:t>
      </w:r>
    </w:p>
    <w:p w14:paraId="71F6DA1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据调查，国内目前常用的筑路机械有挖掘机、推土机、装载机、压路机等，公路工程施工建设分几个阶段进行。各施工阶段的设备作业时需要一定的作业空间，施工机械工作时可等效为点声源，其噪声影响随距离增加而逐渐衰减，噪声衰减公式如下：</w:t>
      </w:r>
    </w:p>
    <w:p w14:paraId="2280CEE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i/>
          <w:iCs/>
          <w:color w:val="auto"/>
          <w:kern w:val="0"/>
          <w:sz w:val="15"/>
          <w:szCs w:val="15"/>
          <w:lang w:val="en-US" w:eastAsia="zh-CN" w:bidi="ar"/>
        </w:rPr>
        <w:t>A</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i/>
          <w:iCs/>
          <w:color w:val="auto"/>
          <w:kern w:val="0"/>
          <w:sz w:val="24"/>
          <w:szCs w:val="24"/>
          <w:lang w:val="en-US" w:eastAsia="zh-CN" w:bidi="ar"/>
        </w:rPr>
        <w:t>Lo</w:t>
      </w:r>
      <w:r>
        <w:rPr>
          <w:rFonts w:hint="default" w:ascii="Times New Roman" w:hAnsi="Times New Roman" w:eastAsia="宋体" w:cs="Times New Roman"/>
          <w:color w:val="auto"/>
          <w:kern w:val="0"/>
          <w:sz w:val="24"/>
          <w:szCs w:val="24"/>
          <w:lang w:val="en-US" w:eastAsia="zh-CN" w:bidi="ar"/>
        </w:rPr>
        <w:t>-20Lg（r</w:t>
      </w:r>
      <w:r>
        <w:rPr>
          <w:rFonts w:hint="default" w:ascii="Times New Roman" w:hAnsi="Times New Roman" w:eastAsia="宋体" w:cs="Times New Roman"/>
          <w:color w:val="auto"/>
          <w:kern w:val="0"/>
          <w:sz w:val="15"/>
          <w:szCs w:val="15"/>
          <w:lang w:val="en-US" w:eastAsia="zh-CN" w:bidi="ar"/>
        </w:rPr>
        <w:t>A</w:t>
      </w:r>
      <w:r>
        <w:rPr>
          <w:rFonts w:hint="default" w:ascii="Times New Roman" w:hAnsi="Times New Roman" w:eastAsia="宋体" w:cs="Times New Roman"/>
          <w:color w:val="auto"/>
          <w:kern w:val="0"/>
          <w:sz w:val="24"/>
          <w:szCs w:val="24"/>
          <w:lang w:val="en-US" w:eastAsia="zh-CN" w:bidi="ar"/>
        </w:rPr>
        <w:t>/r</w:t>
      </w:r>
      <w:r>
        <w:rPr>
          <w:rFonts w:hint="default" w:ascii="Times New Roman" w:hAnsi="Times New Roman" w:eastAsia="宋体" w:cs="Times New Roman"/>
          <w:color w:val="auto"/>
          <w:kern w:val="0"/>
          <w:sz w:val="15"/>
          <w:szCs w:val="15"/>
          <w:lang w:val="en-US" w:eastAsia="zh-CN" w:bidi="ar"/>
        </w:rPr>
        <w:t>o</w:t>
      </w:r>
      <w:r>
        <w:rPr>
          <w:rFonts w:hint="default" w:ascii="Times New Roman" w:hAnsi="Times New Roman" w:eastAsia="宋体" w:cs="Times New Roman"/>
          <w:color w:val="auto"/>
          <w:kern w:val="0"/>
          <w:sz w:val="24"/>
          <w:szCs w:val="24"/>
          <w:lang w:val="en-US" w:eastAsia="zh-CN" w:bidi="ar"/>
        </w:rPr>
        <w:t>）</w:t>
      </w:r>
    </w:p>
    <w:p w14:paraId="4C9EE30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式中：L</w:t>
      </w:r>
      <w:r>
        <w:rPr>
          <w:rFonts w:hint="default" w:ascii="Times New Roman" w:hAnsi="Times New Roman" w:eastAsia="宋体" w:cs="Times New Roman"/>
          <w:color w:val="auto"/>
          <w:kern w:val="0"/>
          <w:sz w:val="15"/>
          <w:szCs w:val="15"/>
          <w:lang w:val="en-US" w:eastAsia="zh-CN" w:bidi="ar"/>
        </w:rPr>
        <w:t>A</w:t>
      </w:r>
      <w:r>
        <w:rPr>
          <w:rFonts w:hint="default" w:ascii="Times New Roman" w:hAnsi="Times New Roman" w:eastAsia="宋体" w:cs="Times New Roman"/>
          <w:color w:val="auto"/>
          <w:kern w:val="0"/>
          <w:sz w:val="24"/>
          <w:szCs w:val="24"/>
          <w:lang w:val="en-US" w:eastAsia="zh-CN" w:bidi="ar"/>
        </w:rPr>
        <w:t>—距声源为rA处的声级，dB（A）；</w:t>
      </w:r>
    </w:p>
    <w:p w14:paraId="3973D61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L</w:t>
      </w:r>
      <w:r>
        <w:rPr>
          <w:rFonts w:hint="default" w:ascii="Times New Roman" w:hAnsi="Times New Roman" w:eastAsia="宋体" w:cs="Times New Roman"/>
          <w:color w:val="auto"/>
          <w:kern w:val="0"/>
          <w:sz w:val="15"/>
          <w:szCs w:val="15"/>
          <w:lang w:val="en-US" w:eastAsia="zh-CN" w:bidi="ar"/>
        </w:rPr>
        <w:t>o</w:t>
      </w:r>
      <w:r>
        <w:rPr>
          <w:rFonts w:hint="default" w:ascii="Times New Roman" w:hAnsi="Times New Roman" w:eastAsia="宋体" w:cs="Times New Roman"/>
          <w:color w:val="auto"/>
          <w:kern w:val="0"/>
          <w:sz w:val="24"/>
          <w:szCs w:val="24"/>
          <w:lang w:val="en-US" w:eastAsia="zh-CN" w:bidi="ar"/>
        </w:rPr>
        <w:t>—距声源为ro处的声级，dB（A）。</w:t>
      </w:r>
    </w:p>
    <w:p w14:paraId="188E414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对于多台施工机械对某个预测点的影响，应按下式进行声级叠加：</w:t>
      </w:r>
    </w:p>
    <w:p w14:paraId="12BE21F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1356360" cy="601980"/>
            <wp:effectExtent l="0" t="0" r="0" b="7620"/>
            <wp:docPr id="2" name="图片 2" descr="截图2024060300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截图20240603001611"/>
                    <pic:cNvPicPr>
                      <a:picLocks noChangeAspect="1"/>
                    </pic:cNvPicPr>
                  </pic:nvPicPr>
                  <pic:blipFill>
                    <a:blip r:embed="rId51"/>
                    <a:stretch>
                      <a:fillRect/>
                    </a:stretch>
                  </pic:blipFill>
                  <pic:spPr>
                    <a:xfrm>
                      <a:off x="0" y="0"/>
                      <a:ext cx="1356360" cy="601980"/>
                    </a:xfrm>
                    <a:prstGeom prst="rect">
                      <a:avLst/>
                    </a:prstGeom>
                  </pic:spPr>
                </pic:pic>
              </a:graphicData>
            </a:graphic>
          </wp:inline>
        </w:drawing>
      </w:r>
    </w:p>
    <w:p w14:paraId="3C0E08C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式中：L—合成声源声级，dB（A）；</w:t>
      </w:r>
    </w:p>
    <w:p w14:paraId="5CFEDFE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n—声源个数；</w:t>
      </w:r>
    </w:p>
    <w:p w14:paraId="43FCEB8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Li—某声源的噪声值，dB（A）。</w:t>
      </w:r>
    </w:p>
    <w:p w14:paraId="0D7C806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通过上述噪声衰减公式并根据施工场界噪声限值标准的要求，计算出施工机械噪声对环境的影响范围。主要施工机械不同距离处的噪声级，见表5.3-2。</w:t>
      </w:r>
    </w:p>
    <w:p w14:paraId="21A334B5">
      <w:pPr>
        <w:pStyle w:val="39"/>
        <w:bidi w:val="0"/>
        <w:rPr>
          <w:rFonts w:hint="default" w:ascii="Times New Roman" w:hAnsi="Times New Roman" w:cs="Times New Roman"/>
          <w:color w:val="auto"/>
        </w:rPr>
      </w:pPr>
      <w:r>
        <w:rPr>
          <w:rFonts w:hint="default" w:ascii="Times New Roman" w:hAnsi="Times New Roman" w:cs="Times New Roman"/>
          <w:color w:val="auto"/>
          <w:lang w:val="en-US" w:eastAsia="zh-CN"/>
        </w:rPr>
        <w:t>表5.3-2 主要施工机械不同距离处噪声级 单位：dB(A)</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2"/>
        <w:gridCol w:w="710"/>
        <w:gridCol w:w="710"/>
        <w:gridCol w:w="710"/>
        <w:gridCol w:w="710"/>
        <w:gridCol w:w="710"/>
        <w:gridCol w:w="710"/>
        <w:gridCol w:w="713"/>
        <w:gridCol w:w="658"/>
        <w:gridCol w:w="588"/>
        <w:gridCol w:w="658"/>
        <w:gridCol w:w="669"/>
      </w:tblGrid>
      <w:tr w14:paraId="0CB4B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82" w:type="dxa"/>
            <w:vMerge w:val="restart"/>
            <w:vAlign w:val="center"/>
          </w:tcPr>
          <w:p w14:paraId="69BB0E7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声级设备</w:t>
            </w:r>
          </w:p>
        </w:tc>
        <w:tc>
          <w:tcPr>
            <w:tcW w:w="4973" w:type="dxa"/>
            <w:gridSpan w:val="7"/>
            <w:vAlign w:val="center"/>
          </w:tcPr>
          <w:p w14:paraId="38E6CA6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距离（m）</w:t>
            </w:r>
          </w:p>
        </w:tc>
        <w:tc>
          <w:tcPr>
            <w:tcW w:w="1246" w:type="dxa"/>
            <w:gridSpan w:val="2"/>
            <w:vAlign w:val="center"/>
          </w:tcPr>
          <w:p w14:paraId="30F1D0F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限值标准（dB（A））</w:t>
            </w:r>
          </w:p>
        </w:tc>
        <w:tc>
          <w:tcPr>
            <w:tcW w:w="1327" w:type="dxa"/>
            <w:gridSpan w:val="2"/>
            <w:vAlign w:val="center"/>
          </w:tcPr>
          <w:p w14:paraId="6DBE5C0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达到标准时的距离（m）</w:t>
            </w:r>
          </w:p>
        </w:tc>
      </w:tr>
      <w:tr w14:paraId="08FAE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82" w:type="dxa"/>
            <w:vMerge w:val="continue"/>
            <w:vAlign w:val="center"/>
          </w:tcPr>
          <w:p w14:paraId="59FA3F8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p>
        </w:tc>
        <w:tc>
          <w:tcPr>
            <w:tcW w:w="710" w:type="dxa"/>
            <w:vAlign w:val="center"/>
          </w:tcPr>
          <w:p w14:paraId="728F1FF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w:t>
            </w:r>
          </w:p>
        </w:tc>
        <w:tc>
          <w:tcPr>
            <w:tcW w:w="710" w:type="dxa"/>
            <w:vAlign w:val="center"/>
          </w:tcPr>
          <w:p w14:paraId="58557FC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20</w:t>
            </w:r>
          </w:p>
        </w:tc>
        <w:tc>
          <w:tcPr>
            <w:tcW w:w="710" w:type="dxa"/>
            <w:vAlign w:val="center"/>
          </w:tcPr>
          <w:p w14:paraId="62F25E9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40</w:t>
            </w:r>
          </w:p>
        </w:tc>
        <w:tc>
          <w:tcPr>
            <w:tcW w:w="710" w:type="dxa"/>
            <w:vAlign w:val="center"/>
          </w:tcPr>
          <w:p w14:paraId="01CE0BB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60</w:t>
            </w:r>
          </w:p>
        </w:tc>
        <w:tc>
          <w:tcPr>
            <w:tcW w:w="710" w:type="dxa"/>
            <w:vAlign w:val="center"/>
          </w:tcPr>
          <w:p w14:paraId="20829BF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80</w:t>
            </w:r>
          </w:p>
        </w:tc>
        <w:tc>
          <w:tcPr>
            <w:tcW w:w="710" w:type="dxa"/>
            <w:vAlign w:val="center"/>
          </w:tcPr>
          <w:p w14:paraId="29089C3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100</w:t>
            </w:r>
          </w:p>
        </w:tc>
        <w:tc>
          <w:tcPr>
            <w:tcW w:w="713" w:type="dxa"/>
            <w:vAlign w:val="center"/>
          </w:tcPr>
          <w:p w14:paraId="1CFC708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150</w:t>
            </w:r>
          </w:p>
        </w:tc>
        <w:tc>
          <w:tcPr>
            <w:tcW w:w="658" w:type="dxa"/>
            <w:vAlign w:val="center"/>
          </w:tcPr>
          <w:p w14:paraId="5530909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昼</w:t>
            </w:r>
          </w:p>
        </w:tc>
        <w:tc>
          <w:tcPr>
            <w:tcW w:w="588" w:type="dxa"/>
            <w:vAlign w:val="center"/>
          </w:tcPr>
          <w:p w14:paraId="0DC5ADA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夜</w:t>
            </w:r>
          </w:p>
        </w:tc>
        <w:tc>
          <w:tcPr>
            <w:tcW w:w="658" w:type="dxa"/>
            <w:vAlign w:val="center"/>
          </w:tcPr>
          <w:p w14:paraId="6235E98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昼</w:t>
            </w:r>
          </w:p>
        </w:tc>
        <w:tc>
          <w:tcPr>
            <w:tcW w:w="669" w:type="dxa"/>
            <w:vAlign w:val="center"/>
          </w:tcPr>
          <w:p w14:paraId="343B07D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夜</w:t>
            </w:r>
          </w:p>
        </w:tc>
      </w:tr>
      <w:tr w14:paraId="21F13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82" w:type="dxa"/>
            <w:vAlign w:val="center"/>
          </w:tcPr>
          <w:p w14:paraId="44936D0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推土机</w:t>
            </w:r>
          </w:p>
        </w:tc>
        <w:tc>
          <w:tcPr>
            <w:tcW w:w="710" w:type="dxa"/>
            <w:vAlign w:val="center"/>
          </w:tcPr>
          <w:p w14:paraId="44FF47F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80.0</w:t>
            </w:r>
          </w:p>
        </w:tc>
        <w:tc>
          <w:tcPr>
            <w:tcW w:w="710" w:type="dxa"/>
            <w:vAlign w:val="center"/>
          </w:tcPr>
          <w:p w14:paraId="0C92930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74.0</w:t>
            </w:r>
          </w:p>
        </w:tc>
        <w:tc>
          <w:tcPr>
            <w:tcW w:w="710" w:type="dxa"/>
            <w:vAlign w:val="center"/>
          </w:tcPr>
          <w:p w14:paraId="273DA38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66.0</w:t>
            </w:r>
          </w:p>
        </w:tc>
        <w:tc>
          <w:tcPr>
            <w:tcW w:w="710" w:type="dxa"/>
            <w:vAlign w:val="center"/>
          </w:tcPr>
          <w:p w14:paraId="1D5AA76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60.0</w:t>
            </w:r>
          </w:p>
        </w:tc>
        <w:tc>
          <w:tcPr>
            <w:tcW w:w="710" w:type="dxa"/>
            <w:vAlign w:val="center"/>
          </w:tcPr>
          <w:p w14:paraId="7CA81DE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58.2</w:t>
            </w:r>
          </w:p>
        </w:tc>
        <w:tc>
          <w:tcPr>
            <w:tcW w:w="710" w:type="dxa"/>
            <w:vAlign w:val="center"/>
          </w:tcPr>
          <w:p w14:paraId="28B8435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56.8</w:t>
            </w:r>
          </w:p>
        </w:tc>
        <w:tc>
          <w:tcPr>
            <w:tcW w:w="713" w:type="dxa"/>
            <w:vAlign w:val="center"/>
          </w:tcPr>
          <w:p w14:paraId="2ED9E43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54.5</w:t>
            </w:r>
          </w:p>
        </w:tc>
        <w:tc>
          <w:tcPr>
            <w:tcW w:w="658" w:type="dxa"/>
            <w:vMerge w:val="restart"/>
            <w:vAlign w:val="center"/>
          </w:tcPr>
          <w:p w14:paraId="027820F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70</w:t>
            </w:r>
          </w:p>
        </w:tc>
        <w:tc>
          <w:tcPr>
            <w:tcW w:w="588" w:type="dxa"/>
            <w:vMerge w:val="restart"/>
            <w:vAlign w:val="center"/>
          </w:tcPr>
          <w:p w14:paraId="4DF55EF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55</w:t>
            </w:r>
          </w:p>
        </w:tc>
        <w:tc>
          <w:tcPr>
            <w:tcW w:w="658" w:type="dxa"/>
            <w:vAlign w:val="center"/>
          </w:tcPr>
          <w:p w14:paraId="762F19D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30</w:t>
            </w:r>
          </w:p>
        </w:tc>
        <w:tc>
          <w:tcPr>
            <w:tcW w:w="669" w:type="dxa"/>
            <w:vAlign w:val="center"/>
          </w:tcPr>
          <w:p w14:paraId="7E3B320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150</w:t>
            </w:r>
          </w:p>
        </w:tc>
      </w:tr>
      <w:tr w14:paraId="4ADA8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82" w:type="dxa"/>
            <w:vAlign w:val="center"/>
          </w:tcPr>
          <w:p w14:paraId="42885C8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装载机</w:t>
            </w:r>
          </w:p>
        </w:tc>
        <w:tc>
          <w:tcPr>
            <w:tcW w:w="710" w:type="dxa"/>
            <w:vAlign w:val="center"/>
          </w:tcPr>
          <w:p w14:paraId="53EA63B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84.0</w:t>
            </w:r>
          </w:p>
        </w:tc>
        <w:tc>
          <w:tcPr>
            <w:tcW w:w="710" w:type="dxa"/>
            <w:vAlign w:val="center"/>
          </w:tcPr>
          <w:p w14:paraId="2518D3F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78.0</w:t>
            </w:r>
          </w:p>
        </w:tc>
        <w:tc>
          <w:tcPr>
            <w:tcW w:w="710" w:type="dxa"/>
            <w:vAlign w:val="center"/>
          </w:tcPr>
          <w:p w14:paraId="7BF6FDB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70.0</w:t>
            </w:r>
          </w:p>
        </w:tc>
        <w:tc>
          <w:tcPr>
            <w:tcW w:w="710" w:type="dxa"/>
            <w:vAlign w:val="center"/>
          </w:tcPr>
          <w:p w14:paraId="3495F4F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64.4</w:t>
            </w:r>
          </w:p>
        </w:tc>
        <w:tc>
          <w:tcPr>
            <w:tcW w:w="710" w:type="dxa"/>
            <w:vAlign w:val="center"/>
          </w:tcPr>
          <w:p w14:paraId="0176F14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62.0</w:t>
            </w:r>
          </w:p>
        </w:tc>
        <w:tc>
          <w:tcPr>
            <w:tcW w:w="710" w:type="dxa"/>
            <w:vAlign w:val="center"/>
          </w:tcPr>
          <w:p w14:paraId="5097084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60.0</w:t>
            </w:r>
          </w:p>
        </w:tc>
        <w:tc>
          <w:tcPr>
            <w:tcW w:w="713" w:type="dxa"/>
            <w:vAlign w:val="center"/>
          </w:tcPr>
          <w:p w14:paraId="2B1F796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58.5</w:t>
            </w:r>
          </w:p>
        </w:tc>
        <w:tc>
          <w:tcPr>
            <w:tcW w:w="658" w:type="dxa"/>
            <w:vMerge w:val="continue"/>
            <w:vAlign w:val="center"/>
          </w:tcPr>
          <w:p w14:paraId="6A3EDCA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p>
        </w:tc>
        <w:tc>
          <w:tcPr>
            <w:tcW w:w="588" w:type="dxa"/>
            <w:vMerge w:val="continue"/>
            <w:vAlign w:val="center"/>
          </w:tcPr>
          <w:p w14:paraId="06BEADE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p>
        </w:tc>
        <w:tc>
          <w:tcPr>
            <w:tcW w:w="658" w:type="dxa"/>
            <w:vAlign w:val="center"/>
          </w:tcPr>
          <w:p w14:paraId="4A08C3B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40</w:t>
            </w:r>
          </w:p>
        </w:tc>
        <w:tc>
          <w:tcPr>
            <w:tcW w:w="669" w:type="dxa"/>
            <w:vAlign w:val="center"/>
          </w:tcPr>
          <w:p w14:paraId="77E67CC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220</w:t>
            </w:r>
          </w:p>
        </w:tc>
      </w:tr>
      <w:tr w14:paraId="05384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82" w:type="dxa"/>
            <w:vAlign w:val="center"/>
          </w:tcPr>
          <w:p w14:paraId="3D8A472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挖掘机</w:t>
            </w:r>
          </w:p>
        </w:tc>
        <w:tc>
          <w:tcPr>
            <w:tcW w:w="710" w:type="dxa"/>
            <w:vAlign w:val="center"/>
          </w:tcPr>
          <w:p w14:paraId="40BA531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78.0</w:t>
            </w:r>
          </w:p>
        </w:tc>
        <w:tc>
          <w:tcPr>
            <w:tcW w:w="710" w:type="dxa"/>
            <w:vAlign w:val="center"/>
          </w:tcPr>
          <w:p w14:paraId="25AFFE8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72.0</w:t>
            </w:r>
          </w:p>
        </w:tc>
        <w:tc>
          <w:tcPr>
            <w:tcW w:w="710" w:type="dxa"/>
            <w:vAlign w:val="center"/>
          </w:tcPr>
          <w:p w14:paraId="256532C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64.0</w:t>
            </w:r>
          </w:p>
        </w:tc>
        <w:tc>
          <w:tcPr>
            <w:tcW w:w="710" w:type="dxa"/>
            <w:vAlign w:val="center"/>
          </w:tcPr>
          <w:p w14:paraId="10A55B8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58.0</w:t>
            </w:r>
          </w:p>
        </w:tc>
        <w:tc>
          <w:tcPr>
            <w:tcW w:w="710" w:type="dxa"/>
            <w:vAlign w:val="center"/>
          </w:tcPr>
          <w:p w14:paraId="6EC522B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56.0</w:t>
            </w:r>
          </w:p>
        </w:tc>
        <w:tc>
          <w:tcPr>
            <w:tcW w:w="710" w:type="dxa"/>
            <w:vAlign w:val="center"/>
          </w:tcPr>
          <w:p w14:paraId="315CD5B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54.0</w:t>
            </w:r>
          </w:p>
        </w:tc>
        <w:tc>
          <w:tcPr>
            <w:tcW w:w="713" w:type="dxa"/>
            <w:vAlign w:val="center"/>
          </w:tcPr>
          <w:p w14:paraId="1CFEEAC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52.5</w:t>
            </w:r>
          </w:p>
        </w:tc>
        <w:tc>
          <w:tcPr>
            <w:tcW w:w="658" w:type="dxa"/>
            <w:vMerge w:val="continue"/>
            <w:vAlign w:val="center"/>
          </w:tcPr>
          <w:p w14:paraId="5871625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p>
        </w:tc>
        <w:tc>
          <w:tcPr>
            <w:tcW w:w="588" w:type="dxa"/>
            <w:vMerge w:val="continue"/>
            <w:vAlign w:val="center"/>
          </w:tcPr>
          <w:p w14:paraId="64A1ACA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p>
        </w:tc>
        <w:tc>
          <w:tcPr>
            <w:tcW w:w="658" w:type="dxa"/>
            <w:vAlign w:val="center"/>
          </w:tcPr>
          <w:p w14:paraId="535C0E7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25</w:t>
            </w:r>
          </w:p>
        </w:tc>
        <w:tc>
          <w:tcPr>
            <w:tcW w:w="669" w:type="dxa"/>
            <w:vAlign w:val="center"/>
          </w:tcPr>
          <w:p w14:paraId="697C476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95</w:t>
            </w:r>
          </w:p>
        </w:tc>
      </w:tr>
      <w:tr w14:paraId="02840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82" w:type="dxa"/>
            <w:vAlign w:val="center"/>
          </w:tcPr>
          <w:p w14:paraId="2176279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卡车</w:t>
            </w:r>
          </w:p>
        </w:tc>
        <w:tc>
          <w:tcPr>
            <w:tcW w:w="710" w:type="dxa"/>
            <w:vAlign w:val="center"/>
          </w:tcPr>
          <w:p w14:paraId="1ED3E93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85.5</w:t>
            </w:r>
          </w:p>
        </w:tc>
        <w:tc>
          <w:tcPr>
            <w:tcW w:w="710" w:type="dxa"/>
            <w:vAlign w:val="center"/>
          </w:tcPr>
          <w:p w14:paraId="6555DB0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79.5</w:t>
            </w:r>
          </w:p>
        </w:tc>
        <w:tc>
          <w:tcPr>
            <w:tcW w:w="710" w:type="dxa"/>
            <w:vAlign w:val="center"/>
          </w:tcPr>
          <w:p w14:paraId="3EA63C9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73.5</w:t>
            </w:r>
          </w:p>
        </w:tc>
        <w:tc>
          <w:tcPr>
            <w:tcW w:w="710" w:type="dxa"/>
            <w:vAlign w:val="center"/>
          </w:tcPr>
          <w:p w14:paraId="5E9ED10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65.5</w:t>
            </w:r>
          </w:p>
        </w:tc>
        <w:tc>
          <w:tcPr>
            <w:tcW w:w="710" w:type="dxa"/>
            <w:vAlign w:val="center"/>
          </w:tcPr>
          <w:p w14:paraId="30EDC7E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63.0</w:t>
            </w:r>
          </w:p>
        </w:tc>
        <w:tc>
          <w:tcPr>
            <w:tcW w:w="710" w:type="dxa"/>
            <w:vAlign w:val="center"/>
          </w:tcPr>
          <w:p w14:paraId="0321E7A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61.5</w:t>
            </w:r>
          </w:p>
        </w:tc>
        <w:tc>
          <w:tcPr>
            <w:tcW w:w="713" w:type="dxa"/>
            <w:vAlign w:val="center"/>
          </w:tcPr>
          <w:p w14:paraId="018C691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58.0</w:t>
            </w:r>
          </w:p>
        </w:tc>
        <w:tc>
          <w:tcPr>
            <w:tcW w:w="658" w:type="dxa"/>
            <w:vMerge w:val="continue"/>
            <w:vAlign w:val="center"/>
          </w:tcPr>
          <w:p w14:paraId="34FD4CE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p>
        </w:tc>
        <w:tc>
          <w:tcPr>
            <w:tcW w:w="588" w:type="dxa"/>
            <w:vMerge w:val="continue"/>
            <w:vAlign w:val="center"/>
          </w:tcPr>
          <w:p w14:paraId="11C3958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p>
        </w:tc>
        <w:tc>
          <w:tcPr>
            <w:tcW w:w="658" w:type="dxa"/>
            <w:vAlign w:val="center"/>
          </w:tcPr>
          <w:p w14:paraId="02BFA0A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55</w:t>
            </w:r>
          </w:p>
        </w:tc>
        <w:tc>
          <w:tcPr>
            <w:tcW w:w="669" w:type="dxa"/>
            <w:vAlign w:val="center"/>
          </w:tcPr>
          <w:p w14:paraId="1677EF7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225</w:t>
            </w:r>
          </w:p>
        </w:tc>
      </w:tr>
      <w:tr w14:paraId="4B1AC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82" w:type="dxa"/>
            <w:vAlign w:val="center"/>
          </w:tcPr>
          <w:p w14:paraId="4610630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压路机</w:t>
            </w:r>
          </w:p>
        </w:tc>
        <w:tc>
          <w:tcPr>
            <w:tcW w:w="710" w:type="dxa"/>
            <w:vAlign w:val="center"/>
          </w:tcPr>
          <w:p w14:paraId="54ACE56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80.0</w:t>
            </w:r>
          </w:p>
        </w:tc>
        <w:tc>
          <w:tcPr>
            <w:tcW w:w="710" w:type="dxa"/>
            <w:vAlign w:val="center"/>
          </w:tcPr>
          <w:p w14:paraId="5141411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74.0</w:t>
            </w:r>
          </w:p>
        </w:tc>
        <w:tc>
          <w:tcPr>
            <w:tcW w:w="710" w:type="dxa"/>
            <w:vAlign w:val="center"/>
          </w:tcPr>
          <w:p w14:paraId="5E76E58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66.0</w:t>
            </w:r>
          </w:p>
        </w:tc>
        <w:tc>
          <w:tcPr>
            <w:tcW w:w="710" w:type="dxa"/>
            <w:vAlign w:val="center"/>
          </w:tcPr>
          <w:p w14:paraId="74D6EDC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60.4</w:t>
            </w:r>
          </w:p>
        </w:tc>
        <w:tc>
          <w:tcPr>
            <w:tcW w:w="710" w:type="dxa"/>
            <w:vAlign w:val="center"/>
          </w:tcPr>
          <w:p w14:paraId="36015F2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58.0</w:t>
            </w:r>
          </w:p>
        </w:tc>
        <w:tc>
          <w:tcPr>
            <w:tcW w:w="710" w:type="dxa"/>
            <w:vAlign w:val="center"/>
          </w:tcPr>
          <w:p w14:paraId="7B81D42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56.0</w:t>
            </w:r>
          </w:p>
        </w:tc>
        <w:tc>
          <w:tcPr>
            <w:tcW w:w="713" w:type="dxa"/>
            <w:vAlign w:val="center"/>
          </w:tcPr>
          <w:p w14:paraId="1EB4385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54.5</w:t>
            </w:r>
          </w:p>
        </w:tc>
        <w:tc>
          <w:tcPr>
            <w:tcW w:w="658" w:type="dxa"/>
            <w:vMerge w:val="continue"/>
            <w:vAlign w:val="center"/>
          </w:tcPr>
          <w:p w14:paraId="7B51635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p>
        </w:tc>
        <w:tc>
          <w:tcPr>
            <w:tcW w:w="588" w:type="dxa"/>
            <w:vMerge w:val="continue"/>
            <w:vAlign w:val="center"/>
          </w:tcPr>
          <w:p w14:paraId="49E2614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p>
        </w:tc>
        <w:tc>
          <w:tcPr>
            <w:tcW w:w="658" w:type="dxa"/>
            <w:vAlign w:val="center"/>
          </w:tcPr>
          <w:p w14:paraId="5F66303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31</w:t>
            </w:r>
          </w:p>
        </w:tc>
        <w:tc>
          <w:tcPr>
            <w:tcW w:w="669" w:type="dxa"/>
            <w:vAlign w:val="center"/>
          </w:tcPr>
          <w:p w14:paraId="3D2633D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140</w:t>
            </w:r>
          </w:p>
        </w:tc>
      </w:tr>
      <w:tr w14:paraId="6801D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82" w:type="dxa"/>
            <w:vAlign w:val="center"/>
          </w:tcPr>
          <w:p w14:paraId="00786E9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摊铺机</w:t>
            </w:r>
          </w:p>
        </w:tc>
        <w:tc>
          <w:tcPr>
            <w:tcW w:w="710" w:type="dxa"/>
            <w:vAlign w:val="center"/>
          </w:tcPr>
          <w:p w14:paraId="50B6332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81</w:t>
            </w:r>
          </w:p>
        </w:tc>
        <w:tc>
          <w:tcPr>
            <w:tcW w:w="710" w:type="dxa"/>
            <w:vAlign w:val="center"/>
          </w:tcPr>
          <w:p w14:paraId="1DFC6B0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75</w:t>
            </w:r>
          </w:p>
        </w:tc>
        <w:tc>
          <w:tcPr>
            <w:tcW w:w="710" w:type="dxa"/>
            <w:vAlign w:val="center"/>
          </w:tcPr>
          <w:p w14:paraId="63F310D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69</w:t>
            </w:r>
          </w:p>
        </w:tc>
        <w:tc>
          <w:tcPr>
            <w:tcW w:w="710" w:type="dxa"/>
            <w:vAlign w:val="center"/>
          </w:tcPr>
          <w:p w14:paraId="445870A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65.5</w:t>
            </w:r>
          </w:p>
        </w:tc>
        <w:tc>
          <w:tcPr>
            <w:tcW w:w="710" w:type="dxa"/>
            <w:vAlign w:val="center"/>
          </w:tcPr>
          <w:p w14:paraId="74AFEA4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63</w:t>
            </w:r>
          </w:p>
        </w:tc>
        <w:tc>
          <w:tcPr>
            <w:tcW w:w="710" w:type="dxa"/>
            <w:vAlign w:val="center"/>
          </w:tcPr>
          <w:p w14:paraId="73CF7D7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61</w:t>
            </w:r>
          </w:p>
        </w:tc>
        <w:tc>
          <w:tcPr>
            <w:tcW w:w="713" w:type="dxa"/>
            <w:vAlign w:val="center"/>
          </w:tcPr>
          <w:p w14:paraId="74E2B70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57.5</w:t>
            </w:r>
          </w:p>
        </w:tc>
        <w:tc>
          <w:tcPr>
            <w:tcW w:w="658" w:type="dxa"/>
            <w:vMerge w:val="continue"/>
            <w:vAlign w:val="center"/>
          </w:tcPr>
          <w:p w14:paraId="0090FCF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p>
        </w:tc>
        <w:tc>
          <w:tcPr>
            <w:tcW w:w="588" w:type="dxa"/>
            <w:vMerge w:val="continue"/>
            <w:vAlign w:val="center"/>
          </w:tcPr>
          <w:p w14:paraId="201F5E3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p>
        </w:tc>
        <w:tc>
          <w:tcPr>
            <w:tcW w:w="658" w:type="dxa"/>
            <w:vAlign w:val="center"/>
          </w:tcPr>
          <w:p w14:paraId="5111978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115</w:t>
            </w:r>
          </w:p>
        </w:tc>
        <w:tc>
          <w:tcPr>
            <w:tcW w:w="669" w:type="dxa"/>
            <w:vAlign w:val="center"/>
          </w:tcPr>
          <w:p w14:paraId="1CCB570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200</w:t>
            </w:r>
          </w:p>
        </w:tc>
      </w:tr>
      <w:tr w14:paraId="6E38E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82" w:type="dxa"/>
            <w:vAlign w:val="center"/>
          </w:tcPr>
          <w:p w14:paraId="3DB7769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搅拌机</w:t>
            </w:r>
          </w:p>
        </w:tc>
        <w:tc>
          <w:tcPr>
            <w:tcW w:w="710" w:type="dxa"/>
            <w:vAlign w:val="center"/>
          </w:tcPr>
          <w:p w14:paraId="60EA502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86</w:t>
            </w:r>
          </w:p>
        </w:tc>
        <w:tc>
          <w:tcPr>
            <w:tcW w:w="710" w:type="dxa"/>
            <w:vAlign w:val="center"/>
          </w:tcPr>
          <w:p w14:paraId="2108BE4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80</w:t>
            </w:r>
          </w:p>
        </w:tc>
        <w:tc>
          <w:tcPr>
            <w:tcW w:w="710" w:type="dxa"/>
            <w:vAlign w:val="center"/>
          </w:tcPr>
          <w:p w14:paraId="376D5F2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74</w:t>
            </w:r>
          </w:p>
        </w:tc>
        <w:tc>
          <w:tcPr>
            <w:tcW w:w="710" w:type="dxa"/>
            <w:vAlign w:val="center"/>
          </w:tcPr>
          <w:p w14:paraId="2837E8A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70.5</w:t>
            </w:r>
          </w:p>
        </w:tc>
        <w:tc>
          <w:tcPr>
            <w:tcW w:w="710" w:type="dxa"/>
            <w:vAlign w:val="center"/>
          </w:tcPr>
          <w:p w14:paraId="17BCE53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68</w:t>
            </w:r>
          </w:p>
        </w:tc>
        <w:tc>
          <w:tcPr>
            <w:tcW w:w="710" w:type="dxa"/>
            <w:vAlign w:val="center"/>
          </w:tcPr>
          <w:p w14:paraId="52B1A51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66</w:t>
            </w:r>
          </w:p>
        </w:tc>
        <w:tc>
          <w:tcPr>
            <w:tcW w:w="713" w:type="dxa"/>
            <w:vAlign w:val="center"/>
          </w:tcPr>
          <w:p w14:paraId="505C837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62.5</w:t>
            </w:r>
          </w:p>
        </w:tc>
        <w:tc>
          <w:tcPr>
            <w:tcW w:w="658" w:type="dxa"/>
            <w:vMerge w:val="continue"/>
            <w:vAlign w:val="center"/>
          </w:tcPr>
          <w:p w14:paraId="54BD394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p>
        </w:tc>
        <w:tc>
          <w:tcPr>
            <w:tcW w:w="588" w:type="dxa"/>
            <w:vMerge w:val="continue"/>
            <w:vAlign w:val="center"/>
          </w:tcPr>
          <w:p w14:paraId="45231A1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p>
        </w:tc>
        <w:tc>
          <w:tcPr>
            <w:tcW w:w="658" w:type="dxa"/>
            <w:vAlign w:val="center"/>
          </w:tcPr>
          <w:p w14:paraId="4FB06BD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200</w:t>
            </w:r>
          </w:p>
        </w:tc>
        <w:tc>
          <w:tcPr>
            <w:tcW w:w="669" w:type="dxa"/>
            <w:vAlign w:val="center"/>
          </w:tcPr>
          <w:p w14:paraId="18B2339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295</w:t>
            </w:r>
          </w:p>
        </w:tc>
      </w:tr>
      <w:tr w14:paraId="3573A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82" w:type="dxa"/>
            <w:vAlign w:val="center"/>
          </w:tcPr>
          <w:p w14:paraId="2F4B14D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平土机</w:t>
            </w:r>
          </w:p>
        </w:tc>
        <w:tc>
          <w:tcPr>
            <w:tcW w:w="710" w:type="dxa"/>
            <w:vAlign w:val="center"/>
          </w:tcPr>
          <w:p w14:paraId="59FBB63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80</w:t>
            </w:r>
          </w:p>
        </w:tc>
        <w:tc>
          <w:tcPr>
            <w:tcW w:w="710" w:type="dxa"/>
            <w:vAlign w:val="center"/>
          </w:tcPr>
          <w:p w14:paraId="49AC979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74</w:t>
            </w:r>
          </w:p>
        </w:tc>
        <w:tc>
          <w:tcPr>
            <w:tcW w:w="710" w:type="dxa"/>
            <w:vAlign w:val="center"/>
          </w:tcPr>
          <w:p w14:paraId="2F2C279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68</w:t>
            </w:r>
          </w:p>
        </w:tc>
        <w:tc>
          <w:tcPr>
            <w:tcW w:w="710" w:type="dxa"/>
            <w:vAlign w:val="center"/>
          </w:tcPr>
          <w:p w14:paraId="156D31D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64.5</w:t>
            </w:r>
          </w:p>
        </w:tc>
        <w:tc>
          <w:tcPr>
            <w:tcW w:w="710" w:type="dxa"/>
            <w:vAlign w:val="center"/>
          </w:tcPr>
          <w:p w14:paraId="1411E81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62</w:t>
            </w:r>
          </w:p>
        </w:tc>
        <w:tc>
          <w:tcPr>
            <w:tcW w:w="710" w:type="dxa"/>
            <w:vAlign w:val="center"/>
          </w:tcPr>
          <w:p w14:paraId="5172F14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60</w:t>
            </w:r>
          </w:p>
        </w:tc>
        <w:tc>
          <w:tcPr>
            <w:tcW w:w="713" w:type="dxa"/>
            <w:vAlign w:val="center"/>
          </w:tcPr>
          <w:p w14:paraId="53FAC70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56.5</w:t>
            </w:r>
          </w:p>
        </w:tc>
        <w:tc>
          <w:tcPr>
            <w:tcW w:w="658" w:type="dxa"/>
            <w:vMerge w:val="continue"/>
            <w:vAlign w:val="center"/>
          </w:tcPr>
          <w:p w14:paraId="120F240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p>
        </w:tc>
        <w:tc>
          <w:tcPr>
            <w:tcW w:w="588" w:type="dxa"/>
            <w:vMerge w:val="continue"/>
            <w:vAlign w:val="center"/>
          </w:tcPr>
          <w:p w14:paraId="04FFF00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p>
        </w:tc>
        <w:tc>
          <w:tcPr>
            <w:tcW w:w="658" w:type="dxa"/>
            <w:vAlign w:val="center"/>
          </w:tcPr>
          <w:p w14:paraId="434F213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100</w:t>
            </w:r>
          </w:p>
        </w:tc>
        <w:tc>
          <w:tcPr>
            <w:tcW w:w="669" w:type="dxa"/>
            <w:vAlign w:val="center"/>
          </w:tcPr>
          <w:p w14:paraId="7B41F35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184</w:t>
            </w:r>
          </w:p>
        </w:tc>
      </w:tr>
    </w:tbl>
    <w:p w14:paraId="35678001">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施工场站噪声影响：</w:t>
      </w:r>
      <w:r>
        <w:rPr>
          <w:rFonts w:hint="default" w:ascii="Times New Roman" w:hAnsi="Times New Roman" w:cs="Times New Roman"/>
          <w:color w:val="auto"/>
          <w:kern w:val="0"/>
          <w:sz w:val="24"/>
          <w:szCs w:val="24"/>
          <w:lang w:val="en-US" w:eastAsia="zh-CN" w:bidi="ar"/>
        </w:rPr>
        <w:t>建筑施工噪声排放标准</w:t>
      </w:r>
      <w:r>
        <w:rPr>
          <w:rFonts w:hint="default" w:ascii="Times New Roman" w:hAnsi="Times New Roman" w:eastAsia="宋体" w:cs="Times New Roman"/>
          <w:color w:val="auto"/>
          <w:kern w:val="0"/>
          <w:sz w:val="24"/>
          <w:szCs w:val="24"/>
          <w:lang w:val="en-US" w:eastAsia="zh-CN" w:bidi="ar"/>
        </w:rPr>
        <w:t>（GB12523-20</w:t>
      </w:r>
      <w:r>
        <w:rPr>
          <w:rFonts w:hint="default" w:ascii="Times New Roman" w:hAnsi="Times New Roman" w:cs="Times New Roman"/>
          <w:color w:val="auto"/>
          <w:kern w:val="0"/>
          <w:sz w:val="24"/>
          <w:szCs w:val="24"/>
          <w:lang w:val="en-US" w:eastAsia="zh-CN" w:bidi="ar"/>
        </w:rPr>
        <w:t>25</w:t>
      </w:r>
      <w:r>
        <w:rPr>
          <w:rFonts w:hint="default" w:ascii="Times New Roman" w:hAnsi="Times New Roman" w:eastAsia="宋体" w:cs="Times New Roman"/>
          <w:color w:val="auto"/>
          <w:kern w:val="0"/>
          <w:sz w:val="24"/>
          <w:szCs w:val="24"/>
          <w:lang w:val="en-US" w:eastAsia="zh-CN" w:bidi="ar"/>
        </w:rPr>
        <w:t>）的规定，昼间的噪声限值为70dB（A），夜间限值为55dB（A），表5.2-2的噪声级表明：昼间在距离施工场地200m以外，夜间在距离施工场地400m以外噪声可达到标准限值。</w:t>
      </w:r>
    </w:p>
    <w:p w14:paraId="7E20E809">
      <w:pPr>
        <w:keepNext w:val="0"/>
        <w:keepLines w:val="0"/>
        <w:pageBreakBefore w:val="0"/>
        <w:widowControl/>
        <w:suppressLineNumbers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从预测估算结果分析，施工噪声将对沿线声环境质量产生一定的影响，夜间噪声影响范围远比昼间要大，本项目沿线村庄敏感点分布较分散，昼间施工噪声对周围声环境敏感点将有不同程度的影响，夜间施工将对公路沿线评价范围内居民的休息造成较大的干扰，特别是对一些</w:t>
      </w:r>
      <w:r>
        <w:rPr>
          <w:rFonts w:hint="default" w:ascii="Times New Roman" w:hAnsi="Times New Roman" w:cs="Times New Roman"/>
          <w:color w:val="auto"/>
          <w:kern w:val="0"/>
          <w:sz w:val="24"/>
          <w:szCs w:val="24"/>
          <w:lang w:val="en-US" w:eastAsia="zh-CN" w:bidi="ar"/>
        </w:rPr>
        <w:t>距离公路</w:t>
      </w:r>
      <w:r>
        <w:rPr>
          <w:rFonts w:hint="default" w:ascii="Times New Roman" w:hAnsi="Times New Roman" w:eastAsia="宋体" w:cs="Times New Roman"/>
          <w:color w:val="auto"/>
          <w:kern w:val="0"/>
          <w:sz w:val="24"/>
          <w:szCs w:val="24"/>
          <w:lang w:val="en-US" w:eastAsia="zh-CN" w:bidi="ar"/>
        </w:rPr>
        <w:t>较近的敏感点，这些影响将更为突出。针对施工噪声的特点，在施工场界处噪声一般难以满足《</w:t>
      </w:r>
      <w:r>
        <w:rPr>
          <w:rFonts w:hint="default" w:ascii="Times New Roman" w:hAnsi="Times New Roman" w:cs="Times New Roman"/>
          <w:color w:val="auto"/>
          <w:kern w:val="0"/>
          <w:sz w:val="24"/>
          <w:szCs w:val="24"/>
          <w:lang w:val="en-US" w:eastAsia="zh-CN" w:bidi="ar"/>
        </w:rPr>
        <w:t>建筑施工噪声排放标准</w:t>
      </w:r>
      <w:r>
        <w:rPr>
          <w:rFonts w:hint="default" w:ascii="Times New Roman" w:hAnsi="Times New Roman" w:eastAsia="宋体" w:cs="Times New Roman"/>
          <w:color w:val="auto"/>
          <w:kern w:val="0"/>
          <w:sz w:val="24"/>
          <w:szCs w:val="24"/>
          <w:lang w:val="en-US" w:eastAsia="zh-CN" w:bidi="ar"/>
        </w:rPr>
        <w:t>》（GB 12523-20</w:t>
      </w:r>
      <w:r>
        <w:rPr>
          <w:rFonts w:hint="default" w:ascii="Times New Roman" w:hAnsi="Times New Roman" w:cs="Times New Roman"/>
          <w:color w:val="auto"/>
          <w:kern w:val="0"/>
          <w:sz w:val="24"/>
          <w:szCs w:val="24"/>
          <w:lang w:val="en-US" w:eastAsia="zh-CN" w:bidi="ar"/>
        </w:rPr>
        <w:t>25</w:t>
      </w:r>
      <w:r>
        <w:rPr>
          <w:rFonts w:hint="default" w:ascii="Times New Roman" w:hAnsi="Times New Roman" w:eastAsia="宋体" w:cs="Times New Roman"/>
          <w:color w:val="auto"/>
          <w:kern w:val="0"/>
          <w:sz w:val="24"/>
          <w:szCs w:val="24"/>
          <w:lang w:val="en-US" w:eastAsia="zh-CN" w:bidi="ar"/>
        </w:rPr>
        <w:t>）噪声限值，因此要做好施工的管理和临时降噪措施，针对振动夯锤和打桩机高噪音设备应提出施工作业时间控制要求，禁止夜间施工。</w:t>
      </w:r>
    </w:p>
    <w:p w14:paraId="6E3CDF26">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施工噪声因不同的施工机械影响的范围相差很大，夜间施工噪声的影响范围远大于昼间。实际情况下，受噪声影响主要为临路的第一排建筑。为保护沿线居民的正常生活和休息，施工单位应合理安排施工时间，在3处声环境敏感点路段尽量避免夜间施工。</w:t>
      </w:r>
    </w:p>
    <w:p w14:paraId="0652F276">
      <w:pPr>
        <w:keepNext w:val="0"/>
        <w:keepLines w:val="0"/>
        <w:pageBreakBefore w:val="0"/>
        <w:widowControl/>
        <w:suppressLineNumbers w:val="0"/>
        <w:kinsoku/>
        <w:wordWrap/>
        <w:overflowPunct/>
        <w:topLinePunct w:val="0"/>
        <w:autoSpaceDE/>
        <w:autoSpaceDN/>
        <w:bidi w:val="0"/>
        <w:adjustRightInd w:val="0"/>
        <w:snapToGrid w:val="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公路施工噪声是短期污染行为，一般的居民均能理解，但是作为建设单位或施工单位，应合理地安排施工进度和时间，文明施工、环保施工，并采取必要的噪声控制措施，降低施工噪声对环境的影响。由于</w:t>
      </w:r>
      <w:r>
        <w:rPr>
          <w:rFonts w:hint="default" w:ascii="Times New Roman" w:hAnsi="Times New Roman" w:eastAsia="宋体" w:cs="Times New Roman"/>
          <w:color w:val="auto"/>
          <w:kern w:val="0"/>
          <w:sz w:val="24"/>
          <w:szCs w:val="24"/>
          <w:highlight w:val="none"/>
          <w:lang w:val="en-US" w:eastAsia="zh-CN" w:bidi="ar"/>
        </w:rPr>
        <w:t>拟建公路施工场站距离沿线声环境保护均超过了</w:t>
      </w:r>
      <w:r>
        <w:rPr>
          <w:rFonts w:hint="default" w:ascii="Times New Roman" w:hAnsi="Times New Roman" w:cs="Times New Roman"/>
          <w:color w:val="auto"/>
          <w:kern w:val="0"/>
          <w:sz w:val="24"/>
          <w:szCs w:val="24"/>
          <w:highlight w:val="none"/>
          <w:lang w:val="en-US" w:eastAsia="zh-CN" w:bidi="ar"/>
        </w:rPr>
        <w:t>5</w:t>
      </w:r>
      <w:r>
        <w:rPr>
          <w:rFonts w:hint="default" w:ascii="Times New Roman" w:hAnsi="Times New Roman" w:eastAsia="宋体" w:cs="Times New Roman"/>
          <w:color w:val="auto"/>
          <w:kern w:val="0"/>
          <w:sz w:val="24"/>
          <w:szCs w:val="24"/>
          <w:highlight w:val="none"/>
          <w:lang w:val="en-US" w:eastAsia="zh-CN" w:bidi="ar"/>
        </w:rPr>
        <w:t>00m</w:t>
      </w:r>
      <w:r>
        <w:rPr>
          <w:rFonts w:hint="default" w:ascii="Times New Roman" w:hAnsi="Times New Roman" w:eastAsia="宋体" w:cs="Times New Roman"/>
          <w:color w:val="auto"/>
          <w:kern w:val="0"/>
          <w:sz w:val="24"/>
          <w:szCs w:val="24"/>
          <w:lang w:val="en-US" w:eastAsia="zh-CN" w:bidi="ar"/>
        </w:rPr>
        <w:t>，故施工场站昼间夜间施工机械噪声对周围环境影响不大。</w:t>
      </w:r>
    </w:p>
    <w:p w14:paraId="1AA9510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公路施工现场噪声影响：公路施工现场施工机械受工序影响较大，同一施工阶段投入的施工机械也有多有少，导致了施工噪声的随意性和无规律性，合理安排施工时序、机械数量可将公路施工现场噪声影响降至最低。</w:t>
      </w:r>
    </w:p>
    <w:p w14:paraId="40600DF7">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通过预测可知：单台机械作业时，昼间最大在距源50m处噪声可满足《建筑施工场界噪声排放标准》昼间70dB（A）的标准；通过预测可知噪声级表明：昼间在距离施工场地200m以外，夜间施工在距离施工机械300m处可以满足夜间55dB（A）标准；多种施工机械同时作业时，路基基础施工阶段昼间施工噪声在距离施工机械100m处可满足昼间70dB（A）标准，夜间施工在距离施工机械600m处可以满足夜间55dB（A）的标准；面层施工阶段昼间施工噪声在距离施工机械56m处可满足昼间70dB（A）标准，夜间施工在距离施工机械318m处可以满足夜间55dB（A）的标准。</w:t>
      </w:r>
    </w:p>
    <w:p w14:paraId="0D74A531">
      <w:pPr>
        <w:keepNext w:val="0"/>
        <w:keepLines w:val="0"/>
        <w:widowControl/>
        <w:suppressLineNumbers w:val="0"/>
        <w:jc w:val="left"/>
        <w:rPr>
          <w:rFonts w:hint="default" w:ascii="Times New Roman" w:hAnsi="Times New Roman" w:eastAsia="宋体" w:cs="Times New Roman"/>
          <w:color w:val="auto"/>
          <w:kern w:val="0"/>
          <w:sz w:val="24"/>
          <w:szCs w:val="24"/>
          <w:lang w:val="en-US" w:eastAsia="en-US" w:bidi="ar"/>
        </w:rPr>
      </w:pPr>
      <w:r>
        <w:rPr>
          <w:rFonts w:hint="default" w:ascii="Times New Roman" w:hAnsi="Times New Roman" w:eastAsia="宋体" w:cs="Times New Roman"/>
          <w:color w:val="auto"/>
          <w:kern w:val="0"/>
          <w:sz w:val="24"/>
          <w:szCs w:val="24"/>
          <w:lang w:val="en-US" w:eastAsia="en-US" w:bidi="ar"/>
        </w:rPr>
        <w:t>隧道施工爆破环境振动和空气冲击波强度大，传播距离远。本评价通过理论计算评价爆破噪声影响范围和程度，分析隧道施工爆破对周围居民区的影响。</w:t>
      </w:r>
    </w:p>
    <w:p w14:paraId="32A0F0AD">
      <w:pPr>
        <w:keepNext w:val="0"/>
        <w:keepLines w:val="0"/>
        <w:widowControl/>
        <w:suppressLineNumbers w:val="0"/>
        <w:jc w:val="left"/>
        <w:rPr>
          <w:rFonts w:hint="default" w:ascii="Times New Roman" w:hAnsi="Times New Roman" w:eastAsia="宋体" w:cs="Times New Roman"/>
          <w:color w:val="auto"/>
          <w:kern w:val="0"/>
          <w:sz w:val="24"/>
          <w:szCs w:val="24"/>
          <w:lang w:val="en-US" w:eastAsia="en-US" w:bidi="ar"/>
        </w:rPr>
      </w:pPr>
      <w:r>
        <w:rPr>
          <w:rFonts w:hint="default" w:ascii="Times New Roman" w:hAnsi="Times New Roman" w:eastAsia="宋体" w:cs="Times New Roman"/>
          <w:color w:val="auto"/>
          <w:kern w:val="0"/>
          <w:sz w:val="24"/>
          <w:szCs w:val="24"/>
          <w:lang w:val="en-US" w:eastAsia="en-US" w:bidi="ar"/>
        </w:rPr>
        <w:t>爆破空气冲击波超压：P=K1×（Q1/3/R）α</w:t>
      </w:r>
    </w:p>
    <w:p w14:paraId="77AB9037">
      <w:pPr>
        <w:keepNext w:val="0"/>
        <w:keepLines w:val="0"/>
        <w:widowControl/>
        <w:suppressLineNumbers w:val="0"/>
        <w:jc w:val="left"/>
        <w:rPr>
          <w:rFonts w:hint="default" w:ascii="Times New Roman" w:hAnsi="Times New Roman" w:eastAsia="宋体" w:cs="Times New Roman"/>
          <w:color w:val="auto"/>
          <w:kern w:val="0"/>
          <w:sz w:val="24"/>
          <w:szCs w:val="24"/>
          <w:lang w:val="en-US" w:eastAsia="en-US" w:bidi="ar"/>
        </w:rPr>
      </w:pPr>
      <w:r>
        <w:rPr>
          <w:rFonts w:hint="default" w:ascii="Times New Roman" w:hAnsi="Times New Roman" w:eastAsia="宋体" w:cs="Times New Roman"/>
          <w:color w:val="auto"/>
          <w:kern w:val="0"/>
          <w:sz w:val="24"/>
          <w:szCs w:val="24"/>
          <w:lang w:val="en-US" w:eastAsia="en-US" w:bidi="ar"/>
        </w:rPr>
        <w:t>环境噪声声压级：LP=LP0+20log（P/P0）</w:t>
      </w:r>
    </w:p>
    <w:p w14:paraId="56D600A9">
      <w:pPr>
        <w:keepNext w:val="0"/>
        <w:keepLines w:val="0"/>
        <w:widowControl/>
        <w:suppressLineNumbers w:val="0"/>
        <w:jc w:val="left"/>
        <w:rPr>
          <w:rFonts w:hint="default" w:ascii="Times New Roman" w:hAnsi="Times New Roman" w:eastAsia="宋体" w:cs="Times New Roman"/>
          <w:color w:val="auto"/>
          <w:kern w:val="0"/>
          <w:sz w:val="24"/>
          <w:szCs w:val="24"/>
          <w:lang w:val="en-US" w:eastAsia="en-US" w:bidi="ar"/>
        </w:rPr>
      </w:pPr>
      <w:r>
        <w:rPr>
          <w:rFonts w:hint="default" w:ascii="Times New Roman" w:hAnsi="Times New Roman" w:eastAsia="宋体" w:cs="Times New Roman"/>
          <w:snapToGrid w:val="0"/>
          <w:color w:val="auto"/>
          <w:spacing w:val="11"/>
          <w:kern w:val="0"/>
          <w:position w:val="-4"/>
          <w:sz w:val="24"/>
          <w:szCs w:val="24"/>
          <w:lang w:val="en-US" w:eastAsia="en-US" w:bidi="ar-SA"/>
        </w:rPr>
        <w:t>噪声衰减计算公式：</w:t>
      </w:r>
      <w:r>
        <w:rPr>
          <w:rFonts w:hint="default" w:ascii="Times New Roman" w:hAnsi="Times New Roman" w:eastAsia="Arial" w:cs="Times New Roman"/>
          <w:snapToGrid w:val="0"/>
          <w:color w:val="auto"/>
          <w:spacing w:val="11"/>
          <w:kern w:val="0"/>
          <w:sz w:val="24"/>
          <w:szCs w:val="24"/>
          <w:lang w:val="en-US" w:eastAsia="en-US" w:bidi="ar-SA"/>
        </w:rPr>
        <w:t>L(r)=L(r,)-20</w:t>
      </w:r>
      <w:r>
        <w:rPr>
          <w:rFonts w:hint="default" w:ascii="Times New Roman" w:hAnsi="Times New Roman" w:eastAsia="Arial" w:cs="Times New Roman"/>
          <w:snapToGrid w:val="0"/>
          <w:color w:val="auto"/>
          <w:kern w:val="0"/>
          <w:sz w:val="24"/>
          <w:szCs w:val="24"/>
          <w:lang w:val="en-US" w:eastAsia="en-US" w:bidi="ar-SA"/>
        </w:rPr>
        <w:t>log</w:t>
      </w:r>
      <w:r>
        <w:rPr>
          <w:rFonts w:hint="default" w:ascii="Times New Roman" w:hAnsi="Times New Roman" w:eastAsia="Arial" w:cs="Times New Roman"/>
          <w:snapToGrid w:val="0"/>
          <w:color w:val="auto"/>
          <w:spacing w:val="11"/>
          <w:kern w:val="0"/>
          <w:sz w:val="24"/>
          <w:szCs w:val="24"/>
          <w:lang w:val="en-US" w:eastAsia="en-US" w:bidi="ar-SA"/>
        </w:rPr>
        <w:t>(</w:t>
      </w:r>
      <w:r>
        <w:rPr>
          <w:rFonts w:hint="default" w:ascii="Times New Roman" w:hAnsi="Times New Roman" w:eastAsia="Arial" w:cs="Times New Roman"/>
          <w:snapToGrid w:val="0"/>
          <w:color w:val="auto"/>
          <w:kern w:val="0"/>
          <w:sz w:val="24"/>
          <w:szCs w:val="24"/>
          <w:lang w:val="en-US" w:eastAsia="en-US" w:bidi="ar-SA"/>
        </w:rPr>
        <w:t>rl</w:t>
      </w:r>
      <w:r>
        <w:rPr>
          <w:rFonts w:hint="default" w:ascii="Times New Roman" w:hAnsi="Times New Roman" w:eastAsia="Arial" w:cs="Times New Roman"/>
          <w:snapToGrid w:val="0"/>
          <w:color w:val="auto"/>
          <w:spacing w:val="-11"/>
          <w:kern w:val="0"/>
          <w:sz w:val="24"/>
          <w:szCs w:val="24"/>
          <w:lang w:val="en-US" w:eastAsia="en-US" w:bidi="ar-SA"/>
        </w:rPr>
        <w:t xml:space="preserve"> </w:t>
      </w:r>
      <w:r>
        <w:rPr>
          <w:rFonts w:hint="default" w:ascii="Times New Roman" w:hAnsi="Times New Roman" w:eastAsia="Arial" w:cs="Times New Roman"/>
          <w:snapToGrid w:val="0"/>
          <w:color w:val="auto"/>
          <w:kern w:val="0"/>
          <w:sz w:val="24"/>
          <w:szCs w:val="24"/>
          <w:lang w:val="en-US" w:eastAsia="en-US" w:bidi="ar-SA"/>
        </w:rPr>
        <w:t>r</w:t>
      </w:r>
      <w:r>
        <w:rPr>
          <w:rFonts w:hint="default" w:ascii="Times New Roman" w:hAnsi="Times New Roman" w:eastAsia="Arial" w:cs="Times New Roman"/>
          <w:snapToGrid w:val="0"/>
          <w:color w:val="auto"/>
          <w:spacing w:val="11"/>
          <w:kern w:val="0"/>
          <w:sz w:val="24"/>
          <w:szCs w:val="24"/>
          <w:lang w:val="en-US" w:eastAsia="en-US" w:bidi="ar-SA"/>
        </w:rPr>
        <w:t>,)-a'(r-r,)/100-10</w:t>
      </w:r>
      <w:r>
        <w:rPr>
          <w:rFonts w:hint="default" w:ascii="Times New Roman" w:hAnsi="Times New Roman" w:eastAsia="Arial" w:cs="Times New Roman"/>
          <w:snapToGrid w:val="0"/>
          <w:color w:val="auto"/>
          <w:kern w:val="0"/>
          <w:sz w:val="24"/>
          <w:szCs w:val="24"/>
          <w:lang w:val="en-US" w:eastAsia="en-US" w:bidi="ar-SA"/>
        </w:rPr>
        <w:t>log</w:t>
      </w:r>
      <w:r>
        <w:rPr>
          <w:rFonts w:hint="default" w:ascii="Times New Roman" w:hAnsi="Times New Roman" w:eastAsia="Arial" w:cs="Times New Roman"/>
          <w:snapToGrid w:val="0"/>
          <w:color w:val="auto"/>
          <w:spacing w:val="11"/>
          <w:kern w:val="0"/>
          <w:sz w:val="24"/>
          <w:szCs w:val="24"/>
          <w:lang w:val="en-US" w:eastAsia="en-US" w:bidi="ar-SA"/>
        </w:rPr>
        <w:t>(/(3+20N))</w:t>
      </w:r>
      <w:r>
        <w:rPr>
          <w:rFonts w:hint="default" w:ascii="Times New Roman" w:hAnsi="Times New Roman" w:eastAsia="宋体" w:cs="Times New Roman"/>
          <w:color w:val="auto"/>
          <w:kern w:val="0"/>
          <w:sz w:val="24"/>
          <w:szCs w:val="24"/>
          <w:lang w:val="en-US" w:eastAsia="en-US" w:bidi="ar"/>
        </w:rPr>
        <w:t>根据施工爆破的监测资料，浅眼爆破Q为300kg时，l00m处的LP为160.5dB。</w:t>
      </w:r>
    </w:p>
    <w:p w14:paraId="1B22299A">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en-US" w:bidi="ar"/>
        </w:rPr>
        <w:t>如只考虑几何衰减，当Q为7.9kg时（距敏感50m时的最大炸药量），l00m处的LP为144.2dB，当受声点不受声屏障影响时，噪声的影响范围将超过10km</w:t>
      </w:r>
      <w:r>
        <w:rPr>
          <w:rFonts w:hint="default" w:ascii="Times New Roman" w:hAnsi="Times New Roman" w:eastAsia="宋体" w:cs="Times New Roman"/>
          <w:color w:val="auto"/>
          <w:kern w:val="0"/>
          <w:sz w:val="24"/>
          <w:szCs w:val="24"/>
          <w:lang w:val="en-US" w:eastAsia="zh-CN" w:bidi="ar"/>
        </w:rPr>
        <w:t>。本项目起点距离兰干村536m，超出评价范围，说明项目周边无爆破振动、噪声环境保护敏感目标，且项目夜间不施工。施工影响随着施工的结束，噪声振动的影响也随之结束，故项目在施工过程中基本不对外环境造成影响。</w:t>
      </w:r>
    </w:p>
    <w:p w14:paraId="010D6E35">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5.3.2 运营期交通噪声影响分析</w:t>
      </w:r>
    </w:p>
    <w:p w14:paraId="5F2BB57A">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5.3.2.1 交通噪声预测模型及参数选择</w:t>
      </w:r>
    </w:p>
    <w:p w14:paraId="1F5603C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（1）公路交通噪声预测模型</w:t>
      </w:r>
    </w:p>
    <w:p w14:paraId="753A02A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公路运营期对声环境的影响主要</w:t>
      </w:r>
      <w:r>
        <w:rPr>
          <w:rFonts w:hint="default" w:ascii="Times New Roman" w:hAnsi="Times New Roman" w:cs="Times New Roman"/>
          <w:color w:val="auto"/>
          <w:kern w:val="0"/>
          <w:sz w:val="24"/>
          <w:szCs w:val="24"/>
          <w:lang w:val="en-US" w:eastAsia="zh-CN" w:bidi="ar"/>
        </w:rPr>
        <w:t>来自</w:t>
      </w:r>
      <w:r>
        <w:rPr>
          <w:rFonts w:hint="default" w:ascii="Times New Roman" w:hAnsi="Times New Roman" w:eastAsia="宋体" w:cs="Times New Roman"/>
          <w:color w:val="auto"/>
          <w:kern w:val="0"/>
          <w:sz w:val="24"/>
          <w:szCs w:val="24"/>
          <w:lang w:val="en-US" w:eastAsia="zh-CN" w:bidi="ar"/>
        </w:rPr>
        <w:t>公路上运行车辆辐射的交通噪声。影响交通噪声的因素很多，包括道路的交通参数（车流量、车速、车型种类），道路的地形地貌条件，路面设施等。根据本项目特点、沿线的环境特征，以及工程设计的交通量等因素，本评价采用《环境影响评价技术导则 公路建设项目》（HJ 1358-2024）附录B中的公路交通运输噪声预测模型，按照运营期不同时段（近期、中期、远期）、不同路段、不同距离（公路中心线两侧200m范围内），分别对本项目沿线两侧的交通噪声进行预测计算。地面任何一点的环境噪声是指线声源传至该点时的噪声能量与该点背景噪声能量的叠加。</w:t>
      </w:r>
    </w:p>
    <w:p w14:paraId="22C19A2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1）第i类车等效声级预测模式</w:t>
      </w:r>
    </w:p>
    <w:p w14:paraId="71C0D4AE">
      <w:pPr>
        <w:bidi w:val="0"/>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013325" cy="466090"/>
            <wp:effectExtent l="0" t="0" r="0" b="1016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52"/>
                    <a:stretch>
                      <a:fillRect/>
                    </a:stretch>
                  </pic:blipFill>
                  <pic:spPr>
                    <a:xfrm>
                      <a:off x="0" y="0"/>
                      <a:ext cx="5013325" cy="466090"/>
                    </a:xfrm>
                    <a:prstGeom prst="rect">
                      <a:avLst/>
                    </a:prstGeom>
                    <a:noFill/>
                    <a:ln>
                      <a:noFill/>
                    </a:ln>
                  </pic:spPr>
                </pic:pic>
              </a:graphicData>
            </a:graphic>
          </wp:inline>
        </w:drawing>
      </w:r>
    </w:p>
    <w:p w14:paraId="76673C98">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式中：</w:t>
      </w:r>
      <w:r>
        <w:rPr>
          <w:rFonts w:hint="default" w:ascii="Times New Roman" w:hAnsi="Times New Roman" w:eastAsia="宋体" w:cs="Times New Roman"/>
          <w:i/>
          <w:iCs/>
          <w:color w:val="auto"/>
          <w:kern w:val="0"/>
          <w:sz w:val="24"/>
          <w:szCs w:val="24"/>
          <w:lang w:val="en-US" w:eastAsia="zh-CN" w:bidi="ar"/>
        </w:rPr>
        <w:t>Leq(h)</w:t>
      </w:r>
      <w:r>
        <w:rPr>
          <w:rFonts w:hint="default" w:ascii="Times New Roman" w:hAnsi="Times New Roman" w:eastAsia="宋体" w:cs="Times New Roman"/>
          <w:i/>
          <w:iCs/>
          <w:color w:val="auto"/>
          <w:kern w:val="0"/>
          <w:sz w:val="15"/>
          <w:szCs w:val="15"/>
          <w:lang w:val="en-US" w:eastAsia="zh-CN" w:bidi="ar"/>
        </w:rPr>
        <w:t>i</w:t>
      </w:r>
      <w:r>
        <w:rPr>
          <w:rFonts w:hint="default" w:ascii="Times New Roman" w:hAnsi="Times New Roman" w:eastAsia="宋体" w:cs="Times New Roman"/>
          <w:color w:val="auto"/>
          <w:kern w:val="0"/>
          <w:sz w:val="24"/>
          <w:szCs w:val="24"/>
          <w:lang w:val="en-US" w:eastAsia="zh-CN" w:bidi="ar"/>
        </w:rPr>
        <w:t>——第</w:t>
      </w:r>
      <w:r>
        <w:rPr>
          <w:rFonts w:hint="default" w:ascii="Times New Roman" w:hAnsi="Times New Roman" w:eastAsia="宋体" w:cs="Times New Roman"/>
          <w:i/>
          <w:iCs/>
          <w:color w:val="auto"/>
          <w:kern w:val="0"/>
          <w:sz w:val="24"/>
          <w:szCs w:val="24"/>
          <w:lang w:val="en-US" w:eastAsia="zh-CN" w:bidi="ar"/>
        </w:rPr>
        <w:t>i</w:t>
      </w:r>
      <w:r>
        <w:rPr>
          <w:rFonts w:hint="default" w:ascii="Times New Roman" w:hAnsi="Times New Roman" w:eastAsia="宋体" w:cs="Times New Roman"/>
          <w:color w:val="auto"/>
          <w:kern w:val="0"/>
          <w:sz w:val="24"/>
          <w:szCs w:val="24"/>
          <w:lang w:val="en-US" w:eastAsia="zh-CN" w:bidi="ar"/>
        </w:rPr>
        <w:t>类车的小时等效声级，dB</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A</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w:t>
      </w:r>
    </w:p>
    <w:p w14:paraId="4F78B40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31"/>
          <w:szCs w:val="31"/>
          <w:lang w:val="en-US" w:eastAsia="zh-CN" w:bidi="ar"/>
        </w:rPr>
        <w:t xml:space="preserve"> </w:t>
      </w:r>
      <w:r>
        <w:rPr>
          <w:rFonts w:hint="default" w:ascii="Times New Roman" w:hAnsi="Times New Roman" w:eastAsia="宋体" w:cs="Times New Roman"/>
          <w:i/>
          <w:iCs/>
          <w:color w:val="auto"/>
          <w:kern w:val="0"/>
          <w:sz w:val="23"/>
          <w:szCs w:val="23"/>
          <w:lang w:val="en-US" w:eastAsia="zh-CN" w:bidi="ar"/>
        </w:rPr>
        <w:t>L</w:t>
      </w:r>
      <w:r>
        <w:rPr>
          <w:rFonts w:hint="default" w:ascii="Times New Roman" w:hAnsi="Times New Roman" w:eastAsia="宋体" w:cs="Times New Roman"/>
          <w:i/>
          <w:iCs/>
          <w:color w:val="auto"/>
          <w:kern w:val="0"/>
          <w:sz w:val="13"/>
          <w:szCs w:val="13"/>
          <w:lang w:val="en-US" w:eastAsia="zh-CN" w:bidi="ar"/>
        </w:rPr>
        <w:t>OE</w:t>
      </w:r>
      <w:r>
        <w:rPr>
          <w:rFonts w:hint="default" w:ascii="Times New Roman" w:hAnsi="Times New Roman" w:eastAsia="宋体" w:cs="Times New Roman"/>
          <w:color w:val="auto"/>
          <w:kern w:val="0"/>
          <w:sz w:val="31"/>
          <w:szCs w:val="31"/>
          <w:lang w:val="en-US" w:eastAsia="zh-CN" w:bidi="ar"/>
        </w:rPr>
        <w:t></w:t>
      </w:r>
      <w:r>
        <w:rPr>
          <w:rFonts w:hint="default" w:ascii="Times New Roman" w:hAnsi="Times New Roman" w:eastAsia="宋体" w:cs="Times New Roman"/>
          <w:i/>
          <w:iCs/>
          <w:color w:val="auto"/>
          <w:kern w:val="0"/>
          <w:sz w:val="13"/>
          <w:szCs w:val="13"/>
          <w:lang w:val="en-US" w:eastAsia="zh-CN" w:bidi="ar"/>
        </w:rPr>
        <w:t xml:space="preserve">i </w:t>
      </w:r>
      <w:r>
        <w:rPr>
          <w:rFonts w:hint="default" w:ascii="Times New Roman" w:hAnsi="Times New Roman" w:eastAsia="宋体" w:cs="Times New Roman"/>
          <w:color w:val="auto"/>
          <w:kern w:val="0"/>
          <w:sz w:val="24"/>
          <w:szCs w:val="24"/>
          <w:lang w:val="en-US" w:eastAsia="zh-CN" w:bidi="ar"/>
        </w:rPr>
        <w:t>——距第</w:t>
      </w:r>
      <w:r>
        <w:rPr>
          <w:rFonts w:hint="default" w:ascii="Times New Roman" w:hAnsi="Times New Roman" w:eastAsia="宋体" w:cs="Times New Roman"/>
          <w:i/>
          <w:iCs/>
          <w:color w:val="auto"/>
          <w:kern w:val="0"/>
          <w:sz w:val="24"/>
          <w:szCs w:val="24"/>
          <w:lang w:val="en-US" w:eastAsia="zh-CN" w:bidi="ar"/>
        </w:rPr>
        <w:t>i</w:t>
      </w:r>
      <w:r>
        <w:rPr>
          <w:rFonts w:hint="default" w:ascii="Times New Roman" w:hAnsi="Times New Roman" w:eastAsia="宋体" w:cs="Times New Roman"/>
          <w:color w:val="auto"/>
          <w:kern w:val="0"/>
          <w:sz w:val="24"/>
          <w:szCs w:val="24"/>
          <w:lang w:val="en-US" w:eastAsia="zh-CN" w:bidi="ar"/>
        </w:rPr>
        <w:t>类车水平距离为7.5m处的平均辐射噪声级，dB</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A</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w:t>
      </w:r>
    </w:p>
    <w:p w14:paraId="5530924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i/>
          <w:iCs/>
          <w:color w:val="auto"/>
          <w:kern w:val="0"/>
          <w:sz w:val="24"/>
          <w:szCs w:val="24"/>
          <w:lang w:val="en-US" w:eastAsia="zh-CN" w:bidi="ar"/>
        </w:rPr>
        <w:t>N</w:t>
      </w:r>
      <w:r>
        <w:rPr>
          <w:rFonts w:hint="default" w:ascii="Times New Roman" w:hAnsi="Times New Roman" w:eastAsia="宋体" w:cs="Times New Roman"/>
          <w:i/>
          <w:iCs/>
          <w:color w:val="auto"/>
          <w:kern w:val="0"/>
          <w:sz w:val="15"/>
          <w:szCs w:val="15"/>
          <w:lang w:val="en-US" w:eastAsia="zh-CN" w:bidi="ar"/>
        </w:rPr>
        <w:t xml:space="preserve">i </w:t>
      </w:r>
      <w:r>
        <w:rPr>
          <w:rFonts w:hint="default" w:ascii="Times New Roman" w:hAnsi="Times New Roman" w:eastAsia="宋体" w:cs="Times New Roman"/>
          <w:color w:val="auto"/>
          <w:kern w:val="0"/>
          <w:sz w:val="24"/>
          <w:szCs w:val="24"/>
          <w:lang w:val="en-US" w:eastAsia="zh-CN" w:bidi="ar"/>
        </w:rPr>
        <w:t>——昼、夜间通过某预测点的第</w:t>
      </w:r>
      <w:r>
        <w:rPr>
          <w:rFonts w:hint="default" w:ascii="Times New Roman" w:hAnsi="Times New Roman" w:eastAsia="宋体" w:cs="Times New Roman"/>
          <w:i/>
          <w:iCs/>
          <w:color w:val="auto"/>
          <w:kern w:val="0"/>
          <w:sz w:val="24"/>
          <w:szCs w:val="24"/>
          <w:lang w:val="en-US" w:eastAsia="zh-CN" w:bidi="ar"/>
        </w:rPr>
        <w:t>i</w:t>
      </w:r>
      <w:r>
        <w:rPr>
          <w:rFonts w:hint="default" w:ascii="Times New Roman" w:hAnsi="Times New Roman" w:eastAsia="宋体" w:cs="Times New Roman"/>
          <w:color w:val="auto"/>
          <w:kern w:val="0"/>
          <w:sz w:val="24"/>
          <w:szCs w:val="24"/>
          <w:lang w:val="en-US" w:eastAsia="zh-CN" w:bidi="ar"/>
        </w:rPr>
        <w:t>类车平均小时车流量，辆/h；</w:t>
      </w:r>
    </w:p>
    <w:p w14:paraId="1ABC48A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i/>
          <w:iCs/>
          <w:color w:val="auto"/>
          <w:kern w:val="0"/>
          <w:sz w:val="24"/>
          <w:szCs w:val="24"/>
          <w:lang w:val="en-US" w:eastAsia="zh-CN" w:bidi="ar"/>
        </w:rPr>
        <w:t>V</w:t>
      </w:r>
      <w:r>
        <w:rPr>
          <w:rFonts w:hint="default" w:ascii="Times New Roman" w:hAnsi="Times New Roman" w:eastAsia="宋体" w:cs="Times New Roman"/>
          <w:i/>
          <w:iCs/>
          <w:color w:val="auto"/>
          <w:kern w:val="0"/>
          <w:sz w:val="15"/>
          <w:szCs w:val="15"/>
          <w:lang w:val="en-US" w:eastAsia="zh-CN" w:bidi="ar"/>
        </w:rPr>
        <w:t xml:space="preserve">i </w:t>
      </w:r>
      <w:r>
        <w:rPr>
          <w:rFonts w:hint="default" w:ascii="Times New Roman" w:hAnsi="Times New Roman" w:eastAsia="宋体" w:cs="Times New Roman"/>
          <w:color w:val="auto"/>
          <w:kern w:val="0"/>
          <w:sz w:val="24"/>
          <w:szCs w:val="24"/>
          <w:lang w:val="en-US" w:eastAsia="zh-CN" w:bidi="ar"/>
        </w:rPr>
        <w:t>——第</w:t>
      </w:r>
      <w:r>
        <w:rPr>
          <w:rFonts w:hint="default" w:ascii="Times New Roman" w:hAnsi="Times New Roman" w:eastAsia="宋体" w:cs="Times New Roman"/>
          <w:i/>
          <w:iCs/>
          <w:color w:val="auto"/>
          <w:kern w:val="0"/>
          <w:sz w:val="24"/>
          <w:szCs w:val="24"/>
          <w:lang w:val="en-US" w:eastAsia="zh-CN" w:bidi="ar"/>
        </w:rPr>
        <w:t>i</w:t>
      </w:r>
      <w:r>
        <w:rPr>
          <w:rFonts w:hint="default" w:ascii="Times New Roman" w:hAnsi="Times New Roman" w:eastAsia="宋体" w:cs="Times New Roman"/>
          <w:color w:val="auto"/>
          <w:kern w:val="0"/>
          <w:sz w:val="24"/>
          <w:szCs w:val="24"/>
          <w:lang w:val="en-US" w:eastAsia="zh-CN" w:bidi="ar"/>
        </w:rPr>
        <w:t>类车的平均车速，km/h；</w:t>
      </w:r>
    </w:p>
    <w:p w14:paraId="366A893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i/>
          <w:iCs/>
          <w:color w:val="auto"/>
          <w:kern w:val="0"/>
          <w:sz w:val="24"/>
          <w:szCs w:val="24"/>
          <w:lang w:val="en-US" w:eastAsia="zh-CN" w:bidi="ar"/>
        </w:rPr>
        <w:t>T</w:t>
      </w:r>
      <w:r>
        <w:rPr>
          <w:rFonts w:hint="default" w:ascii="Times New Roman" w:hAnsi="Times New Roman" w:eastAsia="宋体" w:cs="Times New Roman"/>
          <w:color w:val="auto"/>
          <w:kern w:val="0"/>
          <w:sz w:val="24"/>
          <w:szCs w:val="24"/>
          <w:lang w:val="en-US" w:eastAsia="zh-CN" w:bidi="ar"/>
        </w:rPr>
        <w:t>——计算等效声级的时间，1h；</w:t>
      </w:r>
    </w:p>
    <w:p w14:paraId="0E5CECCF">
      <w:pPr>
        <w:keepNext w:val="0"/>
        <w:keepLines w:val="0"/>
        <w:pageBreakBefore w:val="0"/>
        <w:widowControl/>
        <w:suppressLineNumbers w:val="0"/>
        <w:kinsoku/>
        <w:wordWrap/>
        <w:overflowPunct/>
        <w:topLinePunct w:val="0"/>
        <w:autoSpaceDE/>
        <w:autoSpaceDN/>
        <w:bidi w:val="0"/>
        <w:adjustRightInd w:val="0"/>
        <w:snapToGrid w:val="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color w:val="auto"/>
          <w:kern w:val="0"/>
          <w:sz w:val="24"/>
          <w:szCs w:val="24"/>
          <w:lang w:val="en-US" w:eastAsia="zh-CN" w:bidi="ar"/>
        </w:rPr>
        <w:t>距离</w:t>
      </w:r>
      <w:r>
        <w:rPr>
          <w:rFonts w:hint="default" w:ascii="Times New Roman" w:hAnsi="Times New Roman" w:eastAsia="宋体" w:cs="Times New Roman"/>
          <w:i/>
          <w:iCs/>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距离衰减量，dB</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A</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w:t>
      </w:r>
    </w:p>
    <w:p w14:paraId="4D16EC9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i/>
          <w:iCs/>
          <w:color w:val="auto"/>
          <w:kern w:val="0"/>
          <w:sz w:val="24"/>
          <w:szCs w:val="24"/>
          <w:lang w:val="en-US" w:eastAsia="zh-CN" w:bidi="ar"/>
        </w:rPr>
        <w:t>Ψ</w:t>
      </w:r>
      <w:r>
        <w:rPr>
          <w:rFonts w:hint="default" w:ascii="Times New Roman" w:hAnsi="Times New Roman" w:eastAsia="宋体" w:cs="Times New Roman"/>
          <w:i/>
          <w:iCs/>
          <w:color w:val="auto"/>
          <w:kern w:val="0"/>
          <w:sz w:val="15"/>
          <w:szCs w:val="15"/>
          <w:lang w:val="en-US" w:eastAsia="zh-CN" w:bidi="ar"/>
        </w:rPr>
        <w:t>1</w:t>
      </w:r>
      <w:r>
        <w:rPr>
          <w:rFonts w:hint="default" w:ascii="Times New Roman" w:hAnsi="Times New Roman" w:eastAsia="宋体" w:cs="Times New Roman"/>
          <w:i/>
          <w:iCs/>
          <w:color w:val="auto"/>
          <w:kern w:val="0"/>
          <w:sz w:val="24"/>
          <w:szCs w:val="24"/>
          <w:lang w:val="en-US" w:eastAsia="zh-CN" w:bidi="ar"/>
        </w:rPr>
        <w:t>、Ψ</w:t>
      </w:r>
      <w:r>
        <w:rPr>
          <w:rFonts w:hint="default" w:ascii="Times New Roman" w:hAnsi="Times New Roman" w:eastAsia="宋体" w:cs="Times New Roman"/>
          <w:i/>
          <w:iCs/>
          <w:color w:val="auto"/>
          <w:kern w:val="0"/>
          <w:sz w:val="15"/>
          <w:szCs w:val="15"/>
          <w:lang w:val="en-US" w:eastAsia="zh-CN" w:bidi="ar"/>
        </w:rPr>
        <w:t>2</w:t>
      </w:r>
      <w:r>
        <w:rPr>
          <w:rFonts w:hint="default" w:ascii="Times New Roman" w:hAnsi="Times New Roman" w:eastAsia="宋体" w:cs="Times New Roman"/>
          <w:color w:val="auto"/>
          <w:kern w:val="0"/>
          <w:sz w:val="24"/>
          <w:szCs w:val="24"/>
          <w:lang w:val="en-US" w:eastAsia="zh-CN" w:bidi="ar"/>
        </w:rPr>
        <w:t>——预测点到有限长路段两端的张角，弧度，见图5.2-1所示：</w:t>
      </w:r>
    </w:p>
    <w:p w14:paraId="17C621D8">
      <w:pPr>
        <w:pStyle w:val="39"/>
        <w:bidi w:val="0"/>
        <w:rPr>
          <w:rFonts w:hint="default" w:ascii="Times New Roman" w:hAnsi="Times New Roman" w:cs="Times New Roman"/>
          <w:color w:val="auto"/>
          <w:lang w:val="en-US" w:eastAsia="zh-CN"/>
        </w:rPr>
      </w:pPr>
      <w:r>
        <w:rPr>
          <w:rFonts w:hint="default" w:ascii="Times New Roman" w:hAnsi="Times New Roman" w:cs="Times New Roman"/>
          <w:color w:val="auto"/>
        </w:rPr>
        <w:drawing>
          <wp:anchor distT="0" distB="0" distL="114300" distR="114300" simplePos="0" relativeHeight="251664384" behindDoc="0" locked="0" layoutInCell="1" allowOverlap="1">
            <wp:simplePos x="0" y="0"/>
            <wp:positionH relativeFrom="column">
              <wp:posOffset>1171575</wp:posOffset>
            </wp:positionH>
            <wp:positionV relativeFrom="paragraph">
              <wp:posOffset>9525</wp:posOffset>
            </wp:positionV>
            <wp:extent cx="2462530" cy="1133475"/>
            <wp:effectExtent l="0" t="0" r="13970" b="9525"/>
            <wp:wrapTopAndBottom/>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53"/>
                    <a:stretch>
                      <a:fillRect/>
                    </a:stretch>
                  </pic:blipFill>
                  <pic:spPr>
                    <a:xfrm>
                      <a:off x="0" y="0"/>
                      <a:ext cx="2462530" cy="1133475"/>
                    </a:xfrm>
                    <a:prstGeom prst="rect">
                      <a:avLst/>
                    </a:prstGeom>
                    <a:noFill/>
                    <a:ln>
                      <a:noFill/>
                    </a:ln>
                  </pic:spPr>
                </pic:pic>
              </a:graphicData>
            </a:graphic>
          </wp:anchor>
        </w:drawing>
      </w:r>
      <w:r>
        <w:rPr>
          <w:rFonts w:hint="default" w:ascii="Times New Roman" w:hAnsi="Times New Roman" w:cs="Times New Roman"/>
          <w:color w:val="auto"/>
          <w:lang w:val="en-US" w:eastAsia="zh-CN"/>
        </w:rPr>
        <w:t>图5.3-1 有限路段的修正函数，A—B 为路段，P为预测点</w:t>
      </w:r>
    </w:p>
    <w:p w14:paraId="67997A36">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由其他因素引起的修正量（Δ</w:t>
      </w: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color w:val="auto"/>
          <w:kern w:val="0"/>
          <w:sz w:val="24"/>
          <w:szCs w:val="24"/>
          <w:lang w:val="en-US" w:eastAsia="zh-CN" w:bidi="ar"/>
        </w:rPr>
        <w:t>）可按下式计算：</w:t>
      </w:r>
    </w:p>
    <w:p w14:paraId="3955D3F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Δ</w:t>
      </w: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cs="Times New Roman"/>
          <w:i/>
          <w:iCs/>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Δ</w:t>
      </w: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i/>
          <w:iCs/>
          <w:color w:val="auto"/>
          <w:kern w:val="0"/>
          <w:sz w:val="15"/>
          <w:szCs w:val="15"/>
          <w:lang w:val="en-US" w:eastAsia="zh-CN" w:bidi="ar"/>
        </w:rPr>
        <w:t>1</w:t>
      </w:r>
      <w:r>
        <w:rPr>
          <w:rFonts w:hint="default" w:ascii="Times New Roman" w:hAnsi="Times New Roman" w:eastAsia="宋体" w:cs="Times New Roman"/>
          <w:i/>
          <w:iCs/>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Δ</w:t>
      </w: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i/>
          <w:iCs/>
          <w:color w:val="auto"/>
          <w:kern w:val="0"/>
          <w:sz w:val="15"/>
          <w:szCs w:val="15"/>
          <w:lang w:val="en-US" w:eastAsia="zh-CN" w:bidi="ar"/>
        </w:rPr>
        <w:t>2</w:t>
      </w:r>
      <w:r>
        <w:rPr>
          <w:rFonts w:hint="default" w:ascii="Times New Roman" w:hAnsi="Times New Roman" w:eastAsia="宋体" w:cs="Times New Roman"/>
          <w:color w:val="auto"/>
          <w:kern w:val="0"/>
          <w:sz w:val="24"/>
          <w:szCs w:val="24"/>
          <w:lang w:val="en-US" w:eastAsia="zh-CN" w:bidi="ar"/>
        </w:rPr>
        <w:t>＋Δ</w:t>
      </w: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i/>
          <w:iCs/>
          <w:color w:val="auto"/>
          <w:kern w:val="0"/>
          <w:sz w:val="15"/>
          <w:szCs w:val="15"/>
          <w:lang w:val="en-US" w:eastAsia="zh-CN" w:bidi="ar"/>
        </w:rPr>
        <w:t>3</w:t>
      </w:r>
    </w:p>
    <w:p w14:paraId="2E57A42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Δ</w:t>
      </w: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i/>
          <w:iCs/>
          <w:color w:val="auto"/>
          <w:kern w:val="0"/>
          <w:sz w:val="15"/>
          <w:szCs w:val="15"/>
          <w:lang w:val="en-US" w:eastAsia="zh-CN" w:bidi="ar"/>
        </w:rPr>
        <w:t>1</w:t>
      </w:r>
      <w:r>
        <w:rPr>
          <w:rFonts w:hint="default" w:ascii="Times New Roman" w:hAnsi="Times New Roman" w:eastAsia="宋体" w:cs="Times New Roman"/>
          <w:i/>
          <w:iCs/>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Δ</w:t>
      </w: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i/>
          <w:iCs/>
          <w:color w:val="auto"/>
          <w:kern w:val="0"/>
          <w:sz w:val="12"/>
          <w:szCs w:val="12"/>
          <w:lang w:val="en-US" w:eastAsia="zh-CN" w:bidi="ar"/>
        </w:rPr>
        <w:t>坡度</w:t>
      </w:r>
      <w:r>
        <w:rPr>
          <w:rFonts w:hint="default" w:ascii="Times New Roman" w:hAnsi="Times New Roman" w:eastAsia="宋体" w:cs="Times New Roman"/>
          <w:color w:val="auto"/>
          <w:kern w:val="0"/>
          <w:sz w:val="24"/>
          <w:szCs w:val="24"/>
          <w:lang w:val="en-US" w:eastAsia="zh-CN" w:bidi="ar"/>
        </w:rPr>
        <w:t>＋Δ</w:t>
      </w: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i/>
          <w:iCs/>
          <w:color w:val="auto"/>
          <w:kern w:val="0"/>
          <w:sz w:val="12"/>
          <w:szCs w:val="12"/>
          <w:lang w:val="en-US" w:eastAsia="zh-CN" w:bidi="ar"/>
        </w:rPr>
        <w:t>路面</w:t>
      </w:r>
    </w:p>
    <w:p w14:paraId="66F17BF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Δ</w:t>
      </w: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i/>
          <w:iCs/>
          <w:color w:val="auto"/>
          <w:kern w:val="0"/>
          <w:sz w:val="15"/>
          <w:szCs w:val="15"/>
          <w:lang w:val="en-US" w:eastAsia="zh-CN" w:bidi="ar"/>
        </w:rPr>
        <w:t>2</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i/>
          <w:iCs/>
          <w:color w:val="auto"/>
          <w:kern w:val="0"/>
          <w:sz w:val="15"/>
          <w:szCs w:val="15"/>
          <w:lang w:val="en-US" w:eastAsia="zh-CN" w:bidi="ar"/>
        </w:rPr>
        <w:t>atm</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i/>
          <w:iCs/>
          <w:color w:val="auto"/>
          <w:kern w:val="0"/>
          <w:sz w:val="15"/>
          <w:szCs w:val="15"/>
          <w:lang w:val="en-US" w:eastAsia="zh-CN" w:bidi="ar"/>
        </w:rPr>
        <w:t>gr</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i/>
          <w:iCs/>
          <w:color w:val="auto"/>
          <w:kern w:val="0"/>
          <w:sz w:val="15"/>
          <w:szCs w:val="15"/>
          <w:lang w:val="en-US" w:eastAsia="zh-CN" w:bidi="ar"/>
        </w:rPr>
        <w:t>bar</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i/>
          <w:iCs/>
          <w:color w:val="auto"/>
          <w:kern w:val="0"/>
          <w:sz w:val="15"/>
          <w:szCs w:val="15"/>
          <w:lang w:val="en-US" w:eastAsia="zh-CN" w:bidi="ar"/>
        </w:rPr>
        <w:t>misc</w:t>
      </w:r>
    </w:p>
    <w:p w14:paraId="7CF8E0F1">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式中：</w:t>
      </w:r>
    </w:p>
    <w:p w14:paraId="199B44A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Δ</w:t>
      </w: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i/>
          <w:iCs/>
          <w:color w:val="auto"/>
          <w:kern w:val="0"/>
          <w:sz w:val="15"/>
          <w:szCs w:val="15"/>
          <w:lang w:val="en-US" w:eastAsia="zh-CN" w:bidi="ar"/>
        </w:rPr>
        <w:t>1</w:t>
      </w:r>
      <w:r>
        <w:rPr>
          <w:rFonts w:hint="default" w:ascii="Times New Roman" w:hAnsi="Times New Roman" w:eastAsia="宋体" w:cs="Times New Roman"/>
          <w:color w:val="auto"/>
          <w:kern w:val="0"/>
          <w:sz w:val="24"/>
          <w:szCs w:val="24"/>
          <w:lang w:val="en-US" w:eastAsia="zh-CN" w:bidi="ar"/>
        </w:rPr>
        <w:t>——线路因素引起的修正量，dB</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A</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w:t>
      </w:r>
    </w:p>
    <w:p w14:paraId="0866CA9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Δ</w:t>
      </w: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color w:val="auto"/>
          <w:kern w:val="0"/>
          <w:sz w:val="12"/>
          <w:szCs w:val="12"/>
          <w:lang w:val="en-US" w:eastAsia="zh-CN" w:bidi="ar"/>
        </w:rPr>
        <w:t>坡度</w:t>
      </w:r>
      <w:r>
        <w:rPr>
          <w:rFonts w:hint="default" w:ascii="Times New Roman" w:hAnsi="Times New Roman" w:eastAsia="宋体" w:cs="Times New Roman"/>
          <w:color w:val="auto"/>
          <w:kern w:val="0"/>
          <w:sz w:val="24"/>
          <w:szCs w:val="24"/>
          <w:lang w:val="en-US" w:eastAsia="zh-CN" w:bidi="ar"/>
        </w:rPr>
        <w:t>——公路纵坡修正量，dB</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A</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w:t>
      </w:r>
    </w:p>
    <w:p w14:paraId="5678ABC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Δ</w:t>
      </w: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color w:val="auto"/>
          <w:kern w:val="0"/>
          <w:sz w:val="12"/>
          <w:szCs w:val="12"/>
          <w:lang w:val="en-US" w:eastAsia="zh-CN" w:bidi="ar"/>
        </w:rPr>
        <w:t>路面</w:t>
      </w:r>
      <w:r>
        <w:rPr>
          <w:rFonts w:hint="default" w:ascii="Times New Roman" w:hAnsi="Times New Roman" w:eastAsia="宋体" w:cs="Times New Roman"/>
          <w:color w:val="auto"/>
          <w:kern w:val="0"/>
          <w:sz w:val="24"/>
          <w:szCs w:val="24"/>
          <w:lang w:val="en-US" w:eastAsia="zh-CN" w:bidi="ar"/>
        </w:rPr>
        <w:t>——公路路面材料引起的修正量，dB</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A</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w:t>
      </w:r>
    </w:p>
    <w:p w14:paraId="0D00966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Δ</w:t>
      </w: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i/>
          <w:iCs/>
          <w:color w:val="auto"/>
          <w:kern w:val="0"/>
          <w:sz w:val="15"/>
          <w:szCs w:val="15"/>
          <w:lang w:val="en-US" w:eastAsia="zh-CN" w:bidi="ar"/>
        </w:rPr>
        <w:t>2</w:t>
      </w:r>
      <w:r>
        <w:rPr>
          <w:rFonts w:hint="default" w:ascii="Times New Roman" w:hAnsi="Times New Roman" w:eastAsia="宋体" w:cs="Times New Roman"/>
          <w:color w:val="auto"/>
          <w:kern w:val="0"/>
          <w:sz w:val="24"/>
          <w:szCs w:val="24"/>
          <w:lang w:val="en-US" w:eastAsia="zh-CN" w:bidi="ar"/>
        </w:rPr>
        <w:t>——声波传播途径中引起的衰减量，dB</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A</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w:t>
      </w:r>
    </w:p>
    <w:p w14:paraId="4CD09417">
      <w:pPr>
        <w:keepNext w:val="0"/>
        <w:keepLines w:val="0"/>
        <w:widowControl/>
        <w:suppressLineNumbers w:val="0"/>
        <w:jc w:val="left"/>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color w:val="auto"/>
          <w:kern w:val="0"/>
          <w:sz w:val="24"/>
          <w:szCs w:val="24"/>
          <w:lang w:val="en-US" w:eastAsia="zh-CN" w:bidi="ar"/>
        </w:rPr>
        <w:t>Δ</w:t>
      </w: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i/>
          <w:iCs/>
          <w:color w:val="auto"/>
          <w:kern w:val="0"/>
          <w:sz w:val="15"/>
          <w:szCs w:val="15"/>
          <w:lang w:val="en-US" w:eastAsia="zh-CN" w:bidi="ar"/>
        </w:rPr>
        <w:t>3</w:t>
      </w:r>
      <w:r>
        <w:rPr>
          <w:rFonts w:hint="default" w:ascii="Times New Roman" w:hAnsi="Times New Roman" w:eastAsia="宋体" w:cs="Times New Roman"/>
          <w:color w:val="auto"/>
          <w:kern w:val="0"/>
          <w:sz w:val="24"/>
          <w:szCs w:val="24"/>
          <w:lang w:val="en-US" w:eastAsia="zh-CN" w:bidi="ar"/>
        </w:rPr>
        <w:t>—由反射等引起的修正量，dB(A)。</w:t>
      </w:r>
    </w:p>
    <w:p w14:paraId="3DCEEEE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2）各型车辆昼间或夜间预测点接收到的交通噪声值计算模式</w:t>
      </w:r>
    </w:p>
    <w:p w14:paraId="062EE15F">
      <w:pPr>
        <w:keepNext w:val="0"/>
        <w:keepLines w:val="0"/>
        <w:widowControl/>
        <w:suppressLineNumbers w:val="0"/>
        <w:jc w:val="left"/>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drawing>
          <wp:inline distT="0" distB="0" distL="114300" distR="114300">
            <wp:extent cx="3578225" cy="520700"/>
            <wp:effectExtent l="0" t="0" r="0" b="0"/>
            <wp:docPr id="27" name="图片 27" descr="微信截图_2025020718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微信截图_20250207183206"/>
                    <pic:cNvPicPr>
                      <a:picLocks noChangeAspect="1"/>
                    </pic:cNvPicPr>
                  </pic:nvPicPr>
                  <pic:blipFill>
                    <a:blip r:embed="rId54"/>
                    <a:srcRect l="2677" b="18489"/>
                    <a:stretch>
                      <a:fillRect/>
                    </a:stretch>
                  </pic:blipFill>
                  <pic:spPr>
                    <a:xfrm>
                      <a:off x="0" y="0"/>
                      <a:ext cx="3578225" cy="520700"/>
                    </a:xfrm>
                    <a:prstGeom prst="rect">
                      <a:avLst/>
                    </a:prstGeom>
                  </pic:spPr>
                </pic:pic>
              </a:graphicData>
            </a:graphic>
          </wp:inline>
        </w:drawing>
      </w:r>
    </w:p>
    <w:p w14:paraId="1181B643">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式中：</w:t>
      </w:r>
    </w:p>
    <w:p w14:paraId="2E081E63">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color w:val="auto"/>
          <w:kern w:val="0"/>
          <w:sz w:val="24"/>
          <w:szCs w:val="24"/>
          <w:vertAlign w:val="subscript"/>
          <w:lang w:val="en-US" w:eastAsia="zh-CN" w:bidi="ar"/>
        </w:rPr>
        <w:t>Aeqg</w:t>
      </w:r>
      <w:r>
        <w:rPr>
          <w:rFonts w:hint="default" w:ascii="Times New Roman" w:hAnsi="Times New Roman" w:eastAsia="宋体" w:cs="Times New Roman"/>
          <w:color w:val="auto"/>
          <w:kern w:val="0"/>
          <w:sz w:val="24"/>
          <w:szCs w:val="24"/>
          <w:lang w:val="en-US" w:eastAsia="zh-CN" w:bidi="ar"/>
        </w:rPr>
        <w:t>——公路建设项目声源在预测点产生的噪声贡献值，dB</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A</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w:t>
      </w:r>
    </w:p>
    <w:p w14:paraId="75ED5A48">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color w:val="auto"/>
          <w:kern w:val="0"/>
          <w:sz w:val="24"/>
          <w:szCs w:val="24"/>
          <w:vertAlign w:val="subscript"/>
          <w:lang w:val="en-US" w:eastAsia="zh-CN" w:bidi="ar"/>
        </w:rPr>
        <w:t>Aeql</w:t>
      </w:r>
      <w:r>
        <w:rPr>
          <w:rFonts w:hint="default" w:ascii="Times New Roman" w:hAnsi="Times New Roman" w:eastAsia="宋体" w:cs="Times New Roman"/>
          <w:color w:val="auto"/>
          <w:kern w:val="0"/>
          <w:sz w:val="24"/>
          <w:szCs w:val="24"/>
          <w:lang w:val="en-US" w:eastAsia="zh-CN" w:bidi="ar"/>
        </w:rPr>
        <w:t>——大型车的噪声贡献值，dB</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A</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w:t>
      </w:r>
    </w:p>
    <w:p w14:paraId="5607AF51">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color w:val="auto"/>
          <w:kern w:val="0"/>
          <w:sz w:val="24"/>
          <w:szCs w:val="24"/>
          <w:vertAlign w:val="subscript"/>
          <w:lang w:val="en-US" w:eastAsia="zh-CN" w:bidi="ar"/>
        </w:rPr>
        <w:t>Aeqm</w:t>
      </w:r>
      <w:r>
        <w:rPr>
          <w:rFonts w:hint="default" w:ascii="Times New Roman" w:hAnsi="Times New Roman" w:eastAsia="宋体" w:cs="Times New Roman"/>
          <w:color w:val="auto"/>
          <w:kern w:val="0"/>
          <w:sz w:val="24"/>
          <w:szCs w:val="24"/>
          <w:lang w:val="en-US" w:eastAsia="zh-CN" w:bidi="ar"/>
        </w:rPr>
        <w:t>——中型车的噪声贡献值，dB</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A</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w:t>
      </w:r>
    </w:p>
    <w:p w14:paraId="05EABE75">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color w:val="auto"/>
          <w:kern w:val="0"/>
          <w:sz w:val="24"/>
          <w:szCs w:val="24"/>
          <w:vertAlign w:val="subscript"/>
          <w:lang w:val="en-US" w:eastAsia="zh-CN" w:bidi="ar"/>
        </w:rPr>
        <w:t>Aeqs</w:t>
      </w:r>
      <w:r>
        <w:rPr>
          <w:rFonts w:hint="default" w:ascii="Times New Roman" w:hAnsi="Times New Roman" w:eastAsia="宋体" w:cs="Times New Roman"/>
          <w:color w:val="auto"/>
          <w:kern w:val="0"/>
          <w:sz w:val="24"/>
          <w:szCs w:val="24"/>
          <w:lang w:val="en-US" w:eastAsia="zh-CN" w:bidi="ar"/>
        </w:rPr>
        <w:t>——小型车的噪声贡献值，dB</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A</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w:t>
      </w:r>
    </w:p>
    <w:p w14:paraId="75C0B3B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3）预测点昼间或夜间的环境噪声预测值计算公式</w:t>
      </w:r>
    </w:p>
    <w:p w14:paraId="20024EF3">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drawing>
          <wp:inline distT="0" distB="0" distL="114300" distR="114300">
            <wp:extent cx="2343785" cy="424180"/>
            <wp:effectExtent l="0" t="0" r="18415" b="13970"/>
            <wp:docPr id="33" name="图片 33" descr="微信截图_2025020718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微信截图_20250207183549"/>
                    <pic:cNvPicPr>
                      <a:picLocks noChangeAspect="1"/>
                    </pic:cNvPicPr>
                  </pic:nvPicPr>
                  <pic:blipFill>
                    <a:blip r:embed="rId55"/>
                    <a:stretch>
                      <a:fillRect/>
                    </a:stretch>
                  </pic:blipFill>
                  <pic:spPr>
                    <a:xfrm>
                      <a:off x="0" y="0"/>
                      <a:ext cx="2343785" cy="424180"/>
                    </a:xfrm>
                    <a:prstGeom prst="rect">
                      <a:avLst/>
                    </a:prstGeom>
                  </pic:spPr>
                </pic:pic>
              </a:graphicData>
            </a:graphic>
          </wp:inline>
        </w:drawing>
      </w:r>
    </w:p>
    <w:p w14:paraId="45346B8D">
      <w:pPr>
        <w:keepNext w:val="0"/>
        <w:keepLines w:val="0"/>
        <w:pageBreakBefore w:val="0"/>
        <w:widowControl/>
        <w:suppressLineNumbers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式中：</w:t>
      </w:r>
    </w:p>
    <w:p w14:paraId="0F5E292E">
      <w:pPr>
        <w:keepNext w:val="0"/>
        <w:keepLines w:val="0"/>
        <w:pageBreakBefore w:val="0"/>
        <w:widowControl/>
        <w:suppressLineNumbers w:val="0"/>
        <w:kinsoku/>
        <w:wordWrap/>
        <w:overflowPunct/>
        <w:topLinePunct w:val="0"/>
        <w:autoSpaceDE/>
        <w:autoSpaceDN/>
        <w:bidi w:val="0"/>
        <w:adjustRightInd w:val="0"/>
        <w:snapToGrid w:val="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color w:val="auto"/>
          <w:kern w:val="0"/>
          <w:sz w:val="24"/>
          <w:szCs w:val="24"/>
          <w:vertAlign w:val="subscript"/>
          <w:lang w:val="en-US" w:eastAsia="zh-CN" w:bidi="ar"/>
        </w:rPr>
        <w:t>Aeq</w:t>
      </w:r>
      <w:r>
        <w:rPr>
          <w:rFonts w:hint="default" w:ascii="Times New Roman" w:hAnsi="Times New Roman" w:eastAsia="宋体" w:cs="Times New Roman"/>
          <w:color w:val="auto"/>
          <w:kern w:val="0"/>
          <w:sz w:val="24"/>
          <w:szCs w:val="24"/>
          <w:lang w:val="en-US" w:eastAsia="zh-CN" w:bidi="ar"/>
        </w:rPr>
        <w:t>——预测点的噪声预测值，dB</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A</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w:t>
      </w:r>
    </w:p>
    <w:p w14:paraId="24EA92CE">
      <w:pPr>
        <w:keepNext w:val="0"/>
        <w:keepLines w:val="0"/>
        <w:pageBreakBefore w:val="0"/>
        <w:widowControl/>
        <w:suppressLineNumbers w:val="0"/>
        <w:kinsoku/>
        <w:wordWrap/>
        <w:overflowPunct/>
        <w:topLinePunct w:val="0"/>
        <w:autoSpaceDE/>
        <w:autoSpaceDN/>
        <w:bidi w:val="0"/>
        <w:adjustRightInd w:val="0"/>
        <w:snapToGrid w:val="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color w:val="auto"/>
          <w:kern w:val="0"/>
          <w:sz w:val="24"/>
          <w:szCs w:val="24"/>
          <w:vertAlign w:val="subscript"/>
          <w:lang w:val="en-US" w:eastAsia="zh-CN" w:bidi="ar"/>
        </w:rPr>
        <w:t>Aeqg</w:t>
      </w:r>
      <w:r>
        <w:rPr>
          <w:rFonts w:hint="default" w:ascii="Times New Roman" w:hAnsi="Times New Roman" w:eastAsia="宋体" w:cs="Times New Roman"/>
          <w:color w:val="auto"/>
          <w:kern w:val="0"/>
          <w:sz w:val="24"/>
          <w:szCs w:val="24"/>
          <w:lang w:val="en-US" w:eastAsia="zh-CN" w:bidi="ar"/>
        </w:rPr>
        <w:t>——预测点的噪声贡献值，dB</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A</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w:t>
      </w:r>
    </w:p>
    <w:p w14:paraId="0BCA3328">
      <w:pPr>
        <w:keepNext w:val="0"/>
        <w:keepLines w:val="0"/>
        <w:pageBreakBefore w:val="0"/>
        <w:widowControl/>
        <w:suppressLineNumbers w:val="0"/>
        <w:kinsoku/>
        <w:wordWrap/>
        <w:overflowPunct/>
        <w:topLinePunct w:val="0"/>
        <w:autoSpaceDE/>
        <w:autoSpaceDN/>
        <w:bidi w:val="0"/>
        <w:adjustRightInd w:val="0"/>
        <w:snapToGrid w:val="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color w:val="auto"/>
          <w:kern w:val="0"/>
          <w:sz w:val="24"/>
          <w:szCs w:val="24"/>
          <w:vertAlign w:val="subscript"/>
          <w:lang w:val="en-US" w:eastAsia="zh-CN" w:bidi="ar"/>
        </w:rPr>
        <w:t>Aeqb</w:t>
      </w:r>
      <w:r>
        <w:rPr>
          <w:rFonts w:hint="default" w:ascii="Times New Roman" w:hAnsi="Times New Roman" w:eastAsia="宋体" w:cs="Times New Roman"/>
          <w:color w:val="auto"/>
          <w:kern w:val="0"/>
          <w:sz w:val="24"/>
          <w:szCs w:val="24"/>
          <w:lang w:val="en-US" w:eastAsia="zh-CN" w:bidi="ar"/>
        </w:rPr>
        <w:t>——预测点的背景噪声值，dB</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A</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w:t>
      </w:r>
    </w:p>
    <w:p w14:paraId="700FFF3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（2）修正量和衰减量的计算</w:t>
      </w:r>
    </w:p>
    <w:p w14:paraId="1FEABCD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1）线路因素引起的修正量</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Δ</w:t>
      </w: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i/>
          <w:iCs/>
          <w:color w:val="auto"/>
          <w:kern w:val="0"/>
          <w:sz w:val="15"/>
          <w:szCs w:val="15"/>
          <w:lang w:val="en-US" w:eastAsia="zh-CN" w:bidi="ar"/>
        </w:rPr>
        <w:t>1</w:t>
      </w:r>
      <w:r>
        <w:rPr>
          <w:rFonts w:hint="default" w:ascii="Times New Roman" w:hAnsi="Times New Roman" w:cs="Times New Roman"/>
          <w:color w:val="auto"/>
          <w:kern w:val="0"/>
          <w:sz w:val="24"/>
          <w:szCs w:val="24"/>
          <w:lang w:val="en-US" w:eastAsia="zh-CN" w:bidi="ar"/>
        </w:rPr>
        <w:t>）</w:t>
      </w:r>
    </w:p>
    <w:p w14:paraId="55DB338A">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①公路纵坡修正量</w:t>
      </w:r>
      <w:r>
        <w:rPr>
          <w:rFonts w:hint="default" w:ascii="Times New Roman" w:hAnsi="Times New Roman" w:eastAsia="黑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color w:val="auto"/>
          <w:kern w:val="0"/>
          <w:sz w:val="24"/>
          <w:szCs w:val="24"/>
          <w:vertAlign w:val="subscript"/>
          <w:lang w:val="en-US" w:eastAsia="zh-CN" w:bidi="ar"/>
        </w:rPr>
        <w:t>坡度</w:t>
      </w:r>
      <w:r>
        <w:rPr>
          <w:rFonts w:hint="default" w:ascii="Times New Roman" w:hAnsi="Times New Roman" w:eastAsia="黑体" w:cs="Times New Roman"/>
          <w:color w:val="auto"/>
          <w:kern w:val="0"/>
          <w:sz w:val="24"/>
          <w:szCs w:val="24"/>
          <w:lang w:val="en-US" w:eastAsia="zh-CN" w:bidi="ar"/>
        </w:rPr>
        <w:t>）</w:t>
      </w:r>
    </w:p>
    <w:p w14:paraId="34662E95">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公路纵坡引起的修正量按公式计算：</w:t>
      </w:r>
    </w:p>
    <w:p w14:paraId="1EB5BE76">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大型车：∆</w:t>
      </w: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color w:val="auto"/>
          <w:kern w:val="0"/>
          <w:sz w:val="24"/>
          <w:szCs w:val="24"/>
          <w:vertAlign w:val="subscript"/>
          <w:lang w:val="en-US" w:eastAsia="zh-CN" w:bidi="ar"/>
        </w:rPr>
        <w:t>坡度</w:t>
      </w:r>
      <w:r>
        <w:rPr>
          <w:rFonts w:hint="default" w:ascii="Times New Roman" w:hAnsi="Times New Roman" w:eastAsia="宋体" w:cs="Times New Roman"/>
          <w:color w:val="auto"/>
          <w:kern w:val="0"/>
          <w:sz w:val="24"/>
          <w:szCs w:val="24"/>
          <w:lang w:val="en-US" w:eastAsia="zh-CN" w:bidi="ar"/>
        </w:rPr>
        <w:t>=98×</w:t>
      </w:r>
      <w:r>
        <w:rPr>
          <w:rFonts w:hint="default" w:ascii="Times New Roman" w:hAnsi="Times New Roman" w:eastAsia="宋体" w:cs="Times New Roman"/>
          <w:i/>
          <w:iCs/>
          <w:color w:val="auto"/>
          <w:kern w:val="0"/>
          <w:sz w:val="24"/>
          <w:szCs w:val="24"/>
          <w:lang w:val="en-US" w:eastAsia="zh-CN" w:bidi="ar"/>
        </w:rPr>
        <w:t>β</w:t>
      </w:r>
    </w:p>
    <w:p w14:paraId="4E7400A4">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中型车：∆</w:t>
      </w: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color w:val="auto"/>
          <w:kern w:val="0"/>
          <w:sz w:val="24"/>
          <w:szCs w:val="24"/>
          <w:vertAlign w:val="subscript"/>
          <w:lang w:val="en-US" w:eastAsia="zh-CN" w:bidi="ar"/>
        </w:rPr>
        <w:t>坡度</w:t>
      </w:r>
      <w:r>
        <w:rPr>
          <w:rFonts w:hint="default" w:ascii="Times New Roman" w:hAnsi="Times New Roman" w:eastAsia="宋体" w:cs="Times New Roman"/>
          <w:color w:val="auto"/>
          <w:kern w:val="0"/>
          <w:sz w:val="24"/>
          <w:szCs w:val="24"/>
          <w:lang w:val="en-US" w:eastAsia="zh-CN" w:bidi="ar"/>
        </w:rPr>
        <w:t>=73×</w:t>
      </w:r>
      <w:r>
        <w:rPr>
          <w:rFonts w:hint="default" w:ascii="Times New Roman" w:hAnsi="Times New Roman" w:eastAsia="宋体" w:cs="Times New Roman"/>
          <w:i/>
          <w:iCs/>
          <w:color w:val="auto"/>
          <w:kern w:val="0"/>
          <w:sz w:val="24"/>
          <w:szCs w:val="24"/>
          <w:lang w:val="en-US" w:eastAsia="zh-CN" w:bidi="ar"/>
        </w:rPr>
        <w:t>β</w:t>
      </w:r>
    </w:p>
    <w:p w14:paraId="345F295F">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小型车：∆</w:t>
      </w: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color w:val="auto"/>
          <w:kern w:val="0"/>
          <w:sz w:val="24"/>
          <w:szCs w:val="24"/>
          <w:vertAlign w:val="subscript"/>
          <w:lang w:val="en-US" w:eastAsia="zh-CN" w:bidi="ar"/>
        </w:rPr>
        <w:t>坡度</w:t>
      </w:r>
      <w:r>
        <w:rPr>
          <w:rFonts w:hint="default" w:ascii="Times New Roman" w:hAnsi="Times New Roman" w:eastAsia="宋体" w:cs="Times New Roman"/>
          <w:color w:val="auto"/>
          <w:kern w:val="0"/>
          <w:sz w:val="24"/>
          <w:szCs w:val="24"/>
          <w:lang w:val="en-US" w:eastAsia="zh-CN" w:bidi="ar"/>
        </w:rPr>
        <w:t>=50×</w:t>
      </w:r>
      <w:r>
        <w:rPr>
          <w:rFonts w:hint="default" w:ascii="Times New Roman" w:hAnsi="Times New Roman" w:eastAsia="宋体" w:cs="Times New Roman"/>
          <w:i/>
          <w:iCs/>
          <w:color w:val="auto"/>
          <w:kern w:val="0"/>
          <w:sz w:val="24"/>
          <w:szCs w:val="24"/>
          <w:lang w:val="en-US" w:eastAsia="zh-CN" w:bidi="ar"/>
        </w:rPr>
        <w:t xml:space="preserve">β </w:t>
      </w:r>
    </w:p>
    <w:p w14:paraId="59109CBB">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式中：</w:t>
      </w:r>
    </w:p>
    <w:p w14:paraId="1D562DF9">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color w:val="auto"/>
          <w:kern w:val="0"/>
          <w:sz w:val="24"/>
          <w:szCs w:val="24"/>
          <w:vertAlign w:val="subscript"/>
          <w:lang w:val="en-US" w:eastAsia="zh-CN" w:bidi="ar"/>
        </w:rPr>
        <w:t>坡度</w:t>
      </w:r>
      <w:r>
        <w:rPr>
          <w:rFonts w:hint="default" w:ascii="Times New Roman" w:hAnsi="Times New Roman" w:eastAsia="宋体" w:cs="Times New Roman"/>
          <w:color w:val="auto"/>
          <w:kern w:val="0"/>
          <w:sz w:val="24"/>
          <w:szCs w:val="24"/>
          <w:lang w:val="en-US" w:eastAsia="zh-CN" w:bidi="ar"/>
        </w:rPr>
        <w:t>——公路纵坡引起的修正量，dB</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A</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w:t>
      </w:r>
    </w:p>
    <w:p w14:paraId="4204D0B7">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β——</w:t>
      </w:r>
      <w:r>
        <w:rPr>
          <w:rFonts w:hint="default" w:ascii="Times New Roman" w:hAnsi="Times New Roman" w:eastAsia="宋体" w:cs="Times New Roman"/>
          <w:color w:val="auto"/>
          <w:kern w:val="0"/>
          <w:sz w:val="24"/>
          <w:szCs w:val="24"/>
          <w:lang w:val="en-US" w:eastAsia="zh-CN" w:bidi="ar"/>
        </w:rPr>
        <w:t>公路纵坡坡度，%。</w:t>
      </w:r>
    </w:p>
    <w:p w14:paraId="71CA4B6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②路面修正量（Δ</w:t>
      </w:r>
      <w:r>
        <w:rPr>
          <w:rFonts w:hint="default" w:ascii="Times New Roman" w:hAnsi="Times New Roman" w:eastAsia="宋体" w:cs="Times New Roman"/>
          <w:i/>
          <w:iCs/>
          <w:color w:val="auto"/>
          <w:kern w:val="0"/>
          <w:sz w:val="24"/>
          <w:szCs w:val="24"/>
          <w:lang w:val="en-US" w:eastAsia="zh-CN" w:bidi="ar"/>
        </w:rPr>
        <w:t>L</w:t>
      </w:r>
      <w:r>
        <w:rPr>
          <w:rFonts w:hint="default" w:ascii="Times New Roman" w:hAnsi="Times New Roman" w:eastAsia="宋体" w:cs="Times New Roman"/>
          <w:color w:val="auto"/>
          <w:kern w:val="0"/>
          <w:sz w:val="12"/>
          <w:szCs w:val="12"/>
          <w:lang w:val="en-US" w:eastAsia="zh-CN" w:bidi="ar"/>
        </w:rPr>
        <w:t>路面</w:t>
      </w:r>
      <w:r>
        <w:rPr>
          <w:rFonts w:hint="default" w:ascii="Times New Roman" w:hAnsi="Times New Roman" w:eastAsia="宋体" w:cs="Times New Roman"/>
          <w:color w:val="auto"/>
          <w:kern w:val="0"/>
          <w:sz w:val="24"/>
          <w:szCs w:val="24"/>
          <w:lang w:val="en-US" w:eastAsia="zh-CN" w:bidi="ar"/>
        </w:rPr>
        <w:t>）</w:t>
      </w:r>
    </w:p>
    <w:p w14:paraId="63CCE8A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不同路面的噪声修正量见表5.</w:t>
      </w:r>
      <w:r>
        <w:rPr>
          <w:rFonts w:hint="eastAsia"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-3。</w:t>
      </w:r>
    </w:p>
    <w:p w14:paraId="72F0221C">
      <w:pPr>
        <w:pStyle w:val="39"/>
        <w:bidi w:val="0"/>
        <w:rPr>
          <w:rFonts w:hint="default" w:ascii="Times New Roman" w:hAnsi="Times New Roman" w:cs="Times New Roman"/>
          <w:color w:val="auto"/>
        </w:rPr>
      </w:pPr>
      <w:r>
        <w:rPr>
          <w:rFonts w:hint="default" w:ascii="Times New Roman" w:hAnsi="Times New Roman" w:cs="Times New Roman"/>
          <w:color w:val="auto"/>
          <w:lang w:val="en-US" w:eastAsia="zh-CN"/>
        </w:rPr>
        <w:t>表5.</w:t>
      </w:r>
      <w:r>
        <w:rPr>
          <w:rFonts w:hint="eastAsia" w:cs="Times New Roman"/>
          <w:color w:val="auto"/>
          <w:lang w:val="en-US" w:eastAsia="zh-CN"/>
        </w:rPr>
        <w:t>3</w:t>
      </w:r>
      <w:r>
        <w:rPr>
          <w:rFonts w:hint="default" w:ascii="Times New Roman" w:hAnsi="Times New Roman" w:cs="Times New Roman"/>
          <w:color w:val="auto"/>
          <w:lang w:val="en-US" w:eastAsia="zh-CN"/>
        </w:rPr>
        <w:t>-3   常见路面修正量</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91"/>
        <w:gridCol w:w="2373"/>
        <w:gridCol w:w="2132"/>
        <w:gridCol w:w="2132"/>
      </w:tblGrid>
      <w:tr w14:paraId="3C2EA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91" w:type="dxa"/>
            <w:vMerge w:val="restart"/>
            <w:vAlign w:val="center"/>
          </w:tcPr>
          <w:p w14:paraId="7E1D0FB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路面类型</w:t>
            </w:r>
          </w:p>
        </w:tc>
        <w:tc>
          <w:tcPr>
            <w:tcW w:w="6637" w:type="dxa"/>
            <w:gridSpan w:val="3"/>
            <w:vAlign w:val="center"/>
          </w:tcPr>
          <w:p w14:paraId="5242D1C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不同行驶速度修正量[dB(A)]</w:t>
            </w:r>
          </w:p>
        </w:tc>
      </w:tr>
      <w:tr w14:paraId="334D8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91" w:type="dxa"/>
            <w:vMerge w:val="continue"/>
            <w:vAlign w:val="center"/>
          </w:tcPr>
          <w:p w14:paraId="7EEBDF5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p>
        </w:tc>
        <w:tc>
          <w:tcPr>
            <w:tcW w:w="2373" w:type="dxa"/>
            <w:vAlign w:val="center"/>
          </w:tcPr>
          <w:p w14:paraId="651C082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30(km/h)</w:t>
            </w:r>
          </w:p>
        </w:tc>
        <w:tc>
          <w:tcPr>
            <w:tcW w:w="2132" w:type="dxa"/>
            <w:vAlign w:val="center"/>
          </w:tcPr>
          <w:p w14:paraId="4D5D1E3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40(km/h)</w:t>
            </w:r>
          </w:p>
        </w:tc>
        <w:tc>
          <w:tcPr>
            <w:tcW w:w="2132" w:type="dxa"/>
            <w:vAlign w:val="center"/>
          </w:tcPr>
          <w:p w14:paraId="35E1681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≥50(km/h)</w:t>
            </w:r>
          </w:p>
        </w:tc>
      </w:tr>
      <w:tr w14:paraId="47E46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91" w:type="dxa"/>
            <w:vAlign w:val="center"/>
          </w:tcPr>
          <w:p w14:paraId="1E10CAB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普通沥青混凝土</w:t>
            </w:r>
          </w:p>
        </w:tc>
        <w:tc>
          <w:tcPr>
            <w:tcW w:w="2373" w:type="dxa"/>
            <w:vAlign w:val="center"/>
          </w:tcPr>
          <w:p w14:paraId="44C64A2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w:t>
            </w:r>
          </w:p>
        </w:tc>
        <w:tc>
          <w:tcPr>
            <w:tcW w:w="2132" w:type="dxa"/>
            <w:vAlign w:val="center"/>
          </w:tcPr>
          <w:p w14:paraId="253137F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w:t>
            </w:r>
          </w:p>
        </w:tc>
        <w:tc>
          <w:tcPr>
            <w:tcW w:w="2132" w:type="dxa"/>
            <w:vAlign w:val="center"/>
          </w:tcPr>
          <w:p w14:paraId="773EA35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w:t>
            </w:r>
          </w:p>
        </w:tc>
      </w:tr>
      <w:tr w14:paraId="4818B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91" w:type="dxa"/>
            <w:vAlign w:val="center"/>
          </w:tcPr>
          <w:p w14:paraId="3FFCC09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普通水泥混凝土</w:t>
            </w:r>
          </w:p>
        </w:tc>
        <w:tc>
          <w:tcPr>
            <w:tcW w:w="2373" w:type="dxa"/>
            <w:vAlign w:val="center"/>
          </w:tcPr>
          <w:p w14:paraId="3D0DDD0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w:t>
            </w:r>
          </w:p>
        </w:tc>
        <w:tc>
          <w:tcPr>
            <w:tcW w:w="2132" w:type="dxa"/>
            <w:vAlign w:val="center"/>
          </w:tcPr>
          <w:p w14:paraId="4565ED7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+1.5</w:t>
            </w:r>
          </w:p>
        </w:tc>
        <w:tc>
          <w:tcPr>
            <w:tcW w:w="2132" w:type="dxa"/>
            <w:vAlign w:val="center"/>
          </w:tcPr>
          <w:p w14:paraId="4A90811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+2.0</w:t>
            </w:r>
          </w:p>
        </w:tc>
      </w:tr>
      <w:tr w14:paraId="5479E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91" w:type="dxa"/>
            <w:vAlign w:val="center"/>
          </w:tcPr>
          <w:p w14:paraId="6A612D0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低噪声路面</w:t>
            </w:r>
          </w:p>
        </w:tc>
        <w:tc>
          <w:tcPr>
            <w:tcW w:w="6637" w:type="dxa"/>
            <w:gridSpan w:val="3"/>
            <w:vAlign w:val="center"/>
          </w:tcPr>
          <w:p w14:paraId="259BB72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单层低噪声路面对应普通沥青混凝土路面或普通水泥混凝土路面，可做-1dB(A)～-3</w:t>
            </w:r>
            <w:r>
              <w:rPr>
                <w:rFonts w:hint="default" w:ascii="Times New Roman" w:hAnsi="Times New Roman" w:eastAsia="宋体" w:cs="Times New Roman"/>
                <w:color w:val="auto"/>
                <w:kern w:val="0"/>
                <w:sz w:val="21"/>
                <w:szCs w:val="21"/>
                <w:lang w:val="en-US" w:eastAsia="zh-CN" w:bidi="ar"/>
              </w:rPr>
              <w:t>dB</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A</w:t>
            </w:r>
            <w:r>
              <w:rPr>
                <w:rFonts w:hint="default" w:ascii="Times New Roman" w:hAnsi="Times New Roman" w:cs="Times New Roman"/>
                <w:color w:val="auto"/>
                <w:kern w:val="0"/>
                <w:sz w:val="21"/>
                <w:szCs w:val="21"/>
                <w:lang w:val="en-US" w:eastAsia="zh-CN" w:bidi="ar"/>
              </w:rPr>
              <w:t>）</w:t>
            </w:r>
            <w:r>
              <w:rPr>
                <w:rFonts w:hint="default" w:ascii="Times New Roman" w:hAnsi="Times New Roman" w:cs="Times New Roman"/>
                <w:color w:val="auto"/>
                <w:sz w:val="21"/>
                <w:szCs w:val="21"/>
                <w:lang w:val="en-US" w:eastAsia="zh-CN"/>
              </w:rPr>
              <w:t>修正（设计车速较高时，取较大修正量），多层或其他新型低噪声路面修正量可根据工程验证的研究成果适当增加。</w:t>
            </w:r>
          </w:p>
        </w:tc>
      </w:tr>
    </w:tbl>
    <w:p w14:paraId="4813E0A5">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2）声波传播途径中引起的衰减量</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i/>
          <w:iCs/>
          <w:color w:val="auto"/>
          <w:kern w:val="0"/>
          <w:sz w:val="24"/>
          <w:szCs w:val="24"/>
          <w:lang w:val="en-US" w:eastAsia="zh-CN" w:bidi="ar"/>
        </w:rPr>
        <w:t>ΔL2</w:t>
      </w:r>
      <w:r>
        <w:rPr>
          <w:rFonts w:hint="default" w:ascii="Times New Roman" w:hAnsi="Times New Roman" w:cs="Times New Roman"/>
          <w:color w:val="auto"/>
          <w:kern w:val="0"/>
          <w:sz w:val="24"/>
          <w:szCs w:val="24"/>
          <w:lang w:val="en-US" w:eastAsia="zh-CN" w:bidi="ar"/>
        </w:rPr>
        <w:t>）</w:t>
      </w:r>
    </w:p>
    <w:p w14:paraId="273E3ADB">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①高路堤或低路堑两侧声影区衰减量计算：</w:t>
      </w:r>
    </w:p>
    <w:p w14:paraId="2A0FD1B5">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高路堤或低路堑两侧声影区衰减量</w:t>
      </w:r>
      <w:r>
        <w:rPr>
          <w:rFonts w:hint="default" w:ascii="Times New Roman" w:hAnsi="Times New Roman" w:eastAsia="宋体" w:cs="Times New Roman"/>
          <w:i/>
          <w:iCs/>
          <w:color w:val="auto"/>
          <w:kern w:val="0"/>
          <w:sz w:val="24"/>
          <w:szCs w:val="24"/>
          <w:lang w:val="en-US" w:eastAsia="zh-CN" w:bidi="ar"/>
        </w:rPr>
        <w:t>Abar</w:t>
      </w:r>
      <w:r>
        <w:rPr>
          <w:rFonts w:hint="default" w:ascii="Times New Roman" w:hAnsi="Times New Roman" w:eastAsia="宋体" w:cs="Times New Roman"/>
          <w:color w:val="auto"/>
          <w:kern w:val="0"/>
          <w:sz w:val="24"/>
          <w:szCs w:val="24"/>
          <w:lang w:val="en-US" w:eastAsia="zh-CN" w:bidi="ar"/>
        </w:rPr>
        <w:t>为预测点在高路堤或低路堑两侧声影区内引起的附加衰减量。</w:t>
      </w:r>
    </w:p>
    <w:p w14:paraId="399941FB">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当预测点处于</w:t>
      </w:r>
      <w:r>
        <w:rPr>
          <w:rFonts w:hint="default" w:ascii="Times New Roman" w:hAnsi="Times New Roman" w:cs="Times New Roman"/>
          <w:color w:val="auto"/>
          <w:kern w:val="0"/>
          <w:sz w:val="24"/>
          <w:szCs w:val="24"/>
          <w:lang w:val="en-US" w:eastAsia="zh-CN" w:bidi="ar"/>
        </w:rPr>
        <w:t>参照</w:t>
      </w:r>
      <w:r>
        <w:rPr>
          <w:rFonts w:hint="default" w:ascii="Times New Roman" w:hAnsi="Times New Roman" w:eastAsia="宋体" w:cs="Times New Roman"/>
          <w:color w:val="auto"/>
          <w:kern w:val="0"/>
          <w:sz w:val="24"/>
          <w:szCs w:val="24"/>
          <w:lang w:val="en-US" w:eastAsia="zh-CN" w:bidi="ar"/>
        </w:rPr>
        <w:t>区时，</w:t>
      </w:r>
      <w:r>
        <w:rPr>
          <w:rFonts w:hint="default" w:ascii="Times New Roman" w:hAnsi="Times New Roman" w:eastAsia="宋体" w:cs="Times New Roman"/>
          <w:i/>
          <w:iCs/>
          <w:color w:val="auto"/>
          <w:kern w:val="0"/>
          <w:sz w:val="24"/>
          <w:szCs w:val="24"/>
          <w:lang w:val="en-US" w:eastAsia="zh-CN" w:bidi="ar"/>
        </w:rPr>
        <w:t>Abar</w:t>
      </w:r>
      <w:r>
        <w:rPr>
          <w:rFonts w:hint="default" w:ascii="Times New Roman" w:hAnsi="Times New Roman" w:eastAsia="宋体" w:cs="Times New Roman"/>
          <w:color w:val="auto"/>
          <w:kern w:val="0"/>
          <w:sz w:val="24"/>
          <w:szCs w:val="24"/>
          <w:lang w:val="en-US" w:eastAsia="zh-CN" w:bidi="ar"/>
        </w:rPr>
        <w:t>=0；</w:t>
      </w:r>
    </w:p>
    <w:p w14:paraId="41345FE2">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当预测点处于声影区，</w:t>
      </w:r>
      <w:r>
        <w:rPr>
          <w:rFonts w:hint="default" w:ascii="Times New Roman" w:hAnsi="Times New Roman" w:eastAsia="宋体" w:cs="Times New Roman"/>
          <w:i/>
          <w:iCs/>
          <w:color w:val="auto"/>
          <w:kern w:val="0"/>
          <w:sz w:val="24"/>
          <w:szCs w:val="24"/>
          <w:lang w:val="en-US" w:eastAsia="zh-CN" w:bidi="ar"/>
        </w:rPr>
        <w:t>Abar</w:t>
      </w:r>
      <w:r>
        <w:rPr>
          <w:rFonts w:hint="default" w:ascii="Times New Roman" w:hAnsi="Times New Roman" w:eastAsia="宋体" w:cs="Times New Roman"/>
          <w:color w:val="auto"/>
          <w:kern w:val="0"/>
          <w:sz w:val="24"/>
          <w:szCs w:val="24"/>
          <w:lang w:val="en-US" w:eastAsia="zh-CN" w:bidi="ar"/>
        </w:rPr>
        <w:t>决定于声程差δ。</w:t>
      </w:r>
    </w:p>
    <w:p w14:paraId="477A06E9">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由图5.2-2计算δ，δ=a+b-c。再由图5.2-3查出</w:t>
      </w:r>
      <w:r>
        <w:rPr>
          <w:rFonts w:hint="default" w:ascii="Times New Roman" w:hAnsi="Times New Roman" w:eastAsia="宋体" w:cs="Times New Roman"/>
          <w:i/>
          <w:iCs/>
          <w:color w:val="auto"/>
          <w:kern w:val="0"/>
          <w:sz w:val="24"/>
          <w:szCs w:val="24"/>
          <w:lang w:val="en-US" w:eastAsia="zh-CN" w:bidi="ar"/>
        </w:rPr>
        <w:t>Abar</w:t>
      </w:r>
      <w:r>
        <w:rPr>
          <w:rFonts w:hint="default" w:ascii="Times New Roman" w:hAnsi="Times New Roman" w:eastAsia="宋体" w:cs="Times New Roman"/>
          <w:color w:val="auto"/>
          <w:kern w:val="0"/>
          <w:sz w:val="24"/>
          <w:szCs w:val="24"/>
          <w:lang w:val="en-US" w:eastAsia="zh-CN" w:bidi="ar"/>
        </w:rPr>
        <w:t>。</w:t>
      </w:r>
    </w:p>
    <w:p w14:paraId="581B9561">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cs="Times New Roman"/>
          <w:color w:val="auto"/>
        </w:rPr>
        <w:drawing>
          <wp:inline distT="0" distB="0" distL="114300" distR="114300">
            <wp:extent cx="4533900" cy="2095500"/>
            <wp:effectExtent l="0" t="0" r="0" b="0"/>
            <wp:docPr id="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pic:cNvPicPr>
                      <a:picLocks noChangeAspect="1"/>
                    </pic:cNvPicPr>
                  </pic:nvPicPr>
                  <pic:blipFill>
                    <a:blip r:embed="rId56"/>
                    <a:stretch>
                      <a:fillRect/>
                    </a:stretch>
                  </pic:blipFill>
                  <pic:spPr>
                    <a:xfrm>
                      <a:off x="0" y="0"/>
                      <a:ext cx="4533900" cy="2095500"/>
                    </a:xfrm>
                    <a:prstGeom prst="rect">
                      <a:avLst/>
                    </a:prstGeom>
                    <a:noFill/>
                    <a:ln>
                      <a:noFill/>
                    </a:ln>
                  </pic:spPr>
                </pic:pic>
              </a:graphicData>
            </a:graphic>
          </wp:inline>
        </w:drawing>
      </w:r>
    </w:p>
    <w:p w14:paraId="02EC976F">
      <w:pPr>
        <w:pStyle w:val="39"/>
        <w:bidi w:val="0"/>
        <w:rPr>
          <w:rFonts w:hint="default" w:ascii="Times New Roman" w:hAnsi="Times New Roman" w:cs="Times New Roman"/>
          <w:color w:val="auto"/>
        </w:rPr>
      </w:pPr>
      <w:r>
        <w:rPr>
          <w:rFonts w:hint="default" w:ascii="Times New Roman" w:hAnsi="Times New Roman" w:cs="Times New Roman"/>
          <w:color w:val="auto"/>
          <w:lang w:val="en-US" w:eastAsia="zh-CN"/>
        </w:rPr>
        <w:t>图5.</w:t>
      </w:r>
      <w:r>
        <w:rPr>
          <w:rFonts w:hint="eastAsia" w:cs="Times New Roman"/>
          <w:color w:val="auto"/>
          <w:lang w:val="en-US" w:eastAsia="zh-CN"/>
        </w:rPr>
        <w:t>3</w:t>
      </w:r>
      <w:r>
        <w:rPr>
          <w:rFonts w:hint="default" w:ascii="Times New Roman" w:hAnsi="Times New Roman" w:cs="Times New Roman"/>
          <w:color w:val="auto"/>
          <w:lang w:val="en-US" w:eastAsia="zh-CN"/>
        </w:rPr>
        <w:t>-2 声程差δ计算示意图</w:t>
      </w:r>
    </w:p>
    <w:p w14:paraId="052718A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4381500" cy="2638425"/>
            <wp:effectExtent l="0" t="0" r="0" b="9525"/>
            <wp:docPr id="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
                    <pic:cNvPicPr>
                      <a:picLocks noChangeAspect="1"/>
                    </pic:cNvPicPr>
                  </pic:nvPicPr>
                  <pic:blipFill>
                    <a:blip r:embed="rId57"/>
                    <a:stretch>
                      <a:fillRect/>
                    </a:stretch>
                  </pic:blipFill>
                  <pic:spPr>
                    <a:xfrm>
                      <a:off x="0" y="0"/>
                      <a:ext cx="4381500" cy="2638425"/>
                    </a:xfrm>
                    <a:prstGeom prst="rect">
                      <a:avLst/>
                    </a:prstGeom>
                    <a:noFill/>
                    <a:ln>
                      <a:noFill/>
                    </a:ln>
                  </pic:spPr>
                </pic:pic>
              </a:graphicData>
            </a:graphic>
          </wp:inline>
        </w:drawing>
      </w:r>
    </w:p>
    <w:p w14:paraId="22522010">
      <w:pPr>
        <w:keepNext w:val="0"/>
        <w:keepLines w:val="0"/>
        <w:widowControl/>
        <w:suppressLineNumbers w:val="0"/>
        <w:jc w:val="center"/>
        <w:rPr>
          <w:rFonts w:hint="default" w:ascii="Times New Roman" w:hAnsi="Times New Roman" w:cs="Times New Roman"/>
          <w:color w:val="auto"/>
        </w:rPr>
      </w:pPr>
      <w:r>
        <w:rPr>
          <w:rFonts w:hint="default" w:ascii="Times New Roman" w:hAnsi="Times New Roman" w:eastAsia="宋体" w:cs="Times New Roman"/>
          <w:b/>
          <w:bCs/>
          <w:color w:val="auto"/>
          <w:kern w:val="0"/>
          <w:sz w:val="20"/>
          <w:szCs w:val="20"/>
          <w:lang w:val="en-US" w:eastAsia="zh-CN" w:bidi="ar"/>
        </w:rPr>
        <w:t>图5.</w:t>
      </w:r>
      <w:r>
        <w:rPr>
          <w:rFonts w:hint="eastAsia" w:cs="Times New Roman"/>
          <w:b/>
          <w:bCs/>
          <w:color w:val="auto"/>
          <w:kern w:val="0"/>
          <w:sz w:val="20"/>
          <w:szCs w:val="20"/>
          <w:lang w:val="en-US" w:eastAsia="zh-CN" w:bidi="ar"/>
        </w:rPr>
        <w:t>3</w:t>
      </w:r>
      <w:r>
        <w:rPr>
          <w:rFonts w:hint="default" w:ascii="Times New Roman" w:hAnsi="Times New Roman" w:eastAsia="宋体" w:cs="Times New Roman"/>
          <w:b/>
          <w:bCs/>
          <w:color w:val="auto"/>
          <w:kern w:val="0"/>
          <w:sz w:val="20"/>
          <w:szCs w:val="20"/>
          <w:lang w:val="en-US" w:eastAsia="zh-CN" w:bidi="ar"/>
        </w:rPr>
        <w:t>-3 噪声衰减量Abar与声程差δ关系曲线（f=500Hz）</w:t>
      </w:r>
    </w:p>
    <w:p w14:paraId="4B91244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w:t>
      </w:r>
      <w:r>
        <w:rPr>
          <w:rFonts w:hint="default" w:ascii="Times New Roman" w:hAnsi="Times New Roman" w:eastAsia="宋体" w:cs="Times New Roman"/>
          <w:i/>
          <w:iCs/>
          <w:color w:val="auto"/>
          <w:kern w:val="0"/>
          <w:sz w:val="24"/>
          <w:szCs w:val="24"/>
          <w:lang w:val="en-US" w:eastAsia="zh-CN" w:bidi="ar"/>
        </w:rPr>
        <w:t>Aatm</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i/>
          <w:iCs/>
          <w:color w:val="auto"/>
          <w:kern w:val="0"/>
          <w:sz w:val="24"/>
          <w:szCs w:val="24"/>
          <w:lang w:val="en-US" w:eastAsia="zh-CN" w:bidi="ar"/>
        </w:rPr>
        <w:t>Agr</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i/>
          <w:iCs/>
          <w:color w:val="auto"/>
          <w:kern w:val="0"/>
          <w:sz w:val="24"/>
          <w:szCs w:val="24"/>
          <w:lang w:val="en-US" w:eastAsia="zh-CN" w:bidi="ar"/>
        </w:rPr>
        <w:t>Amisc</w:t>
      </w:r>
      <w:r>
        <w:rPr>
          <w:rFonts w:hint="default" w:ascii="Times New Roman" w:hAnsi="Times New Roman" w:eastAsia="宋体" w:cs="Times New Roman"/>
          <w:color w:val="auto"/>
          <w:kern w:val="0"/>
          <w:sz w:val="24"/>
          <w:szCs w:val="24"/>
          <w:lang w:val="en-US" w:eastAsia="zh-CN" w:bidi="ar"/>
        </w:rPr>
        <w:t>衰减项的计算</w:t>
      </w:r>
    </w:p>
    <w:p w14:paraId="6EB8750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a.大气吸收引起的衰减量</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i/>
          <w:iCs/>
          <w:color w:val="auto"/>
          <w:kern w:val="0"/>
          <w:sz w:val="15"/>
          <w:szCs w:val="15"/>
          <w:lang w:val="en-US" w:eastAsia="zh-CN" w:bidi="ar"/>
        </w:rPr>
        <w:t>atm</w:t>
      </w:r>
      <w:r>
        <w:rPr>
          <w:rFonts w:hint="default" w:ascii="Times New Roman" w:hAnsi="Times New Roman" w:eastAsia="宋体" w:cs="Times New Roman"/>
          <w:color w:val="auto"/>
          <w:kern w:val="0"/>
          <w:sz w:val="24"/>
          <w:szCs w:val="24"/>
          <w:lang w:val="en-US" w:eastAsia="zh-CN" w:bidi="ar"/>
        </w:rPr>
        <w:t>计算</w:t>
      </w:r>
    </w:p>
    <w:p w14:paraId="73C1043A">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drawing>
          <wp:inline distT="0" distB="0" distL="114300" distR="114300">
            <wp:extent cx="1074420" cy="525780"/>
            <wp:effectExtent l="0" t="0" r="11430" b="7620"/>
            <wp:docPr id="10" name="图片 10" descr="截图20240603010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截图20240603010419"/>
                    <pic:cNvPicPr>
                      <a:picLocks noChangeAspect="1"/>
                    </pic:cNvPicPr>
                  </pic:nvPicPr>
                  <pic:blipFill>
                    <a:blip r:embed="rId58"/>
                    <a:stretch>
                      <a:fillRect/>
                    </a:stretch>
                  </pic:blipFill>
                  <pic:spPr>
                    <a:xfrm>
                      <a:off x="0" y="0"/>
                      <a:ext cx="1074420" cy="525780"/>
                    </a:xfrm>
                    <a:prstGeom prst="rect">
                      <a:avLst/>
                    </a:prstGeom>
                  </pic:spPr>
                </pic:pic>
              </a:graphicData>
            </a:graphic>
          </wp:inline>
        </w:drawing>
      </w:r>
    </w:p>
    <w:p w14:paraId="48C3B816">
      <w:pPr>
        <w:keepNext w:val="0"/>
        <w:keepLines w:val="0"/>
        <w:pageBreakBefore w:val="0"/>
        <w:widowControl/>
        <w:suppressLineNumbers w:val="0"/>
        <w:kinsoku/>
        <w:wordWrap/>
        <w:overflowPunct/>
        <w:topLinePunct w:val="0"/>
        <w:autoSpaceDE/>
        <w:autoSpaceDN/>
        <w:bidi w:val="0"/>
        <w:adjustRightInd w:val="0"/>
        <w:snapToGrid w:val="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式中：</w:t>
      </w:r>
    </w:p>
    <w:p w14:paraId="5F0DB287">
      <w:pPr>
        <w:keepNext w:val="0"/>
        <w:keepLines w:val="0"/>
        <w:pageBreakBefore w:val="0"/>
        <w:widowControl/>
        <w:suppressLineNumbers w:val="0"/>
        <w:kinsoku/>
        <w:wordWrap/>
        <w:overflowPunct/>
        <w:topLinePunct w:val="0"/>
        <w:autoSpaceDE/>
        <w:autoSpaceDN/>
        <w:bidi w:val="0"/>
        <w:adjustRightInd w:val="0"/>
        <w:snapToGrid w:val="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color w:val="auto"/>
          <w:kern w:val="0"/>
          <w:sz w:val="24"/>
          <w:szCs w:val="24"/>
          <w:lang w:val="en-US" w:eastAsia="zh-CN" w:bidi="ar"/>
        </w:rPr>
        <w:t>atm——大气吸收引起的衰减量，dB(A)；</w:t>
      </w:r>
    </w:p>
    <w:p w14:paraId="22284CF1">
      <w:pPr>
        <w:keepNext w:val="0"/>
        <w:keepLines w:val="0"/>
        <w:pageBreakBefore w:val="0"/>
        <w:widowControl/>
        <w:suppressLineNumbers w:val="0"/>
        <w:kinsoku/>
        <w:wordWrap/>
        <w:overflowPunct/>
        <w:topLinePunct w:val="0"/>
        <w:autoSpaceDE/>
        <w:autoSpaceDN/>
        <w:bidi w:val="0"/>
        <w:adjustRightInd w:val="0"/>
        <w:snapToGrid w:val="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α</w:t>
      </w:r>
      <w:r>
        <w:rPr>
          <w:rFonts w:hint="default" w:ascii="Times New Roman" w:hAnsi="Times New Roman" w:eastAsia="宋体" w:cs="Times New Roman"/>
          <w:color w:val="auto"/>
          <w:kern w:val="0"/>
          <w:sz w:val="24"/>
          <w:szCs w:val="24"/>
          <w:lang w:val="en-US" w:eastAsia="zh-CN" w:bidi="ar"/>
        </w:rPr>
        <w:t>——与温度、湿度和声波频率有关的大气吸收衰减系数，预测计算中一般根据建设项目所处区域常年平均气温和湿度选择相应的大气吸收衰减系数，见表5.3-</w:t>
      </w:r>
      <w:r>
        <w:rPr>
          <w:rFonts w:hint="eastAsia" w:cs="Times New Roman"/>
          <w:color w:val="auto"/>
          <w:kern w:val="0"/>
          <w:sz w:val="24"/>
          <w:szCs w:val="24"/>
          <w:lang w:val="en-US" w:eastAsia="zh-CN" w:bidi="ar"/>
        </w:rPr>
        <w:t>4</w:t>
      </w:r>
      <w:r>
        <w:rPr>
          <w:rFonts w:hint="default" w:ascii="Times New Roman" w:hAnsi="Times New Roman" w:eastAsia="宋体" w:cs="Times New Roman"/>
          <w:color w:val="auto"/>
          <w:kern w:val="0"/>
          <w:sz w:val="24"/>
          <w:szCs w:val="24"/>
          <w:lang w:val="en-US" w:eastAsia="zh-CN" w:bidi="ar"/>
        </w:rPr>
        <w:t>；</w:t>
      </w:r>
    </w:p>
    <w:p w14:paraId="73636061">
      <w:pPr>
        <w:keepNext w:val="0"/>
        <w:keepLines w:val="0"/>
        <w:pageBreakBefore w:val="0"/>
        <w:widowControl/>
        <w:suppressLineNumbers w:val="0"/>
        <w:kinsoku/>
        <w:wordWrap/>
        <w:overflowPunct/>
        <w:topLinePunct w:val="0"/>
        <w:autoSpaceDE/>
        <w:autoSpaceDN/>
        <w:bidi w:val="0"/>
        <w:adjustRightInd w:val="0"/>
        <w:snapToGrid w:val="0"/>
        <w:jc w:val="left"/>
        <w:textAlignment w:val="auto"/>
        <w:rPr>
          <w:rFonts w:hint="default" w:ascii="Times New Roman" w:hAnsi="Times New Roman" w:cs="Times New Roman"/>
          <w:color w:val="auto"/>
        </w:rPr>
      </w:pPr>
      <w:r>
        <w:rPr>
          <w:rFonts w:hint="default" w:ascii="Times New Roman" w:hAnsi="Times New Roman" w:eastAsia="宋体" w:cs="Times New Roman"/>
          <w:i/>
          <w:iCs/>
          <w:color w:val="auto"/>
          <w:kern w:val="0"/>
          <w:sz w:val="24"/>
          <w:szCs w:val="24"/>
          <w:lang w:val="en-US" w:eastAsia="zh-CN" w:bidi="ar"/>
        </w:rPr>
        <w:t>r</w:t>
      </w:r>
      <w:r>
        <w:rPr>
          <w:rFonts w:hint="default" w:ascii="Times New Roman" w:hAnsi="Times New Roman" w:eastAsia="宋体" w:cs="Times New Roman"/>
          <w:color w:val="auto"/>
          <w:kern w:val="0"/>
          <w:sz w:val="24"/>
          <w:szCs w:val="24"/>
          <w:lang w:val="en-US" w:eastAsia="zh-CN" w:bidi="ar"/>
        </w:rPr>
        <w:t>——预测点距声源的距离，m。</w:t>
      </w:r>
    </w:p>
    <w:p w14:paraId="75A93A0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
        </w:rPr>
        <w:t>表5.3-</w:t>
      </w:r>
      <w:r>
        <w:rPr>
          <w:rFonts w:hint="eastAsia" w:cs="Times New Roman"/>
          <w:b/>
          <w:bCs/>
          <w:color w:val="auto"/>
          <w:kern w:val="0"/>
          <w:sz w:val="21"/>
          <w:szCs w:val="21"/>
          <w:lang w:val="en-US" w:eastAsia="zh-CN" w:bidi="ar"/>
        </w:rPr>
        <w:t>4</w:t>
      </w:r>
      <w:r>
        <w:rPr>
          <w:rFonts w:hint="default" w:ascii="Times New Roman" w:hAnsi="Times New Roman" w:eastAsia="宋体" w:cs="Times New Roman"/>
          <w:b/>
          <w:bCs/>
          <w:color w:val="auto"/>
          <w:kern w:val="0"/>
          <w:sz w:val="21"/>
          <w:szCs w:val="21"/>
          <w:lang w:val="en-US" w:eastAsia="zh-CN" w:bidi="ar"/>
        </w:rPr>
        <w:t xml:space="preserve"> 倍频带噪声的大气吸收衰减系数a</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4"/>
        <w:gridCol w:w="779"/>
        <w:gridCol w:w="779"/>
        <w:gridCol w:w="818"/>
        <w:gridCol w:w="818"/>
        <w:gridCol w:w="818"/>
        <w:gridCol w:w="895"/>
        <w:gridCol w:w="895"/>
        <w:gridCol w:w="896"/>
        <w:gridCol w:w="896"/>
      </w:tblGrid>
      <w:tr w14:paraId="01592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4" w:type="dxa"/>
            <w:vMerge w:val="restart"/>
            <w:vAlign w:val="center"/>
          </w:tcPr>
          <w:p w14:paraId="2F3C542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温度℃</w:t>
            </w:r>
          </w:p>
        </w:tc>
        <w:tc>
          <w:tcPr>
            <w:tcW w:w="779" w:type="dxa"/>
            <w:vMerge w:val="restart"/>
            <w:vAlign w:val="center"/>
          </w:tcPr>
          <w:p w14:paraId="30A9B5F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相对湿度%</w:t>
            </w:r>
          </w:p>
        </w:tc>
        <w:tc>
          <w:tcPr>
            <w:tcW w:w="6815" w:type="dxa"/>
            <w:gridSpan w:val="8"/>
            <w:vAlign w:val="center"/>
          </w:tcPr>
          <w:p w14:paraId="0A0C1D3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大气吸收衰减系数a（dB/km）</w:t>
            </w:r>
          </w:p>
        </w:tc>
      </w:tr>
      <w:tr w14:paraId="769CC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4" w:type="dxa"/>
            <w:vMerge w:val="continue"/>
            <w:vAlign w:val="center"/>
          </w:tcPr>
          <w:p w14:paraId="724B053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779" w:type="dxa"/>
            <w:vMerge w:val="continue"/>
            <w:vAlign w:val="center"/>
          </w:tcPr>
          <w:p w14:paraId="0F1FC7C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6815" w:type="dxa"/>
            <w:gridSpan w:val="8"/>
            <w:vAlign w:val="center"/>
          </w:tcPr>
          <w:p w14:paraId="2350B48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倍频带中心频率（Hz）</w:t>
            </w:r>
          </w:p>
        </w:tc>
      </w:tr>
      <w:tr w14:paraId="4379E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4" w:type="dxa"/>
            <w:vMerge w:val="continue"/>
            <w:vAlign w:val="center"/>
          </w:tcPr>
          <w:p w14:paraId="24D5801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779" w:type="dxa"/>
            <w:vMerge w:val="continue"/>
            <w:vAlign w:val="center"/>
          </w:tcPr>
          <w:p w14:paraId="67503B4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779" w:type="dxa"/>
            <w:vAlign w:val="center"/>
          </w:tcPr>
          <w:p w14:paraId="451E00A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63</w:t>
            </w:r>
          </w:p>
        </w:tc>
        <w:tc>
          <w:tcPr>
            <w:tcW w:w="818" w:type="dxa"/>
            <w:vAlign w:val="center"/>
          </w:tcPr>
          <w:p w14:paraId="6248420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125</w:t>
            </w:r>
          </w:p>
        </w:tc>
        <w:tc>
          <w:tcPr>
            <w:tcW w:w="818" w:type="dxa"/>
            <w:vAlign w:val="center"/>
          </w:tcPr>
          <w:p w14:paraId="166B8B5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250</w:t>
            </w:r>
          </w:p>
        </w:tc>
        <w:tc>
          <w:tcPr>
            <w:tcW w:w="818" w:type="dxa"/>
            <w:vAlign w:val="center"/>
          </w:tcPr>
          <w:p w14:paraId="4C7B7DD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500</w:t>
            </w:r>
          </w:p>
        </w:tc>
        <w:tc>
          <w:tcPr>
            <w:tcW w:w="895" w:type="dxa"/>
            <w:vAlign w:val="center"/>
          </w:tcPr>
          <w:p w14:paraId="09B744A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1000</w:t>
            </w:r>
          </w:p>
        </w:tc>
        <w:tc>
          <w:tcPr>
            <w:tcW w:w="895" w:type="dxa"/>
            <w:vAlign w:val="center"/>
          </w:tcPr>
          <w:p w14:paraId="5F1C45F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2000</w:t>
            </w:r>
          </w:p>
        </w:tc>
        <w:tc>
          <w:tcPr>
            <w:tcW w:w="896" w:type="dxa"/>
            <w:vAlign w:val="center"/>
          </w:tcPr>
          <w:p w14:paraId="2A54442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4000</w:t>
            </w:r>
          </w:p>
        </w:tc>
        <w:tc>
          <w:tcPr>
            <w:tcW w:w="896" w:type="dxa"/>
            <w:vAlign w:val="center"/>
          </w:tcPr>
          <w:p w14:paraId="5D0AAD0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rPr>
            </w:pPr>
            <w:r>
              <w:rPr>
                <w:rFonts w:hint="default" w:ascii="Times New Roman" w:hAnsi="Times New Roman" w:eastAsia="宋体" w:cs="Times New Roman"/>
                <w:color w:val="auto"/>
                <w:kern w:val="0"/>
                <w:sz w:val="21"/>
                <w:szCs w:val="21"/>
                <w:lang w:val="en-US" w:eastAsia="zh-CN" w:bidi="ar"/>
              </w:rPr>
              <w:t>800</w:t>
            </w:r>
            <w:r>
              <w:rPr>
                <w:rFonts w:hint="default" w:ascii="Times New Roman" w:hAnsi="Times New Roman" w:cs="Times New Roman"/>
                <w:color w:val="auto"/>
                <w:kern w:val="0"/>
                <w:sz w:val="21"/>
                <w:szCs w:val="21"/>
                <w:lang w:val="en-US" w:eastAsia="zh-CN" w:bidi="ar"/>
              </w:rPr>
              <w:t>0</w:t>
            </w:r>
          </w:p>
        </w:tc>
      </w:tr>
      <w:tr w14:paraId="408F7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4" w:type="dxa"/>
            <w:vAlign w:val="center"/>
          </w:tcPr>
          <w:p w14:paraId="2EE54D1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10</w:t>
            </w:r>
          </w:p>
        </w:tc>
        <w:tc>
          <w:tcPr>
            <w:tcW w:w="779" w:type="dxa"/>
            <w:vAlign w:val="center"/>
          </w:tcPr>
          <w:p w14:paraId="78AC928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70</w:t>
            </w:r>
          </w:p>
        </w:tc>
        <w:tc>
          <w:tcPr>
            <w:tcW w:w="779" w:type="dxa"/>
            <w:vAlign w:val="center"/>
          </w:tcPr>
          <w:p w14:paraId="24A6031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0.1</w:t>
            </w:r>
          </w:p>
        </w:tc>
        <w:tc>
          <w:tcPr>
            <w:tcW w:w="818" w:type="dxa"/>
            <w:vAlign w:val="center"/>
          </w:tcPr>
          <w:p w14:paraId="396B61A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0.4</w:t>
            </w:r>
          </w:p>
        </w:tc>
        <w:tc>
          <w:tcPr>
            <w:tcW w:w="818" w:type="dxa"/>
            <w:vAlign w:val="center"/>
          </w:tcPr>
          <w:p w14:paraId="00C51A2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1.0</w:t>
            </w:r>
          </w:p>
        </w:tc>
        <w:tc>
          <w:tcPr>
            <w:tcW w:w="818" w:type="dxa"/>
            <w:vAlign w:val="center"/>
          </w:tcPr>
          <w:p w14:paraId="34E905A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1.9</w:t>
            </w:r>
          </w:p>
        </w:tc>
        <w:tc>
          <w:tcPr>
            <w:tcW w:w="895" w:type="dxa"/>
            <w:vAlign w:val="center"/>
          </w:tcPr>
          <w:p w14:paraId="18AAFED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3.7</w:t>
            </w:r>
          </w:p>
        </w:tc>
        <w:tc>
          <w:tcPr>
            <w:tcW w:w="895" w:type="dxa"/>
            <w:vAlign w:val="center"/>
          </w:tcPr>
          <w:p w14:paraId="0392878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9.7</w:t>
            </w:r>
          </w:p>
        </w:tc>
        <w:tc>
          <w:tcPr>
            <w:tcW w:w="896" w:type="dxa"/>
            <w:vAlign w:val="center"/>
          </w:tcPr>
          <w:p w14:paraId="40F6BAB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32.8</w:t>
            </w:r>
          </w:p>
        </w:tc>
        <w:tc>
          <w:tcPr>
            <w:tcW w:w="896" w:type="dxa"/>
            <w:vAlign w:val="center"/>
          </w:tcPr>
          <w:p w14:paraId="5C0885A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117.0</w:t>
            </w:r>
          </w:p>
        </w:tc>
      </w:tr>
      <w:tr w14:paraId="6A762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4" w:type="dxa"/>
            <w:vAlign w:val="center"/>
          </w:tcPr>
          <w:p w14:paraId="3672D9B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20</w:t>
            </w:r>
          </w:p>
        </w:tc>
        <w:tc>
          <w:tcPr>
            <w:tcW w:w="779" w:type="dxa"/>
            <w:vAlign w:val="center"/>
          </w:tcPr>
          <w:p w14:paraId="320388B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70</w:t>
            </w:r>
          </w:p>
        </w:tc>
        <w:tc>
          <w:tcPr>
            <w:tcW w:w="779" w:type="dxa"/>
            <w:vAlign w:val="center"/>
          </w:tcPr>
          <w:p w14:paraId="055CC2F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0.1</w:t>
            </w:r>
          </w:p>
        </w:tc>
        <w:tc>
          <w:tcPr>
            <w:tcW w:w="818" w:type="dxa"/>
            <w:vAlign w:val="center"/>
          </w:tcPr>
          <w:p w14:paraId="74D4B70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0.3</w:t>
            </w:r>
          </w:p>
        </w:tc>
        <w:tc>
          <w:tcPr>
            <w:tcW w:w="818" w:type="dxa"/>
            <w:vAlign w:val="center"/>
          </w:tcPr>
          <w:p w14:paraId="0EC15AA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1.1</w:t>
            </w:r>
          </w:p>
        </w:tc>
        <w:tc>
          <w:tcPr>
            <w:tcW w:w="818" w:type="dxa"/>
            <w:vAlign w:val="center"/>
          </w:tcPr>
          <w:p w14:paraId="1C284B5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2.8</w:t>
            </w:r>
          </w:p>
        </w:tc>
        <w:tc>
          <w:tcPr>
            <w:tcW w:w="895" w:type="dxa"/>
            <w:vAlign w:val="center"/>
          </w:tcPr>
          <w:p w14:paraId="7A2E0EB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5.0</w:t>
            </w:r>
          </w:p>
        </w:tc>
        <w:tc>
          <w:tcPr>
            <w:tcW w:w="895" w:type="dxa"/>
            <w:vAlign w:val="center"/>
          </w:tcPr>
          <w:p w14:paraId="7AD4FA1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9.0</w:t>
            </w:r>
          </w:p>
        </w:tc>
        <w:tc>
          <w:tcPr>
            <w:tcW w:w="896" w:type="dxa"/>
            <w:vAlign w:val="center"/>
          </w:tcPr>
          <w:p w14:paraId="4ABC161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22.9</w:t>
            </w:r>
          </w:p>
        </w:tc>
        <w:tc>
          <w:tcPr>
            <w:tcW w:w="896" w:type="dxa"/>
            <w:vAlign w:val="center"/>
          </w:tcPr>
          <w:p w14:paraId="22C7CF3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76.6</w:t>
            </w:r>
          </w:p>
        </w:tc>
      </w:tr>
      <w:tr w14:paraId="37297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4" w:type="dxa"/>
            <w:vAlign w:val="center"/>
          </w:tcPr>
          <w:p w14:paraId="4493AA4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30</w:t>
            </w:r>
          </w:p>
        </w:tc>
        <w:tc>
          <w:tcPr>
            <w:tcW w:w="779" w:type="dxa"/>
            <w:vAlign w:val="center"/>
          </w:tcPr>
          <w:p w14:paraId="773E140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70</w:t>
            </w:r>
          </w:p>
        </w:tc>
        <w:tc>
          <w:tcPr>
            <w:tcW w:w="779" w:type="dxa"/>
            <w:vAlign w:val="center"/>
          </w:tcPr>
          <w:p w14:paraId="3E1ACB6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0.1</w:t>
            </w:r>
          </w:p>
        </w:tc>
        <w:tc>
          <w:tcPr>
            <w:tcW w:w="818" w:type="dxa"/>
            <w:vAlign w:val="center"/>
          </w:tcPr>
          <w:p w14:paraId="1629FD1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0.3</w:t>
            </w:r>
          </w:p>
        </w:tc>
        <w:tc>
          <w:tcPr>
            <w:tcW w:w="818" w:type="dxa"/>
            <w:vAlign w:val="center"/>
          </w:tcPr>
          <w:p w14:paraId="4FB1FD9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1.0</w:t>
            </w:r>
          </w:p>
        </w:tc>
        <w:tc>
          <w:tcPr>
            <w:tcW w:w="818" w:type="dxa"/>
            <w:vAlign w:val="center"/>
          </w:tcPr>
          <w:p w14:paraId="2EEBEED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3.1</w:t>
            </w:r>
          </w:p>
        </w:tc>
        <w:tc>
          <w:tcPr>
            <w:tcW w:w="895" w:type="dxa"/>
            <w:vAlign w:val="center"/>
          </w:tcPr>
          <w:p w14:paraId="22795C6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7.4</w:t>
            </w:r>
          </w:p>
        </w:tc>
        <w:tc>
          <w:tcPr>
            <w:tcW w:w="895" w:type="dxa"/>
            <w:vAlign w:val="center"/>
          </w:tcPr>
          <w:p w14:paraId="614B842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12.7</w:t>
            </w:r>
          </w:p>
        </w:tc>
        <w:tc>
          <w:tcPr>
            <w:tcW w:w="896" w:type="dxa"/>
            <w:vAlign w:val="center"/>
          </w:tcPr>
          <w:p w14:paraId="4D3723C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23.1</w:t>
            </w:r>
          </w:p>
        </w:tc>
        <w:tc>
          <w:tcPr>
            <w:tcW w:w="896" w:type="dxa"/>
            <w:vAlign w:val="center"/>
          </w:tcPr>
          <w:p w14:paraId="4025242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59.3</w:t>
            </w:r>
          </w:p>
        </w:tc>
      </w:tr>
      <w:tr w14:paraId="7AFD7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4" w:type="dxa"/>
            <w:vAlign w:val="center"/>
          </w:tcPr>
          <w:p w14:paraId="50D48B4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15</w:t>
            </w:r>
          </w:p>
        </w:tc>
        <w:tc>
          <w:tcPr>
            <w:tcW w:w="779" w:type="dxa"/>
            <w:vAlign w:val="center"/>
          </w:tcPr>
          <w:p w14:paraId="4F1F75D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20</w:t>
            </w:r>
          </w:p>
        </w:tc>
        <w:tc>
          <w:tcPr>
            <w:tcW w:w="779" w:type="dxa"/>
            <w:vAlign w:val="center"/>
          </w:tcPr>
          <w:p w14:paraId="080AB38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0.3</w:t>
            </w:r>
          </w:p>
        </w:tc>
        <w:tc>
          <w:tcPr>
            <w:tcW w:w="818" w:type="dxa"/>
            <w:vAlign w:val="center"/>
          </w:tcPr>
          <w:p w14:paraId="79EFF94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0.6</w:t>
            </w:r>
          </w:p>
        </w:tc>
        <w:tc>
          <w:tcPr>
            <w:tcW w:w="818" w:type="dxa"/>
            <w:vAlign w:val="center"/>
          </w:tcPr>
          <w:p w14:paraId="3294899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1.2</w:t>
            </w:r>
          </w:p>
        </w:tc>
        <w:tc>
          <w:tcPr>
            <w:tcW w:w="818" w:type="dxa"/>
            <w:vAlign w:val="center"/>
          </w:tcPr>
          <w:p w14:paraId="52B39B4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2.7</w:t>
            </w:r>
          </w:p>
        </w:tc>
        <w:tc>
          <w:tcPr>
            <w:tcW w:w="895" w:type="dxa"/>
            <w:vAlign w:val="center"/>
          </w:tcPr>
          <w:p w14:paraId="4F682CE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8.2</w:t>
            </w:r>
          </w:p>
        </w:tc>
        <w:tc>
          <w:tcPr>
            <w:tcW w:w="895" w:type="dxa"/>
            <w:vAlign w:val="center"/>
          </w:tcPr>
          <w:p w14:paraId="4E9CB3A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28.2</w:t>
            </w:r>
          </w:p>
        </w:tc>
        <w:tc>
          <w:tcPr>
            <w:tcW w:w="896" w:type="dxa"/>
            <w:vAlign w:val="center"/>
          </w:tcPr>
          <w:p w14:paraId="258C6C2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28.8</w:t>
            </w:r>
          </w:p>
        </w:tc>
        <w:tc>
          <w:tcPr>
            <w:tcW w:w="896" w:type="dxa"/>
            <w:vAlign w:val="center"/>
          </w:tcPr>
          <w:p w14:paraId="6A83D1C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202.0</w:t>
            </w:r>
          </w:p>
        </w:tc>
      </w:tr>
      <w:tr w14:paraId="4B212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4" w:type="dxa"/>
            <w:vAlign w:val="center"/>
          </w:tcPr>
          <w:p w14:paraId="1CEAC6B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15</w:t>
            </w:r>
          </w:p>
        </w:tc>
        <w:tc>
          <w:tcPr>
            <w:tcW w:w="779" w:type="dxa"/>
            <w:vAlign w:val="center"/>
          </w:tcPr>
          <w:p w14:paraId="55456A1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50</w:t>
            </w:r>
          </w:p>
        </w:tc>
        <w:tc>
          <w:tcPr>
            <w:tcW w:w="779" w:type="dxa"/>
            <w:vAlign w:val="center"/>
          </w:tcPr>
          <w:p w14:paraId="55364DA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0.1</w:t>
            </w:r>
          </w:p>
        </w:tc>
        <w:tc>
          <w:tcPr>
            <w:tcW w:w="818" w:type="dxa"/>
            <w:vAlign w:val="center"/>
          </w:tcPr>
          <w:p w14:paraId="2A8EE18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0.5</w:t>
            </w:r>
          </w:p>
        </w:tc>
        <w:tc>
          <w:tcPr>
            <w:tcW w:w="818" w:type="dxa"/>
            <w:vAlign w:val="center"/>
          </w:tcPr>
          <w:p w14:paraId="5056D39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1.2</w:t>
            </w:r>
          </w:p>
        </w:tc>
        <w:tc>
          <w:tcPr>
            <w:tcW w:w="818" w:type="dxa"/>
            <w:vAlign w:val="center"/>
          </w:tcPr>
          <w:p w14:paraId="6459B78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2.2</w:t>
            </w:r>
          </w:p>
        </w:tc>
        <w:tc>
          <w:tcPr>
            <w:tcW w:w="895" w:type="dxa"/>
            <w:vAlign w:val="center"/>
          </w:tcPr>
          <w:p w14:paraId="10998EC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4.2</w:t>
            </w:r>
          </w:p>
        </w:tc>
        <w:tc>
          <w:tcPr>
            <w:tcW w:w="895" w:type="dxa"/>
            <w:vAlign w:val="center"/>
          </w:tcPr>
          <w:p w14:paraId="555EF8C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10.8</w:t>
            </w:r>
          </w:p>
        </w:tc>
        <w:tc>
          <w:tcPr>
            <w:tcW w:w="896" w:type="dxa"/>
            <w:vAlign w:val="center"/>
          </w:tcPr>
          <w:p w14:paraId="588112A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36.2</w:t>
            </w:r>
          </w:p>
        </w:tc>
        <w:tc>
          <w:tcPr>
            <w:tcW w:w="896" w:type="dxa"/>
            <w:vAlign w:val="center"/>
          </w:tcPr>
          <w:p w14:paraId="647DF75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129.0</w:t>
            </w:r>
          </w:p>
        </w:tc>
      </w:tr>
      <w:tr w14:paraId="19D30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4" w:type="dxa"/>
            <w:vAlign w:val="center"/>
          </w:tcPr>
          <w:p w14:paraId="4099A1D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15</w:t>
            </w:r>
          </w:p>
        </w:tc>
        <w:tc>
          <w:tcPr>
            <w:tcW w:w="779" w:type="dxa"/>
            <w:vAlign w:val="center"/>
          </w:tcPr>
          <w:p w14:paraId="69234DE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80</w:t>
            </w:r>
          </w:p>
        </w:tc>
        <w:tc>
          <w:tcPr>
            <w:tcW w:w="779" w:type="dxa"/>
            <w:vAlign w:val="center"/>
          </w:tcPr>
          <w:p w14:paraId="067E174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0.1</w:t>
            </w:r>
          </w:p>
        </w:tc>
        <w:tc>
          <w:tcPr>
            <w:tcW w:w="818" w:type="dxa"/>
            <w:vAlign w:val="center"/>
          </w:tcPr>
          <w:p w14:paraId="1C56550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0.3</w:t>
            </w:r>
          </w:p>
        </w:tc>
        <w:tc>
          <w:tcPr>
            <w:tcW w:w="818" w:type="dxa"/>
            <w:vAlign w:val="center"/>
          </w:tcPr>
          <w:p w14:paraId="671C234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1.1</w:t>
            </w:r>
          </w:p>
        </w:tc>
        <w:tc>
          <w:tcPr>
            <w:tcW w:w="818" w:type="dxa"/>
            <w:vAlign w:val="center"/>
          </w:tcPr>
          <w:p w14:paraId="586BA64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2.4</w:t>
            </w:r>
          </w:p>
        </w:tc>
        <w:tc>
          <w:tcPr>
            <w:tcW w:w="895" w:type="dxa"/>
            <w:vAlign w:val="center"/>
          </w:tcPr>
          <w:p w14:paraId="4E16D2C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4.1</w:t>
            </w:r>
          </w:p>
        </w:tc>
        <w:tc>
          <w:tcPr>
            <w:tcW w:w="895" w:type="dxa"/>
            <w:vAlign w:val="center"/>
          </w:tcPr>
          <w:p w14:paraId="1D45C49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8.3</w:t>
            </w:r>
          </w:p>
        </w:tc>
        <w:tc>
          <w:tcPr>
            <w:tcW w:w="896" w:type="dxa"/>
            <w:vAlign w:val="center"/>
          </w:tcPr>
          <w:p w14:paraId="4081A7D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23.7</w:t>
            </w:r>
          </w:p>
        </w:tc>
        <w:tc>
          <w:tcPr>
            <w:tcW w:w="896" w:type="dxa"/>
            <w:vAlign w:val="center"/>
          </w:tcPr>
          <w:p w14:paraId="4D7BEDE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82.8</w:t>
            </w:r>
          </w:p>
        </w:tc>
      </w:tr>
    </w:tbl>
    <w:p w14:paraId="7B7AD67B">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b.地面吸收声衰减量</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i/>
          <w:iCs/>
          <w:color w:val="auto"/>
          <w:kern w:val="0"/>
          <w:sz w:val="15"/>
          <w:szCs w:val="15"/>
          <w:lang w:val="en-US" w:eastAsia="zh-CN" w:bidi="ar"/>
        </w:rPr>
        <w:t>gr</w:t>
      </w:r>
      <w:r>
        <w:rPr>
          <w:rFonts w:hint="default" w:ascii="Times New Roman" w:hAnsi="Times New Roman" w:eastAsia="宋体" w:cs="Times New Roman"/>
          <w:color w:val="auto"/>
          <w:kern w:val="0"/>
          <w:sz w:val="24"/>
          <w:szCs w:val="24"/>
          <w:lang w:val="en-US" w:eastAsia="zh-CN" w:bidi="ar"/>
        </w:rPr>
        <w:t>计算</w:t>
      </w:r>
    </w:p>
    <w:p w14:paraId="144F7F0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当声波越过疏松地面传播时，或大部分为疏松地面的混合地面，且在</w:t>
      </w:r>
      <w:r>
        <w:rPr>
          <w:rFonts w:hint="eastAsia" w:cs="Times New Roman"/>
          <w:color w:val="auto"/>
          <w:kern w:val="0"/>
          <w:sz w:val="24"/>
          <w:szCs w:val="24"/>
          <w:lang w:val="en-US" w:eastAsia="zh-CN" w:bidi="ar"/>
        </w:rPr>
        <w:t>接收点</w:t>
      </w:r>
      <w:r>
        <w:rPr>
          <w:rFonts w:hint="default" w:ascii="Times New Roman" w:hAnsi="Times New Roman" w:eastAsia="宋体" w:cs="Times New Roman"/>
          <w:color w:val="auto"/>
          <w:kern w:val="0"/>
          <w:sz w:val="24"/>
          <w:szCs w:val="24"/>
          <w:lang w:val="en-US" w:eastAsia="zh-CN" w:bidi="ar"/>
        </w:rPr>
        <w:t>仅计算A声级前提下，</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i/>
          <w:iCs/>
          <w:color w:val="auto"/>
          <w:kern w:val="0"/>
          <w:sz w:val="15"/>
          <w:szCs w:val="15"/>
          <w:lang w:val="en-US" w:eastAsia="zh-CN" w:bidi="ar"/>
        </w:rPr>
        <w:t>gr</w:t>
      </w:r>
      <w:r>
        <w:rPr>
          <w:rFonts w:hint="default" w:ascii="Times New Roman" w:hAnsi="Times New Roman" w:eastAsia="宋体" w:cs="Times New Roman"/>
          <w:color w:val="auto"/>
          <w:kern w:val="0"/>
          <w:sz w:val="24"/>
          <w:szCs w:val="24"/>
          <w:lang w:val="en-US" w:eastAsia="zh-CN" w:bidi="ar"/>
        </w:rPr>
        <w:t>可用下式计算</w:t>
      </w:r>
    </w:p>
    <w:p w14:paraId="79D03905">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lang w:eastAsia="zh-CN"/>
        </w:rPr>
        <w:drawing>
          <wp:inline distT="0" distB="0" distL="114300" distR="114300">
            <wp:extent cx="1950720" cy="556260"/>
            <wp:effectExtent l="0" t="0" r="11430" b="15240"/>
            <wp:docPr id="11" name="图片 11" descr="截图2024060301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截图20240603011715"/>
                    <pic:cNvPicPr>
                      <a:picLocks noChangeAspect="1"/>
                    </pic:cNvPicPr>
                  </pic:nvPicPr>
                  <pic:blipFill>
                    <a:blip r:embed="rId59"/>
                    <a:stretch>
                      <a:fillRect/>
                    </a:stretch>
                  </pic:blipFill>
                  <pic:spPr>
                    <a:xfrm>
                      <a:off x="0" y="0"/>
                      <a:ext cx="1950720" cy="556260"/>
                    </a:xfrm>
                    <a:prstGeom prst="rect">
                      <a:avLst/>
                    </a:prstGeom>
                  </pic:spPr>
                </pic:pic>
              </a:graphicData>
            </a:graphic>
          </wp:inline>
        </w:drawing>
      </w:r>
    </w:p>
    <w:p w14:paraId="0F2B30A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式中：</w:t>
      </w:r>
    </w:p>
    <w:p w14:paraId="6DC4C97A">
      <w:pPr>
        <w:keepNext w:val="0"/>
        <w:keepLines w:val="0"/>
        <w:pageBreakBefore w:val="0"/>
        <w:widowControl/>
        <w:suppressLineNumbers w:val="0"/>
        <w:kinsoku/>
        <w:wordWrap/>
        <w:overflowPunct/>
        <w:topLinePunct w:val="0"/>
        <w:autoSpaceDE/>
        <w:autoSpaceDN/>
        <w:bidi w:val="0"/>
        <w:adjustRightInd w:val="0"/>
        <w:snapToGrid w:val="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color w:val="auto"/>
          <w:kern w:val="0"/>
          <w:sz w:val="24"/>
          <w:szCs w:val="24"/>
          <w:lang w:val="en-US" w:eastAsia="zh-CN" w:bidi="ar"/>
        </w:rPr>
        <w:t>gr——地面吸收引起的衰减量，dB(A)；</w:t>
      </w:r>
    </w:p>
    <w:p w14:paraId="6364C8FB">
      <w:pPr>
        <w:keepNext w:val="0"/>
        <w:keepLines w:val="0"/>
        <w:pageBreakBefore w:val="0"/>
        <w:widowControl/>
        <w:suppressLineNumbers w:val="0"/>
        <w:kinsoku/>
        <w:wordWrap/>
        <w:overflowPunct/>
        <w:topLinePunct w:val="0"/>
        <w:autoSpaceDE/>
        <w:autoSpaceDN/>
        <w:bidi w:val="0"/>
        <w:adjustRightInd w:val="0"/>
        <w:snapToGrid w:val="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r</w:t>
      </w:r>
      <w:r>
        <w:rPr>
          <w:rFonts w:hint="default" w:ascii="Times New Roman" w:hAnsi="Times New Roman" w:eastAsia="宋体" w:cs="Times New Roman"/>
          <w:color w:val="auto"/>
          <w:kern w:val="0"/>
          <w:sz w:val="24"/>
          <w:szCs w:val="24"/>
          <w:lang w:val="en-US" w:eastAsia="zh-CN" w:bidi="ar"/>
        </w:rPr>
        <w:t>——预测点距声源的距离，m；</w:t>
      </w:r>
    </w:p>
    <w:p w14:paraId="0A797BFE">
      <w:pPr>
        <w:keepNext w:val="0"/>
        <w:keepLines w:val="0"/>
        <w:pageBreakBefore w:val="0"/>
        <w:widowControl/>
        <w:suppressLineNumbers w:val="0"/>
        <w:kinsoku/>
        <w:wordWrap/>
        <w:overflowPunct/>
        <w:topLinePunct w:val="0"/>
        <w:autoSpaceDE/>
        <w:autoSpaceDN/>
        <w:bidi w:val="0"/>
        <w:adjustRightInd w:val="0"/>
        <w:snapToGrid w:val="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h</w:t>
      </w:r>
      <w:r>
        <w:rPr>
          <w:rFonts w:hint="default" w:ascii="Times New Roman" w:hAnsi="Times New Roman" w:eastAsia="宋体" w:cs="Times New Roman"/>
          <w:color w:val="auto"/>
          <w:kern w:val="0"/>
          <w:sz w:val="24"/>
          <w:szCs w:val="24"/>
          <w:lang w:val="en-US" w:eastAsia="zh-CN" w:bidi="ar"/>
        </w:rPr>
        <w:t>m——传播路径的平均离地高度，m；可按图5.3-2计算，</w:t>
      </w:r>
      <w:r>
        <w:rPr>
          <w:rFonts w:hint="default" w:ascii="Times New Roman" w:hAnsi="Times New Roman" w:eastAsia="宋体" w:cs="Times New Roman"/>
          <w:i/>
          <w:iCs/>
          <w:color w:val="auto"/>
          <w:kern w:val="0"/>
          <w:sz w:val="24"/>
          <w:szCs w:val="24"/>
          <w:lang w:val="en-US" w:eastAsia="zh-CN" w:bidi="ar"/>
        </w:rPr>
        <w:t>h</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i/>
          <w:iCs/>
          <w:color w:val="auto"/>
          <w:kern w:val="0"/>
          <w:sz w:val="24"/>
          <w:szCs w:val="24"/>
          <w:lang w:val="en-US" w:eastAsia="zh-CN" w:bidi="ar"/>
        </w:rPr>
        <w:t>F/r</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i/>
          <w:iCs/>
          <w:color w:val="auto"/>
          <w:kern w:val="0"/>
          <w:sz w:val="24"/>
          <w:szCs w:val="24"/>
          <w:lang w:val="en-US" w:eastAsia="zh-CN" w:bidi="ar"/>
        </w:rPr>
        <w:t>F</w:t>
      </w:r>
      <w:r>
        <w:rPr>
          <w:rFonts w:hint="default" w:ascii="Times New Roman" w:hAnsi="Times New Roman" w:eastAsia="宋体" w:cs="Times New Roman"/>
          <w:color w:val="auto"/>
          <w:kern w:val="0"/>
          <w:sz w:val="24"/>
          <w:szCs w:val="24"/>
          <w:lang w:val="en-US" w:eastAsia="zh-CN" w:bidi="ar"/>
        </w:rPr>
        <w:t>为阴影面积，m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w:t>
      </w:r>
    </w:p>
    <w:p w14:paraId="5632100E">
      <w:pPr>
        <w:keepNext w:val="0"/>
        <w:keepLines w:val="0"/>
        <w:pageBreakBefore w:val="0"/>
        <w:widowControl/>
        <w:suppressLineNumbers w:val="0"/>
        <w:kinsoku/>
        <w:wordWrap/>
        <w:overflowPunct/>
        <w:topLinePunct w:val="0"/>
        <w:autoSpaceDE/>
        <w:autoSpaceDN/>
        <w:bidi w:val="0"/>
        <w:adjustRightInd w:val="0"/>
        <w:snapToGrid w:val="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若Agr计算出负值，则Agr可取0，</w:t>
      </w:r>
      <w:r>
        <w:rPr>
          <w:rFonts w:hint="default" w:ascii="Times New Roman" w:hAnsi="Times New Roman" w:cs="Times New Roman"/>
          <w:color w:val="auto"/>
          <w:kern w:val="0"/>
          <w:sz w:val="24"/>
          <w:szCs w:val="24"/>
          <w:lang w:val="en-US" w:eastAsia="zh-CN" w:bidi="ar"/>
        </w:rPr>
        <w:t>其他情况</w:t>
      </w:r>
      <w:r>
        <w:rPr>
          <w:rFonts w:hint="default" w:ascii="Times New Roman" w:hAnsi="Times New Roman" w:eastAsia="宋体" w:cs="Times New Roman"/>
          <w:color w:val="auto"/>
          <w:kern w:val="0"/>
          <w:sz w:val="24"/>
          <w:szCs w:val="24"/>
          <w:lang w:val="en-US" w:eastAsia="zh-CN" w:bidi="ar"/>
        </w:rPr>
        <w:t>可参照《声学户外声传播的衰减第2部分：一般计算方法》（GB/T 17247.2）计算</w:t>
      </w:r>
    </w:p>
    <w:p w14:paraId="02D5EA46">
      <w:pPr>
        <w:keepNext w:val="0"/>
        <w:keepLines w:val="0"/>
        <w:widowControl/>
        <w:suppressLineNumbers w:val="0"/>
        <w:jc w:val="left"/>
        <w:rPr>
          <w:rFonts w:hint="default" w:ascii="Times New Roman" w:hAnsi="Times New Roman" w:eastAsia="宋体" w:cs="Times New Roman"/>
          <w:i/>
          <w:iCs/>
          <w:color w:val="auto"/>
          <w:kern w:val="0"/>
          <w:sz w:val="24"/>
          <w:szCs w:val="24"/>
          <w:lang w:val="en-US" w:eastAsia="zh-CN" w:bidi="ar"/>
        </w:rPr>
      </w:pPr>
      <w:r>
        <w:rPr>
          <w:rFonts w:hint="default" w:ascii="Times New Roman" w:hAnsi="Times New Roman" w:eastAsia="宋体" w:cs="Times New Roman"/>
          <w:color w:val="auto"/>
          <w:lang w:eastAsia="zh-CN"/>
        </w:rPr>
        <w:drawing>
          <wp:inline distT="0" distB="0" distL="114300" distR="114300">
            <wp:extent cx="3700780" cy="1792605"/>
            <wp:effectExtent l="0" t="0" r="2540" b="5715"/>
            <wp:docPr id="12" name="图片 12" descr="截图2024060301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截图20240603011847"/>
                    <pic:cNvPicPr>
                      <a:picLocks noChangeAspect="1"/>
                    </pic:cNvPicPr>
                  </pic:nvPicPr>
                  <pic:blipFill>
                    <a:blip r:embed="rId60"/>
                    <a:stretch>
                      <a:fillRect/>
                    </a:stretch>
                  </pic:blipFill>
                  <pic:spPr>
                    <a:xfrm>
                      <a:off x="0" y="0"/>
                      <a:ext cx="3700780" cy="1792605"/>
                    </a:xfrm>
                    <a:prstGeom prst="rect">
                      <a:avLst/>
                    </a:prstGeom>
                  </pic:spPr>
                </pic:pic>
              </a:graphicData>
            </a:graphic>
          </wp:inline>
        </w:drawing>
      </w:r>
    </w:p>
    <w:p w14:paraId="769DFDDC">
      <w:pPr>
        <w:keepNext w:val="0"/>
        <w:keepLines w:val="0"/>
        <w:widowControl/>
        <w:suppressLineNumbers w:val="0"/>
        <w:jc w:val="center"/>
        <w:rPr>
          <w:rFonts w:hint="default" w:ascii="Times New Roman" w:hAnsi="Times New Roman" w:eastAsia="宋体" w:cs="Times New Roman"/>
          <w:i/>
          <w:iCs/>
          <w:color w:val="auto"/>
          <w:kern w:val="0"/>
          <w:sz w:val="24"/>
          <w:szCs w:val="24"/>
          <w:lang w:val="en-US" w:eastAsia="zh-CN" w:bidi="ar"/>
        </w:rPr>
      </w:pPr>
      <w:r>
        <w:rPr>
          <w:rFonts w:hint="default" w:ascii="Times New Roman" w:hAnsi="Times New Roman" w:eastAsia="宋体" w:cs="Times New Roman"/>
          <w:b/>
          <w:bCs/>
          <w:color w:val="auto"/>
          <w:kern w:val="0"/>
          <w:sz w:val="21"/>
          <w:szCs w:val="21"/>
          <w:lang w:val="en-US" w:eastAsia="zh-CN" w:bidi="ar"/>
        </w:rPr>
        <w:t>图5.3-</w:t>
      </w:r>
      <w:r>
        <w:rPr>
          <w:rFonts w:hint="eastAsia" w:cs="Times New Roman"/>
          <w:b/>
          <w:bCs/>
          <w:color w:val="auto"/>
          <w:kern w:val="0"/>
          <w:sz w:val="21"/>
          <w:szCs w:val="21"/>
          <w:lang w:val="en-US" w:eastAsia="zh-CN" w:bidi="ar"/>
        </w:rPr>
        <w:t>4</w:t>
      </w:r>
      <w:r>
        <w:rPr>
          <w:rFonts w:hint="default" w:ascii="Times New Roman" w:hAnsi="Times New Roman" w:eastAsia="宋体" w:cs="Times New Roman"/>
          <w:b/>
          <w:bCs/>
          <w:color w:val="auto"/>
          <w:kern w:val="0"/>
          <w:sz w:val="21"/>
          <w:szCs w:val="21"/>
          <w:lang w:val="en-US" w:eastAsia="zh-CN" w:bidi="ar"/>
        </w:rPr>
        <w:t xml:space="preserve"> 估计平均高度hm的方法</w:t>
      </w:r>
    </w:p>
    <w:p w14:paraId="0AFD6D17">
      <w:pPr>
        <w:keepNext w:val="0"/>
        <w:keepLines w:val="0"/>
        <w:widowControl/>
        <w:suppressLineNumbers w:val="0"/>
        <w:jc w:val="left"/>
        <w:rPr>
          <w:rFonts w:hint="default" w:ascii="Times New Roman" w:hAnsi="Times New Roman" w:cs="Times New Roman"/>
          <w:color w:val="auto"/>
        </w:rPr>
      </w:pPr>
    </w:p>
    <w:p w14:paraId="78C22698">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p>
    <w:p w14:paraId="6090175B">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p>
    <w:p w14:paraId="35D5416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本项目昼夜间车流量见表5.3-</w:t>
      </w:r>
      <w:r>
        <w:rPr>
          <w:rFonts w:hint="eastAsia" w:cs="Times New Roman"/>
          <w:color w:val="auto"/>
          <w:kern w:val="0"/>
          <w:sz w:val="24"/>
          <w:szCs w:val="24"/>
          <w:lang w:val="en-US" w:eastAsia="zh-CN" w:bidi="ar"/>
        </w:rPr>
        <w:t>5</w:t>
      </w:r>
      <w:r>
        <w:rPr>
          <w:rFonts w:hint="default" w:ascii="Times New Roman" w:hAnsi="Times New Roman" w:eastAsia="宋体" w:cs="Times New Roman"/>
          <w:color w:val="auto"/>
          <w:kern w:val="0"/>
          <w:sz w:val="24"/>
          <w:szCs w:val="24"/>
          <w:lang w:val="en-US" w:eastAsia="zh-CN" w:bidi="ar"/>
        </w:rPr>
        <w:t>。</w:t>
      </w:r>
    </w:p>
    <w:p w14:paraId="453AC88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
        </w:rPr>
        <w:t>表5.3-</w:t>
      </w:r>
      <w:r>
        <w:rPr>
          <w:rFonts w:hint="eastAsia" w:cs="Times New Roman"/>
          <w:b/>
          <w:bCs/>
          <w:color w:val="auto"/>
          <w:kern w:val="0"/>
          <w:sz w:val="21"/>
          <w:szCs w:val="21"/>
          <w:lang w:val="en-US" w:eastAsia="zh-CN" w:bidi="ar"/>
        </w:rPr>
        <w:t>5</w:t>
      </w:r>
      <w:r>
        <w:rPr>
          <w:rFonts w:hint="default" w:ascii="Times New Roman" w:hAnsi="Times New Roman" w:eastAsia="宋体" w:cs="Times New Roman"/>
          <w:b/>
          <w:bCs/>
          <w:color w:val="auto"/>
          <w:kern w:val="0"/>
          <w:sz w:val="21"/>
          <w:szCs w:val="21"/>
          <w:lang w:val="en-US" w:eastAsia="zh-CN" w:bidi="ar"/>
        </w:rPr>
        <w:t xml:space="preserve"> </w:t>
      </w:r>
      <w:r>
        <w:rPr>
          <w:rFonts w:hint="default" w:ascii="Times New Roman" w:hAnsi="Times New Roman" w:eastAsia="宋体" w:cs="Times New Roman"/>
          <w:b/>
          <w:bCs/>
          <w:color w:val="auto"/>
          <w:kern w:val="0"/>
          <w:sz w:val="21"/>
          <w:szCs w:val="21"/>
          <w:highlight w:val="none"/>
          <w:lang w:val="en-US" w:eastAsia="zh-CN" w:bidi="ar"/>
        </w:rPr>
        <w:t>本项目小时平均交</w:t>
      </w:r>
      <w:r>
        <w:rPr>
          <w:rFonts w:hint="default" w:ascii="Times New Roman" w:hAnsi="Times New Roman" w:eastAsia="宋体" w:cs="Times New Roman"/>
          <w:b/>
          <w:bCs/>
          <w:color w:val="auto"/>
          <w:kern w:val="0"/>
          <w:sz w:val="21"/>
          <w:szCs w:val="21"/>
          <w:lang w:val="en-US" w:eastAsia="zh-CN" w:bidi="ar"/>
        </w:rPr>
        <w:t>通量（单位：辆/h）</w:t>
      </w:r>
    </w:p>
    <w:tbl>
      <w:tblPr>
        <w:tblStyle w:val="3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6"/>
        <w:gridCol w:w="1861"/>
        <w:gridCol w:w="1547"/>
        <w:gridCol w:w="1750"/>
        <w:gridCol w:w="2192"/>
      </w:tblGrid>
      <w:tr w14:paraId="41098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trPr>
        <w:tc>
          <w:tcPr>
            <w:tcW w:w="690" w:type="pct"/>
            <w:vMerge w:val="restart"/>
            <w:tcBorders>
              <w:tl2br w:val="nil"/>
              <w:tr2bl w:val="nil"/>
            </w:tcBorders>
            <w:noWrap w:val="0"/>
            <w:vAlign w:val="center"/>
          </w:tcPr>
          <w:p w14:paraId="48DC74EB">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车型</w:t>
            </w:r>
          </w:p>
        </w:tc>
        <w:tc>
          <w:tcPr>
            <w:tcW w:w="1091" w:type="pct"/>
            <w:vMerge w:val="restart"/>
            <w:tcBorders>
              <w:tl2br w:val="nil"/>
              <w:tr2bl w:val="nil"/>
            </w:tcBorders>
            <w:noWrap w:val="0"/>
            <w:vAlign w:val="center"/>
          </w:tcPr>
          <w:p w14:paraId="2DAB844B">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时段</w:t>
            </w:r>
          </w:p>
        </w:tc>
        <w:tc>
          <w:tcPr>
            <w:tcW w:w="3218" w:type="pct"/>
            <w:gridSpan w:val="3"/>
            <w:tcBorders>
              <w:tl2br w:val="nil"/>
              <w:tr2bl w:val="nil"/>
            </w:tcBorders>
            <w:noWrap w:val="0"/>
            <w:vAlign w:val="center"/>
          </w:tcPr>
          <w:p w14:paraId="765EA2F8">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车流量</w:t>
            </w:r>
          </w:p>
        </w:tc>
      </w:tr>
      <w:tr w14:paraId="02D26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trPr>
        <w:tc>
          <w:tcPr>
            <w:tcW w:w="690" w:type="pct"/>
            <w:vMerge w:val="continue"/>
            <w:tcBorders>
              <w:tl2br w:val="nil"/>
              <w:tr2bl w:val="nil"/>
            </w:tcBorders>
            <w:noWrap w:val="0"/>
            <w:vAlign w:val="center"/>
          </w:tcPr>
          <w:p w14:paraId="33BF0CFE">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91" w:type="pct"/>
            <w:vMerge w:val="continue"/>
            <w:tcBorders>
              <w:tl2br w:val="nil"/>
              <w:tr2bl w:val="nil"/>
            </w:tcBorders>
            <w:noWrap w:val="0"/>
            <w:vAlign w:val="center"/>
          </w:tcPr>
          <w:p w14:paraId="2AD7E11A">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907" w:type="pct"/>
            <w:tcBorders>
              <w:tl2br w:val="nil"/>
              <w:tr2bl w:val="nil"/>
            </w:tcBorders>
            <w:noWrap w:val="0"/>
            <w:vAlign w:val="center"/>
          </w:tcPr>
          <w:p w14:paraId="00E8A3F5">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2028</w:t>
            </w:r>
          </w:p>
        </w:tc>
        <w:tc>
          <w:tcPr>
            <w:tcW w:w="1026" w:type="pct"/>
            <w:tcBorders>
              <w:tl2br w:val="nil"/>
              <w:tr2bl w:val="nil"/>
            </w:tcBorders>
            <w:noWrap w:val="0"/>
            <w:vAlign w:val="center"/>
          </w:tcPr>
          <w:p w14:paraId="623AF614">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203</w:t>
            </w:r>
            <w:r>
              <w:rPr>
                <w:rFonts w:hint="eastAsia" w:cs="Times New Roman"/>
                <w:color w:val="auto"/>
                <w:kern w:val="0"/>
                <w:sz w:val="21"/>
                <w:szCs w:val="21"/>
                <w:lang w:val="en-US" w:eastAsia="zh-CN" w:bidi="ar-SA"/>
              </w:rPr>
              <w:t>4</w:t>
            </w:r>
          </w:p>
        </w:tc>
        <w:tc>
          <w:tcPr>
            <w:tcW w:w="1285" w:type="pct"/>
            <w:tcBorders>
              <w:tl2br w:val="nil"/>
              <w:tr2bl w:val="nil"/>
            </w:tcBorders>
            <w:noWrap w:val="0"/>
            <w:vAlign w:val="center"/>
          </w:tcPr>
          <w:p w14:paraId="2FE36764">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204</w:t>
            </w:r>
            <w:r>
              <w:rPr>
                <w:rFonts w:hint="eastAsia" w:cs="Times New Roman"/>
                <w:color w:val="auto"/>
                <w:kern w:val="0"/>
                <w:sz w:val="21"/>
                <w:szCs w:val="21"/>
                <w:lang w:val="en-US" w:eastAsia="zh-CN" w:bidi="ar-SA"/>
              </w:rPr>
              <w:t>2</w:t>
            </w:r>
          </w:p>
        </w:tc>
      </w:tr>
      <w:tr w14:paraId="3DD6C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690" w:type="pct"/>
            <w:vMerge w:val="restart"/>
            <w:tcBorders>
              <w:tl2br w:val="nil"/>
              <w:tr2bl w:val="nil"/>
            </w:tcBorders>
            <w:noWrap w:val="0"/>
            <w:vAlign w:val="center"/>
          </w:tcPr>
          <w:p w14:paraId="68DB4D15">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小型车</w:t>
            </w:r>
          </w:p>
        </w:tc>
        <w:tc>
          <w:tcPr>
            <w:tcW w:w="1091" w:type="pct"/>
            <w:tcBorders>
              <w:tl2br w:val="nil"/>
              <w:tr2bl w:val="nil"/>
            </w:tcBorders>
            <w:noWrap w:val="0"/>
            <w:vAlign w:val="center"/>
          </w:tcPr>
          <w:p w14:paraId="07896009">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昼间</w:t>
            </w:r>
          </w:p>
        </w:tc>
        <w:tc>
          <w:tcPr>
            <w:tcW w:w="907" w:type="pct"/>
            <w:tcBorders>
              <w:tl2br w:val="nil"/>
              <w:tr2bl w:val="nil"/>
            </w:tcBorders>
            <w:noWrap w:val="0"/>
            <w:vAlign w:val="center"/>
          </w:tcPr>
          <w:p w14:paraId="4BD6A4B8">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274</w:t>
            </w:r>
          </w:p>
        </w:tc>
        <w:tc>
          <w:tcPr>
            <w:tcW w:w="1026" w:type="pct"/>
            <w:tcBorders>
              <w:tl2br w:val="nil"/>
              <w:tr2bl w:val="nil"/>
            </w:tcBorders>
            <w:noWrap w:val="0"/>
            <w:vAlign w:val="center"/>
          </w:tcPr>
          <w:p w14:paraId="35924FEA">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455</w:t>
            </w:r>
          </w:p>
        </w:tc>
        <w:tc>
          <w:tcPr>
            <w:tcW w:w="1285" w:type="pct"/>
            <w:tcBorders>
              <w:tl2br w:val="nil"/>
              <w:tr2bl w:val="nil"/>
            </w:tcBorders>
            <w:noWrap w:val="0"/>
            <w:vAlign w:val="center"/>
          </w:tcPr>
          <w:p w14:paraId="5C73A14A">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734</w:t>
            </w:r>
          </w:p>
        </w:tc>
      </w:tr>
      <w:tr w14:paraId="4D6F5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690" w:type="pct"/>
            <w:vMerge w:val="continue"/>
            <w:tcBorders>
              <w:tl2br w:val="nil"/>
              <w:tr2bl w:val="nil"/>
            </w:tcBorders>
            <w:noWrap w:val="0"/>
            <w:vAlign w:val="center"/>
          </w:tcPr>
          <w:p w14:paraId="33FA8AB9">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91" w:type="pct"/>
            <w:tcBorders>
              <w:tl2br w:val="nil"/>
              <w:tr2bl w:val="nil"/>
            </w:tcBorders>
            <w:noWrap w:val="0"/>
            <w:vAlign w:val="center"/>
          </w:tcPr>
          <w:p w14:paraId="5C92371E">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夜间</w:t>
            </w:r>
          </w:p>
        </w:tc>
        <w:tc>
          <w:tcPr>
            <w:tcW w:w="907" w:type="pct"/>
            <w:tcBorders>
              <w:tl2br w:val="nil"/>
              <w:tr2bl w:val="nil"/>
            </w:tcBorders>
            <w:noWrap w:val="0"/>
            <w:vAlign w:val="center"/>
          </w:tcPr>
          <w:p w14:paraId="56F487D9">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137</w:t>
            </w:r>
          </w:p>
        </w:tc>
        <w:tc>
          <w:tcPr>
            <w:tcW w:w="1026" w:type="pct"/>
            <w:tcBorders>
              <w:tl2br w:val="nil"/>
              <w:tr2bl w:val="nil"/>
            </w:tcBorders>
            <w:noWrap w:val="0"/>
            <w:vAlign w:val="center"/>
          </w:tcPr>
          <w:p w14:paraId="6D1F1C30">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228</w:t>
            </w:r>
          </w:p>
        </w:tc>
        <w:tc>
          <w:tcPr>
            <w:tcW w:w="1285" w:type="pct"/>
            <w:tcBorders>
              <w:tl2br w:val="nil"/>
              <w:tr2bl w:val="nil"/>
            </w:tcBorders>
            <w:noWrap w:val="0"/>
            <w:vAlign w:val="center"/>
          </w:tcPr>
          <w:p w14:paraId="144F06BE">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367</w:t>
            </w:r>
          </w:p>
        </w:tc>
      </w:tr>
      <w:tr w14:paraId="3E595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 w:hRule="atLeast"/>
        </w:trPr>
        <w:tc>
          <w:tcPr>
            <w:tcW w:w="690" w:type="pct"/>
            <w:vMerge w:val="restart"/>
            <w:tcBorders>
              <w:tl2br w:val="nil"/>
              <w:tr2bl w:val="nil"/>
            </w:tcBorders>
            <w:noWrap w:val="0"/>
            <w:vAlign w:val="center"/>
          </w:tcPr>
          <w:p w14:paraId="299B5E2D">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中型车</w:t>
            </w:r>
          </w:p>
        </w:tc>
        <w:tc>
          <w:tcPr>
            <w:tcW w:w="1091" w:type="pct"/>
            <w:tcBorders>
              <w:tl2br w:val="nil"/>
              <w:tr2bl w:val="nil"/>
            </w:tcBorders>
            <w:noWrap w:val="0"/>
            <w:vAlign w:val="center"/>
          </w:tcPr>
          <w:p w14:paraId="2424B0A8">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昼间</w:t>
            </w:r>
          </w:p>
        </w:tc>
        <w:tc>
          <w:tcPr>
            <w:tcW w:w="907" w:type="pct"/>
            <w:tcBorders>
              <w:tl2br w:val="nil"/>
              <w:tr2bl w:val="nil"/>
            </w:tcBorders>
            <w:noWrap w:val="0"/>
            <w:vAlign w:val="center"/>
          </w:tcPr>
          <w:p w14:paraId="467B66D3">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6</w:t>
            </w:r>
          </w:p>
        </w:tc>
        <w:tc>
          <w:tcPr>
            <w:tcW w:w="1026" w:type="pct"/>
            <w:tcBorders>
              <w:tl2br w:val="nil"/>
              <w:tr2bl w:val="nil"/>
            </w:tcBorders>
            <w:noWrap w:val="0"/>
            <w:vAlign w:val="center"/>
          </w:tcPr>
          <w:p w14:paraId="59D13118">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9</w:t>
            </w:r>
          </w:p>
        </w:tc>
        <w:tc>
          <w:tcPr>
            <w:tcW w:w="1285" w:type="pct"/>
            <w:tcBorders>
              <w:tl2br w:val="nil"/>
              <w:tr2bl w:val="nil"/>
            </w:tcBorders>
            <w:noWrap w:val="0"/>
            <w:vAlign w:val="center"/>
          </w:tcPr>
          <w:p w14:paraId="450DE64C">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18</w:t>
            </w:r>
          </w:p>
        </w:tc>
      </w:tr>
      <w:tr w14:paraId="23414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 w:hRule="atLeast"/>
        </w:trPr>
        <w:tc>
          <w:tcPr>
            <w:tcW w:w="690" w:type="pct"/>
            <w:vMerge w:val="continue"/>
            <w:tcBorders>
              <w:tl2br w:val="nil"/>
              <w:tr2bl w:val="nil"/>
            </w:tcBorders>
            <w:noWrap w:val="0"/>
            <w:vAlign w:val="center"/>
          </w:tcPr>
          <w:p w14:paraId="47CA53AE">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91" w:type="pct"/>
            <w:tcBorders>
              <w:tl2br w:val="nil"/>
              <w:tr2bl w:val="nil"/>
            </w:tcBorders>
            <w:noWrap w:val="0"/>
            <w:vAlign w:val="center"/>
          </w:tcPr>
          <w:p w14:paraId="69B1F9C1">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夜间</w:t>
            </w:r>
          </w:p>
        </w:tc>
        <w:tc>
          <w:tcPr>
            <w:tcW w:w="907" w:type="pct"/>
            <w:tcBorders>
              <w:tl2br w:val="nil"/>
              <w:tr2bl w:val="nil"/>
            </w:tcBorders>
            <w:noWrap w:val="0"/>
            <w:vAlign w:val="center"/>
          </w:tcPr>
          <w:p w14:paraId="075C28B2">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3</w:t>
            </w:r>
          </w:p>
        </w:tc>
        <w:tc>
          <w:tcPr>
            <w:tcW w:w="1026" w:type="pct"/>
            <w:tcBorders>
              <w:tl2br w:val="nil"/>
              <w:tr2bl w:val="nil"/>
            </w:tcBorders>
            <w:noWrap w:val="0"/>
            <w:vAlign w:val="center"/>
          </w:tcPr>
          <w:p w14:paraId="698887DE">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4</w:t>
            </w:r>
          </w:p>
        </w:tc>
        <w:tc>
          <w:tcPr>
            <w:tcW w:w="1285" w:type="pct"/>
            <w:tcBorders>
              <w:tl2br w:val="nil"/>
              <w:tr2bl w:val="nil"/>
            </w:tcBorders>
            <w:noWrap w:val="0"/>
            <w:vAlign w:val="center"/>
          </w:tcPr>
          <w:p w14:paraId="228BD33B">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9</w:t>
            </w:r>
          </w:p>
        </w:tc>
      </w:tr>
      <w:tr w14:paraId="2C8D6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trPr>
        <w:tc>
          <w:tcPr>
            <w:tcW w:w="690" w:type="pct"/>
            <w:vMerge w:val="restart"/>
            <w:tcBorders>
              <w:tl2br w:val="nil"/>
              <w:tr2bl w:val="nil"/>
            </w:tcBorders>
            <w:noWrap w:val="0"/>
            <w:vAlign w:val="center"/>
          </w:tcPr>
          <w:p w14:paraId="218CE44C">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大型车</w:t>
            </w:r>
          </w:p>
        </w:tc>
        <w:tc>
          <w:tcPr>
            <w:tcW w:w="1091" w:type="pct"/>
            <w:tcBorders>
              <w:tl2br w:val="nil"/>
              <w:tr2bl w:val="nil"/>
            </w:tcBorders>
            <w:noWrap w:val="0"/>
            <w:vAlign w:val="center"/>
          </w:tcPr>
          <w:p w14:paraId="50E911DF">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昼间</w:t>
            </w:r>
          </w:p>
        </w:tc>
        <w:tc>
          <w:tcPr>
            <w:tcW w:w="907" w:type="pct"/>
            <w:tcBorders>
              <w:tl2br w:val="nil"/>
              <w:tr2bl w:val="nil"/>
            </w:tcBorders>
            <w:noWrap w:val="0"/>
            <w:vAlign w:val="center"/>
          </w:tcPr>
          <w:p w14:paraId="6E460B54">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9</w:t>
            </w:r>
          </w:p>
        </w:tc>
        <w:tc>
          <w:tcPr>
            <w:tcW w:w="1026" w:type="pct"/>
            <w:tcBorders>
              <w:tl2br w:val="nil"/>
              <w:tr2bl w:val="nil"/>
            </w:tcBorders>
            <w:noWrap w:val="0"/>
            <w:vAlign w:val="center"/>
          </w:tcPr>
          <w:p w14:paraId="6F30F348">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w:t>
            </w:r>
          </w:p>
        </w:tc>
        <w:tc>
          <w:tcPr>
            <w:tcW w:w="1285" w:type="pct"/>
            <w:tcBorders>
              <w:tl2br w:val="nil"/>
              <w:tr2bl w:val="nil"/>
            </w:tcBorders>
            <w:noWrap w:val="0"/>
            <w:vAlign w:val="center"/>
          </w:tcPr>
          <w:p w14:paraId="3F5CAF80">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24</w:t>
            </w:r>
          </w:p>
        </w:tc>
      </w:tr>
      <w:tr w14:paraId="59203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 w:hRule="atLeast"/>
        </w:trPr>
        <w:tc>
          <w:tcPr>
            <w:tcW w:w="690" w:type="pct"/>
            <w:vMerge w:val="continue"/>
            <w:tcBorders>
              <w:tl2br w:val="nil"/>
              <w:tr2bl w:val="nil"/>
            </w:tcBorders>
            <w:noWrap w:val="0"/>
            <w:vAlign w:val="center"/>
          </w:tcPr>
          <w:p w14:paraId="3B503B1B">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91" w:type="pct"/>
            <w:tcBorders>
              <w:tl2br w:val="nil"/>
              <w:tr2bl w:val="nil"/>
            </w:tcBorders>
            <w:noWrap w:val="0"/>
            <w:vAlign w:val="center"/>
          </w:tcPr>
          <w:p w14:paraId="5044BAC7">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夜间</w:t>
            </w:r>
          </w:p>
        </w:tc>
        <w:tc>
          <w:tcPr>
            <w:tcW w:w="907" w:type="pct"/>
            <w:tcBorders>
              <w:tl2br w:val="nil"/>
              <w:tr2bl w:val="nil"/>
            </w:tcBorders>
            <w:noWrap w:val="0"/>
            <w:vAlign w:val="center"/>
          </w:tcPr>
          <w:p w14:paraId="5DDE27BF">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5</w:t>
            </w:r>
          </w:p>
        </w:tc>
        <w:tc>
          <w:tcPr>
            <w:tcW w:w="1026" w:type="pct"/>
            <w:tcBorders>
              <w:tl2br w:val="nil"/>
              <w:tr2bl w:val="nil"/>
            </w:tcBorders>
            <w:noWrap w:val="0"/>
            <w:vAlign w:val="center"/>
          </w:tcPr>
          <w:p w14:paraId="7F22EF39">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10</w:t>
            </w:r>
          </w:p>
        </w:tc>
        <w:tc>
          <w:tcPr>
            <w:tcW w:w="1285" w:type="pct"/>
            <w:tcBorders>
              <w:tl2br w:val="nil"/>
              <w:tr2bl w:val="nil"/>
            </w:tcBorders>
            <w:noWrap w:val="0"/>
            <w:vAlign w:val="center"/>
          </w:tcPr>
          <w:p w14:paraId="7CDC2CF9">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12</w:t>
            </w:r>
          </w:p>
        </w:tc>
      </w:tr>
    </w:tbl>
    <w:p w14:paraId="40A724D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p>
    <w:p w14:paraId="486E5AB5">
      <w:pPr>
        <w:pStyle w:val="5"/>
        <w:keepNext/>
        <w:keepLines/>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5.3.2.2 预测参数</w:t>
      </w:r>
    </w:p>
    <w:p w14:paraId="4D23E15A">
      <w:pPr>
        <w:keepNext w:val="0"/>
        <w:keepLines w:val="0"/>
        <w:pageBreakBefore w:val="0"/>
        <w:widowControl/>
        <w:suppressLineNumbers w:val="0"/>
        <w:kinsoku/>
        <w:wordWrap/>
        <w:overflowPunct/>
        <w:topLinePunct w:val="0"/>
        <w:autoSpaceDE/>
        <w:autoSpaceDN/>
        <w:bidi w:val="0"/>
        <w:adjustRightInd w:val="0"/>
        <w:snapToGrid w:val="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本项目为沥青混凝土路面，该项不需修正。</w:t>
      </w:r>
    </w:p>
    <w:p w14:paraId="571E02A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（3）声传播途径引起的修正量ΔL</w:t>
      </w:r>
      <w:r>
        <w:rPr>
          <w:rFonts w:hint="default" w:ascii="Times New Roman" w:hAnsi="Times New Roman" w:eastAsia="宋体" w:cs="Times New Roman"/>
          <w:color w:val="auto"/>
          <w:kern w:val="0"/>
          <w:sz w:val="15"/>
          <w:szCs w:val="15"/>
          <w:lang w:val="en-US" w:eastAsia="zh-CN" w:bidi="ar"/>
        </w:rPr>
        <w:t>2</w:t>
      </w:r>
    </w:p>
    <w:p w14:paraId="34642B1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3"/>
          <w:szCs w:val="23"/>
          <w:lang w:val="en-US" w:eastAsia="zh-CN" w:bidi="ar"/>
        </w:rPr>
        <w:t>Δ</w:t>
      </w:r>
      <w:r>
        <w:rPr>
          <w:rFonts w:hint="default" w:ascii="Times New Roman" w:hAnsi="Times New Roman" w:eastAsia="宋体" w:cs="Times New Roman"/>
          <w:i/>
          <w:iCs/>
          <w:color w:val="auto"/>
          <w:kern w:val="0"/>
          <w:sz w:val="23"/>
          <w:szCs w:val="23"/>
          <w:lang w:val="en-US" w:eastAsia="zh-CN" w:bidi="ar"/>
        </w:rPr>
        <w:t>L</w:t>
      </w:r>
      <w:r>
        <w:rPr>
          <w:rFonts w:hint="default" w:ascii="Times New Roman" w:hAnsi="Times New Roman" w:eastAsia="宋体" w:cs="Times New Roman"/>
          <w:color w:val="auto"/>
          <w:kern w:val="0"/>
          <w:sz w:val="14"/>
          <w:szCs w:val="14"/>
          <w:lang w:val="en-US" w:eastAsia="zh-CN" w:bidi="ar"/>
        </w:rPr>
        <w:t xml:space="preserve">2 </w:t>
      </w:r>
      <w:r>
        <w:rPr>
          <w:rFonts w:hint="default" w:ascii="Times New Roman" w:hAnsi="Times New Roman" w:eastAsia="宋体" w:cs="Times New Roman"/>
          <w:color w:val="auto"/>
          <w:kern w:val="0"/>
          <w:sz w:val="23"/>
          <w:szCs w:val="23"/>
          <w:lang w:val="en-US" w:eastAsia="zh-CN" w:bidi="ar"/>
        </w:rPr>
        <w:t>=</w:t>
      </w:r>
      <w:r>
        <w:rPr>
          <w:rFonts w:hint="default" w:ascii="Times New Roman" w:hAnsi="Times New Roman" w:eastAsia="宋体" w:cs="Times New Roman"/>
          <w:i/>
          <w:iCs/>
          <w:color w:val="auto"/>
          <w:kern w:val="0"/>
          <w:sz w:val="23"/>
          <w:szCs w:val="23"/>
          <w:lang w:val="en-US" w:eastAsia="zh-CN" w:bidi="ar"/>
        </w:rPr>
        <w:t>A</w:t>
      </w:r>
      <w:r>
        <w:rPr>
          <w:rFonts w:hint="default" w:ascii="Times New Roman" w:hAnsi="Times New Roman" w:eastAsia="宋体" w:cs="Times New Roman"/>
          <w:i/>
          <w:iCs/>
          <w:color w:val="auto"/>
          <w:kern w:val="0"/>
          <w:sz w:val="14"/>
          <w:szCs w:val="14"/>
          <w:lang w:val="en-US" w:eastAsia="zh-CN" w:bidi="ar"/>
        </w:rPr>
        <w:t xml:space="preserve">atm </w:t>
      </w:r>
      <w:r>
        <w:rPr>
          <w:rFonts w:hint="default" w:ascii="Times New Roman" w:hAnsi="Times New Roman" w:eastAsia="宋体" w:cs="Times New Roman"/>
          <w:color w:val="auto"/>
          <w:kern w:val="0"/>
          <w:sz w:val="23"/>
          <w:szCs w:val="23"/>
          <w:lang w:val="en-US" w:eastAsia="zh-CN" w:bidi="ar"/>
        </w:rPr>
        <w:t>+</w:t>
      </w:r>
      <w:r>
        <w:rPr>
          <w:rFonts w:hint="default" w:ascii="Times New Roman" w:hAnsi="Times New Roman" w:eastAsia="宋体" w:cs="Times New Roman"/>
          <w:i/>
          <w:iCs/>
          <w:color w:val="auto"/>
          <w:kern w:val="0"/>
          <w:sz w:val="23"/>
          <w:szCs w:val="23"/>
          <w:lang w:val="en-US" w:eastAsia="zh-CN" w:bidi="ar"/>
        </w:rPr>
        <w:t xml:space="preserve">A </w:t>
      </w:r>
      <w:r>
        <w:rPr>
          <w:rFonts w:hint="default" w:ascii="Times New Roman" w:hAnsi="Times New Roman" w:eastAsia="宋体" w:cs="Times New Roman"/>
          <w:i/>
          <w:iCs/>
          <w:color w:val="auto"/>
          <w:kern w:val="0"/>
          <w:sz w:val="14"/>
          <w:szCs w:val="14"/>
          <w:lang w:val="en-US" w:eastAsia="zh-CN" w:bidi="ar"/>
        </w:rPr>
        <w:t xml:space="preserve">gr </w:t>
      </w:r>
      <w:r>
        <w:rPr>
          <w:rFonts w:hint="default" w:ascii="Times New Roman" w:hAnsi="Times New Roman" w:eastAsia="宋体" w:cs="Times New Roman"/>
          <w:color w:val="auto"/>
          <w:kern w:val="0"/>
          <w:sz w:val="23"/>
          <w:szCs w:val="23"/>
          <w:lang w:val="en-US" w:eastAsia="zh-CN" w:bidi="ar"/>
        </w:rPr>
        <w:t>+</w:t>
      </w:r>
      <w:r>
        <w:rPr>
          <w:rFonts w:hint="default" w:ascii="Times New Roman" w:hAnsi="Times New Roman" w:eastAsia="宋体" w:cs="Times New Roman"/>
          <w:i/>
          <w:iCs/>
          <w:color w:val="auto"/>
          <w:kern w:val="0"/>
          <w:sz w:val="23"/>
          <w:szCs w:val="23"/>
          <w:lang w:val="en-US" w:eastAsia="zh-CN" w:bidi="ar"/>
        </w:rPr>
        <w:t>A</w:t>
      </w:r>
      <w:r>
        <w:rPr>
          <w:rFonts w:hint="default" w:ascii="Times New Roman" w:hAnsi="Times New Roman" w:eastAsia="宋体" w:cs="Times New Roman"/>
          <w:i/>
          <w:iCs/>
          <w:color w:val="auto"/>
          <w:kern w:val="0"/>
          <w:sz w:val="14"/>
          <w:szCs w:val="14"/>
          <w:lang w:val="en-US" w:eastAsia="zh-CN" w:bidi="ar"/>
        </w:rPr>
        <w:t xml:space="preserve">bar </w:t>
      </w:r>
      <w:r>
        <w:rPr>
          <w:rFonts w:hint="default" w:ascii="Times New Roman" w:hAnsi="Times New Roman" w:eastAsia="宋体" w:cs="Times New Roman"/>
          <w:color w:val="auto"/>
          <w:kern w:val="0"/>
          <w:sz w:val="23"/>
          <w:szCs w:val="23"/>
          <w:lang w:val="en-US" w:eastAsia="zh-CN" w:bidi="ar"/>
        </w:rPr>
        <w:t>+</w:t>
      </w:r>
      <w:r>
        <w:rPr>
          <w:rFonts w:hint="default" w:ascii="Times New Roman" w:hAnsi="Times New Roman" w:eastAsia="宋体" w:cs="Times New Roman"/>
          <w:i/>
          <w:iCs/>
          <w:color w:val="auto"/>
          <w:kern w:val="0"/>
          <w:sz w:val="23"/>
          <w:szCs w:val="23"/>
          <w:lang w:val="en-US" w:eastAsia="zh-CN" w:bidi="ar"/>
        </w:rPr>
        <w:t>A</w:t>
      </w:r>
      <w:r>
        <w:rPr>
          <w:rFonts w:hint="default" w:ascii="Times New Roman" w:hAnsi="Times New Roman" w:eastAsia="宋体" w:cs="Times New Roman"/>
          <w:i/>
          <w:iCs/>
          <w:color w:val="auto"/>
          <w:kern w:val="0"/>
          <w:sz w:val="14"/>
          <w:szCs w:val="14"/>
          <w:lang w:val="en-US" w:eastAsia="zh-CN" w:bidi="ar"/>
        </w:rPr>
        <w:t>misc</w:t>
      </w:r>
    </w:p>
    <w:p w14:paraId="23A7926B">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地面效应衰减A</w:t>
      </w:r>
      <w:r>
        <w:rPr>
          <w:rFonts w:hint="default" w:ascii="Times New Roman" w:hAnsi="Times New Roman" w:eastAsia="宋体" w:cs="Times New Roman"/>
          <w:color w:val="auto"/>
          <w:kern w:val="0"/>
          <w:sz w:val="15"/>
          <w:szCs w:val="15"/>
          <w:lang w:val="en-US" w:eastAsia="zh-CN" w:bidi="ar"/>
        </w:rPr>
        <w:t>gr</w:t>
      </w:r>
    </w:p>
    <w:p w14:paraId="3C9EC79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地面类型可分为：</w:t>
      </w:r>
    </w:p>
    <w:p w14:paraId="14CF91F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①坚实地面，包括铺筑过的路面、水面、冰面以及夯实地面。</w:t>
      </w:r>
    </w:p>
    <w:p w14:paraId="2334626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②疏松地面，包括被草或其他植物覆盖的地面，以及农田等适合于植物生长的地面。</w:t>
      </w:r>
    </w:p>
    <w:p w14:paraId="2419508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③混合地面，由坚实地面和疏松地面组成。</w:t>
      </w:r>
    </w:p>
    <w:p w14:paraId="3F3F76C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声波越过疏松地面传播时，或大部分为疏松地面的混合地面，在预测点仅计算A声级前提下，地面效应引起的倍频带衰减可按下式计算。本项目公路两侧主要为绿化带、农田和林地，为疏松地面，考虑地面效应修正。</w:t>
      </w:r>
    </w:p>
    <w:p w14:paraId="0A0B8DBF">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3）障碍物屏蔽引起的衰减</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i/>
          <w:iCs/>
          <w:color w:val="auto"/>
          <w:kern w:val="0"/>
          <w:sz w:val="14"/>
          <w:szCs w:val="14"/>
          <w:lang w:val="en-US" w:eastAsia="zh-CN" w:bidi="ar"/>
        </w:rPr>
        <w:t>bar</w:t>
      </w:r>
      <w:r>
        <w:rPr>
          <w:rFonts w:hint="default" w:ascii="Times New Roman" w:hAnsi="Times New Roman" w:eastAsia="宋体" w:cs="Times New Roman"/>
          <w:color w:val="auto"/>
          <w:kern w:val="0"/>
          <w:sz w:val="24"/>
          <w:szCs w:val="24"/>
          <w:lang w:val="en-US" w:eastAsia="zh-CN" w:bidi="ar"/>
        </w:rPr>
        <w:t>计算</w:t>
      </w:r>
    </w:p>
    <w:p w14:paraId="55B5D76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位于声源和预测点之间的实体障碍物，如围墙、建筑物、土坡或地堑等起声屏障作用，从而引起声能量的较大衰减。在环境影响评价中，可将各种形式的屏障简化为具有一定高度的薄屏障。</w:t>
      </w:r>
    </w:p>
    <w:p w14:paraId="0BB33BB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如图5.3-</w:t>
      </w:r>
      <w:r>
        <w:rPr>
          <w:rFonts w:hint="eastAsia" w:cs="Times New Roman"/>
          <w:color w:val="auto"/>
          <w:kern w:val="0"/>
          <w:sz w:val="24"/>
          <w:szCs w:val="24"/>
          <w:lang w:val="en-US" w:eastAsia="zh-CN" w:bidi="ar"/>
        </w:rPr>
        <w:t>5</w:t>
      </w:r>
      <w:r>
        <w:rPr>
          <w:rFonts w:hint="default" w:ascii="Times New Roman" w:hAnsi="Times New Roman" w:eastAsia="宋体" w:cs="Times New Roman"/>
          <w:color w:val="auto"/>
          <w:kern w:val="0"/>
          <w:sz w:val="24"/>
          <w:szCs w:val="24"/>
          <w:lang w:val="en-US" w:eastAsia="zh-CN" w:bidi="ar"/>
        </w:rPr>
        <w:t>所示，S、O、P三点在同一平面内且垂直于地面。</w:t>
      </w:r>
    </w:p>
    <w:p w14:paraId="07103D3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定义</w:t>
      </w:r>
      <w:r>
        <w:rPr>
          <w:rFonts w:hint="default" w:ascii="Times New Roman" w:hAnsi="Times New Roman" w:eastAsia="宋体" w:cs="Times New Roman"/>
          <w:i/>
          <w:iCs/>
          <w:color w:val="auto"/>
          <w:kern w:val="0"/>
          <w:sz w:val="24"/>
          <w:szCs w:val="24"/>
          <w:lang w:val="en-US" w:eastAsia="zh-CN" w:bidi="ar"/>
        </w:rPr>
        <w:t>δ</w:t>
      </w:r>
      <w:r>
        <w:rPr>
          <w:rFonts w:hint="default" w:ascii="Times New Roman" w:hAnsi="Times New Roman" w:eastAsia="宋体" w:cs="Times New Roman"/>
          <w:color w:val="auto"/>
          <w:kern w:val="0"/>
          <w:sz w:val="24"/>
          <w:szCs w:val="24"/>
          <w:lang w:val="en-US" w:eastAsia="zh-CN" w:bidi="ar"/>
        </w:rPr>
        <w:t>＝SO＋OP－SP为声程差，</w:t>
      </w:r>
      <w:r>
        <w:rPr>
          <w:rFonts w:hint="default" w:ascii="Times New Roman" w:hAnsi="Times New Roman" w:eastAsia="宋体" w:cs="Times New Roman"/>
          <w:i/>
          <w:iCs/>
          <w:color w:val="auto"/>
          <w:kern w:val="0"/>
          <w:sz w:val="24"/>
          <w:szCs w:val="24"/>
          <w:lang w:val="en-US" w:eastAsia="zh-CN" w:bidi="ar"/>
        </w:rPr>
        <w:t>N</w:t>
      </w:r>
      <w:r>
        <w:rPr>
          <w:rFonts w:hint="default" w:ascii="Times New Roman" w:hAnsi="Times New Roman" w:eastAsia="宋体" w:cs="Times New Roman"/>
          <w:color w:val="auto"/>
          <w:kern w:val="0"/>
          <w:sz w:val="24"/>
          <w:szCs w:val="24"/>
          <w:lang w:val="en-US" w:eastAsia="zh-CN" w:bidi="ar"/>
        </w:rPr>
        <w:t>＝2</w:t>
      </w:r>
      <w:r>
        <w:rPr>
          <w:rFonts w:hint="default" w:ascii="Times New Roman" w:hAnsi="Times New Roman" w:eastAsia="宋体" w:cs="Times New Roman"/>
          <w:i/>
          <w:iCs/>
          <w:color w:val="auto"/>
          <w:kern w:val="0"/>
          <w:sz w:val="24"/>
          <w:szCs w:val="24"/>
          <w:lang w:val="en-US" w:eastAsia="zh-CN" w:bidi="ar"/>
        </w:rPr>
        <w:t>δ</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i/>
          <w:iCs/>
          <w:color w:val="auto"/>
          <w:kern w:val="0"/>
          <w:sz w:val="24"/>
          <w:szCs w:val="24"/>
          <w:lang w:val="en-US" w:eastAsia="zh-CN" w:bidi="ar"/>
        </w:rPr>
        <w:t>λ</w:t>
      </w:r>
      <w:r>
        <w:rPr>
          <w:rFonts w:hint="default" w:ascii="Times New Roman" w:hAnsi="Times New Roman" w:eastAsia="宋体" w:cs="Times New Roman"/>
          <w:color w:val="auto"/>
          <w:kern w:val="0"/>
          <w:sz w:val="24"/>
          <w:szCs w:val="24"/>
          <w:lang w:val="en-US" w:eastAsia="zh-CN" w:bidi="ar"/>
        </w:rPr>
        <w:t>为菲涅尔数，其中</w:t>
      </w:r>
      <w:r>
        <w:rPr>
          <w:rFonts w:hint="default" w:ascii="Times New Roman" w:hAnsi="Times New Roman" w:eastAsia="宋体" w:cs="Times New Roman"/>
          <w:i/>
          <w:iCs/>
          <w:color w:val="auto"/>
          <w:kern w:val="0"/>
          <w:sz w:val="24"/>
          <w:szCs w:val="24"/>
          <w:lang w:val="en-US" w:eastAsia="zh-CN" w:bidi="ar"/>
        </w:rPr>
        <w:t>λ</w:t>
      </w:r>
      <w:r>
        <w:rPr>
          <w:rFonts w:hint="default" w:ascii="Times New Roman" w:hAnsi="Times New Roman" w:eastAsia="宋体" w:cs="Times New Roman"/>
          <w:color w:val="auto"/>
          <w:kern w:val="0"/>
          <w:sz w:val="24"/>
          <w:szCs w:val="24"/>
          <w:lang w:val="en-US" w:eastAsia="zh-CN" w:bidi="ar"/>
        </w:rPr>
        <w:t>为声波波长。在噪声预测中，声屏障插入损失的计算方法需要根据实际情况</w:t>
      </w:r>
      <w:r>
        <w:rPr>
          <w:rFonts w:hint="eastAsia" w:cs="Times New Roman"/>
          <w:color w:val="auto"/>
          <w:kern w:val="0"/>
          <w:sz w:val="24"/>
          <w:szCs w:val="24"/>
          <w:lang w:val="en-US" w:eastAsia="zh-CN" w:bidi="ar"/>
        </w:rPr>
        <w:t>做</w:t>
      </w:r>
      <w:r>
        <w:rPr>
          <w:rFonts w:hint="default" w:ascii="Times New Roman" w:hAnsi="Times New Roman" w:eastAsia="宋体" w:cs="Times New Roman"/>
          <w:color w:val="auto"/>
          <w:kern w:val="0"/>
          <w:sz w:val="24"/>
          <w:szCs w:val="24"/>
          <w:lang w:val="en-US" w:eastAsia="zh-CN" w:bidi="ar"/>
        </w:rPr>
        <w:t>简化处理。屏障衰减</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color w:val="auto"/>
          <w:kern w:val="0"/>
          <w:sz w:val="24"/>
          <w:szCs w:val="24"/>
          <w:lang w:val="en-US" w:eastAsia="zh-CN" w:bidi="ar"/>
        </w:rPr>
        <w:t>bar在单绕射（即薄屏障）情</w:t>
      </w:r>
      <w:r>
        <w:rPr>
          <w:rFonts w:hint="eastAsia" w:cs="Times New Roman"/>
          <w:color w:val="auto"/>
          <w:kern w:val="0"/>
          <w:sz w:val="24"/>
          <w:szCs w:val="24"/>
          <w:lang w:val="en-US" w:eastAsia="zh-CN" w:bidi="ar"/>
        </w:rPr>
        <w:t>况下</w:t>
      </w:r>
      <w:r>
        <w:rPr>
          <w:rFonts w:hint="default" w:ascii="Times New Roman" w:hAnsi="Times New Roman" w:eastAsia="宋体" w:cs="Times New Roman"/>
          <w:color w:val="auto"/>
          <w:kern w:val="0"/>
          <w:sz w:val="24"/>
          <w:szCs w:val="24"/>
          <w:lang w:val="en-US" w:eastAsia="zh-CN" w:bidi="ar"/>
        </w:rPr>
        <w:t>，衰减最大取20dB。</w:t>
      </w:r>
    </w:p>
    <w:p w14:paraId="1906C7F8">
      <w:pPr>
        <w:keepNext w:val="0"/>
        <w:keepLines w:val="0"/>
        <w:widowControl/>
        <w:suppressLineNumbers w:val="0"/>
        <w:jc w:val="left"/>
        <w:rPr>
          <w:rFonts w:hint="default" w:ascii="Times New Roman" w:hAnsi="Times New Roman" w:cs="Times New Roman"/>
          <w:color w:val="auto"/>
        </w:rPr>
      </w:pPr>
    </w:p>
    <w:p w14:paraId="59746A02">
      <w:pPr>
        <w:keepNext w:val="0"/>
        <w:keepLines w:val="0"/>
        <w:widowControl/>
        <w:suppressLineNumbers w:val="0"/>
        <w:ind w:left="0" w:leftChars="0" w:right="0" w:rightChars="0" w:firstLine="0" w:firstLineChars="0"/>
        <w:jc w:val="center"/>
        <w:rPr>
          <w:rFonts w:hint="default" w:ascii="Times New Roman" w:hAnsi="Times New Roman" w:eastAsia="宋体" w:cs="Times New Roman"/>
          <w:color w:val="auto"/>
          <w:lang w:eastAsia="zh-CN"/>
        </w:rPr>
      </w:pPr>
      <w:r>
        <w:rPr>
          <w:rFonts w:hint="default" w:ascii="Times New Roman" w:hAnsi="Times New Roman" w:cs="Times New Roman"/>
          <w:color w:val="auto"/>
        </w:rPr>
        <w:drawing>
          <wp:inline distT="0" distB="0" distL="114300" distR="114300">
            <wp:extent cx="4000500" cy="2134870"/>
            <wp:effectExtent l="0" t="0" r="0" b="0"/>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pic:cNvPicPr>
                      <a:picLocks noChangeAspect="1"/>
                    </pic:cNvPicPr>
                  </pic:nvPicPr>
                  <pic:blipFill>
                    <a:blip r:embed="rId61"/>
                    <a:srcRect b="17294"/>
                    <a:stretch>
                      <a:fillRect/>
                    </a:stretch>
                  </pic:blipFill>
                  <pic:spPr>
                    <a:xfrm>
                      <a:off x="0" y="0"/>
                      <a:ext cx="4000500" cy="2134870"/>
                    </a:xfrm>
                    <a:prstGeom prst="rect">
                      <a:avLst/>
                    </a:prstGeom>
                    <a:noFill/>
                    <a:ln>
                      <a:noFill/>
                    </a:ln>
                  </pic:spPr>
                </pic:pic>
              </a:graphicData>
            </a:graphic>
          </wp:inline>
        </w:drawing>
      </w:r>
    </w:p>
    <w:p w14:paraId="0C342F35">
      <w:pPr>
        <w:keepNext w:val="0"/>
        <w:keepLines w:val="0"/>
        <w:widowControl/>
        <w:suppressLineNumbers w:val="0"/>
        <w:jc w:val="center"/>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
        </w:rPr>
        <w:t>图5.3-</w:t>
      </w:r>
      <w:r>
        <w:rPr>
          <w:rFonts w:hint="eastAsia" w:cs="Times New Roman"/>
          <w:b/>
          <w:bCs/>
          <w:color w:val="auto"/>
          <w:kern w:val="0"/>
          <w:sz w:val="21"/>
          <w:szCs w:val="21"/>
          <w:lang w:val="en-US" w:eastAsia="zh-CN" w:bidi="ar"/>
        </w:rPr>
        <w:t>5</w:t>
      </w:r>
      <w:r>
        <w:rPr>
          <w:rFonts w:hint="default" w:ascii="Times New Roman" w:hAnsi="Times New Roman" w:eastAsia="宋体" w:cs="Times New Roman"/>
          <w:b/>
          <w:bCs/>
          <w:color w:val="auto"/>
          <w:kern w:val="0"/>
          <w:sz w:val="21"/>
          <w:szCs w:val="21"/>
          <w:lang w:val="en-US" w:eastAsia="zh-CN" w:bidi="ar"/>
        </w:rPr>
        <w:t xml:space="preserve"> 无限长声屏障示意图</w:t>
      </w:r>
    </w:p>
    <w:p w14:paraId="12AF523A">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①屏障在线声源声场中引起的衰减</w:t>
      </w:r>
    </w:p>
    <w:p w14:paraId="72EF69E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无限长声屏障参照HJ/T 90中4.2.1.2规定的方法进行计算，计算公式为：</w:t>
      </w:r>
    </w:p>
    <w:p w14:paraId="6F34DC3C">
      <w:pPr>
        <w:keepNext w:val="0"/>
        <w:keepLines w:val="0"/>
        <w:widowControl/>
        <w:suppressLineNumbers w:val="0"/>
        <w:jc w:val="left"/>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3230880" cy="1440180"/>
            <wp:effectExtent l="0" t="0" r="0" b="7620"/>
            <wp:docPr id="14" name="图片 14" descr="截图2024060301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截图20240603012154"/>
                    <pic:cNvPicPr>
                      <a:picLocks noChangeAspect="1"/>
                    </pic:cNvPicPr>
                  </pic:nvPicPr>
                  <pic:blipFill>
                    <a:blip r:embed="rId62"/>
                    <a:stretch>
                      <a:fillRect/>
                    </a:stretch>
                  </pic:blipFill>
                  <pic:spPr>
                    <a:xfrm>
                      <a:off x="0" y="0"/>
                      <a:ext cx="3230880" cy="1440180"/>
                    </a:xfrm>
                    <a:prstGeom prst="rect">
                      <a:avLst/>
                    </a:prstGeom>
                  </pic:spPr>
                </pic:pic>
              </a:graphicData>
            </a:graphic>
          </wp:inline>
        </w:drawing>
      </w:r>
    </w:p>
    <w:p w14:paraId="0BDBB80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式中：</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color w:val="auto"/>
          <w:kern w:val="0"/>
          <w:sz w:val="14"/>
          <w:szCs w:val="14"/>
          <w:lang w:val="en-US" w:eastAsia="zh-CN" w:bidi="ar"/>
        </w:rPr>
        <w:t>bar</w:t>
      </w:r>
      <w:r>
        <w:rPr>
          <w:rFonts w:hint="default" w:ascii="Times New Roman" w:hAnsi="Times New Roman" w:eastAsia="宋体" w:cs="Times New Roman"/>
          <w:color w:val="auto"/>
          <w:kern w:val="0"/>
          <w:sz w:val="24"/>
          <w:szCs w:val="24"/>
          <w:lang w:val="en-US" w:eastAsia="zh-CN" w:bidi="ar"/>
        </w:rPr>
        <w:t>——障碍物屏蔽引起的衰减，dB；</w:t>
      </w:r>
    </w:p>
    <w:p w14:paraId="3BF27A0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i/>
          <w:iCs/>
          <w:color w:val="auto"/>
          <w:kern w:val="0"/>
          <w:sz w:val="24"/>
          <w:szCs w:val="24"/>
          <w:lang w:val="en-US" w:eastAsia="zh-CN" w:bidi="ar"/>
        </w:rPr>
        <w:t>f</w:t>
      </w:r>
      <w:r>
        <w:rPr>
          <w:rFonts w:hint="default" w:ascii="Times New Roman" w:hAnsi="Times New Roman" w:eastAsia="宋体" w:cs="Times New Roman"/>
          <w:color w:val="auto"/>
          <w:kern w:val="0"/>
          <w:sz w:val="24"/>
          <w:szCs w:val="24"/>
          <w:lang w:val="en-US" w:eastAsia="zh-CN" w:bidi="ar"/>
        </w:rPr>
        <w:t>——声波频率，Hz；</w:t>
      </w:r>
    </w:p>
    <w:p w14:paraId="5CF96C5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i/>
          <w:iCs/>
          <w:color w:val="auto"/>
          <w:kern w:val="0"/>
          <w:sz w:val="24"/>
          <w:szCs w:val="24"/>
          <w:lang w:val="en-US" w:eastAsia="zh-CN" w:bidi="ar"/>
        </w:rPr>
        <w:t>δ</w:t>
      </w:r>
      <w:r>
        <w:rPr>
          <w:rFonts w:hint="default" w:ascii="Times New Roman" w:hAnsi="Times New Roman" w:eastAsia="宋体" w:cs="Times New Roman"/>
          <w:color w:val="auto"/>
          <w:kern w:val="0"/>
          <w:sz w:val="24"/>
          <w:szCs w:val="24"/>
          <w:lang w:val="en-US" w:eastAsia="zh-CN" w:bidi="ar"/>
        </w:rPr>
        <w:t>——声程差，m；</w:t>
      </w:r>
    </w:p>
    <w:p w14:paraId="2A39E66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i/>
          <w:iCs/>
          <w:color w:val="auto"/>
          <w:kern w:val="0"/>
          <w:sz w:val="24"/>
          <w:szCs w:val="24"/>
          <w:lang w:val="en-US" w:eastAsia="zh-CN" w:bidi="ar"/>
        </w:rPr>
        <w:t>c</w:t>
      </w:r>
      <w:r>
        <w:rPr>
          <w:rFonts w:hint="default" w:ascii="Times New Roman" w:hAnsi="Times New Roman" w:eastAsia="宋体" w:cs="Times New Roman"/>
          <w:color w:val="auto"/>
          <w:kern w:val="0"/>
          <w:sz w:val="24"/>
          <w:szCs w:val="24"/>
          <w:lang w:val="en-US" w:eastAsia="zh-CN" w:bidi="ar"/>
        </w:rPr>
        <w:t>——声速，m/s。</w:t>
      </w:r>
    </w:p>
    <w:p w14:paraId="61D0176A">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②有限长声屏障的衰减量</w:t>
      </w:r>
    </w:p>
    <w:p w14:paraId="16B2BA6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有限长声屏障计算公式为：</w:t>
      </w:r>
    </w:p>
    <w:p w14:paraId="57832B20">
      <w:pPr>
        <w:keepNext w:val="0"/>
        <w:keepLines w:val="0"/>
        <w:widowControl/>
        <w:suppressLineNumbers w:val="0"/>
        <w:jc w:val="left"/>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2308860" cy="541020"/>
            <wp:effectExtent l="0" t="0" r="7620" b="7620"/>
            <wp:docPr id="15" name="图片 15" descr="截图2024060301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截图20240603012311"/>
                    <pic:cNvPicPr>
                      <a:picLocks noChangeAspect="1"/>
                    </pic:cNvPicPr>
                  </pic:nvPicPr>
                  <pic:blipFill>
                    <a:blip r:embed="rId63"/>
                    <a:stretch>
                      <a:fillRect/>
                    </a:stretch>
                  </pic:blipFill>
                  <pic:spPr>
                    <a:xfrm>
                      <a:off x="0" y="0"/>
                      <a:ext cx="2308860" cy="541020"/>
                    </a:xfrm>
                    <a:prstGeom prst="rect">
                      <a:avLst/>
                    </a:prstGeom>
                  </pic:spPr>
                </pic:pic>
              </a:graphicData>
            </a:graphic>
          </wp:inline>
        </w:drawing>
      </w:r>
    </w:p>
    <w:p w14:paraId="54C7CBB2">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式中：</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14"/>
          <w:szCs w:val="14"/>
          <w:lang w:val="en-US" w:eastAsia="zh-CN" w:bidi="ar"/>
        </w:rPr>
        <w:t>bar</w:t>
      </w:r>
      <w:r>
        <w:rPr>
          <w:rFonts w:hint="default" w:ascii="Times New Roman" w:hAnsi="Times New Roman" w:eastAsia="宋体" w:cs="Times New Roman"/>
          <w:color w:val="auto"/>
          <w:kern w:val="0"/>
          <w:sz w:val="24"/>
          <w:szCs w:val="24"/>
          <w:lang w:val="en-US" w:eastAsia="zh-CN" w:bidi="ar"/>
        </w:rPr>
        <w:t>——有限长声屏障引起的衰减，dB；</w:t>
      </w:r>
    </w:p>
    <w:p w14:paraId="2A9E5842">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i/>
          <w:iCs/>
          <w:color w:val="auto"/>
          <w:kern w:val="0"/>
          <w:sz w:val="24"/>
          <w:szCs w:val="24"/>
          <w:lang w:val="en-US" w:eastAsia="zh-CN" w:bidi="ar"/>
        </w:rPr>
        <w:t>β</w:t>
      </w:r>
      <w:r>
        <w:rPr>
          <w:rFonts w:hint="default" w:ascii="Times New Roman" w:hAnsi="Times New Roman" w:eastAsia="宋体" w:cs="Times New Roman"/>
          <w:color w:val="auto"/>
          <w:kern w:val="0"/>
          <w:sz w:val="24"/>
          <w:szCs w:val="24"/>
          <w:lang w:val="en-US" w:eastAsia="zh-CN" w:bidi="ar"/>
        </w:rPr>
        <w:t>——受声点与声屏障两端连接线的夹角，（°）；</w:t>
      </w:r>
    </w:p>
    <w:p w14:paraId="25DF16E6">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i/>
          <w:iCs/>
          <w:color w:val="auto"/>
          <w:kern w:val="0"/>
          <w:sz w:val="24"/>
          <w:szCs w:val="24"/>
          <w:lang w:val="en-US" w:eastAsia="zh-CN" w:bidi="ar"/>
        </w:rPr>
        <w:t>θ</w:t>
      </w:r>
      <w:r>
        <w:rPr>
          <w:rFonts w:hint="default" w:ascii="Times New Roman" w:hAnsi="Times New Roman" w:eastAsia="宋体" w:cs="Times New Roman"/>
          <w:color w:val="auto"/>
          <w:kern w:val="0"/>
          <w:sz w:val="24"/>
          <w:szCs w:val="24"/>
          <w:lang w:val="en-US" w:eastAsia="zh-CN" w:bidi="ar"/>
        </w:rPr>
        <w:t>——受声点与线声源两端连接线的夹角，（°）；</w:t>
      </w:r>
    </w:p>
    <w:p w14:paraId="0D57A60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i/>
          <w:iCs/>
          <w:color w:val="auto"/>
          <w:kern w:val="0"/>
          <w:sz w:val="14"/>
          <w:szCs w:val="14"/>
          <w:lang w:val="en-US" w:eastAsia="zh-CN" w:bidi="ar"/>
        </w:rPr>
        <w:t>bar</w:t>
      </w:r>
      <w:r>
        <w:rPr>
          <w:rFonts w:hint="default" w:ascii="Times New Roman" w:hAnsi="Times New Roman" w:eastAsia="宋体" w:cs="Times New Roman"/>
          <w:color w:val="auto"/>
          <w:kern w:val="0"/>
          <w:sz w:val="24"/>
          <w:szCs w:val="24"/>
          <w:lang w:val="en-US" w:eastAsia="zh-CN" w:bidi="ar"/>
        </w:rPr>
        <w:t>——无限长声屏障的衰减量，dB。</w:t>
      </w:r>
    </w:p>
    <w:p w14:paraId="398C527F">
      <w:pPr>
        <w:keepNext w:val="0"/>
        <w:keepLines w:val="0"/>
        <w:widowControl/>
        <w:suppressLineNumbers w:val="0"/>
        <w:ind w:left="0" w:leftChars="0" w:right="0" w:rightChars="0" w:firstLine="0" w:firstLineChars="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2112010" cy="1585595"/>
            <wp:effectExtent l="0" t="0" r="2540" b="14605"/>
            <wp:docPr id="16" name="图片 16" descr="截图2024060301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截图20240603012441"/>
                    <pic:cNvPicPr>
                      <a:picLocks noChangeAspect="1"/>
                    </pic:cNvPicPr>
                  </pic:nvPicPr>
                  <pic:blipFill>
                    <a:blip r:embed="rId64"/>
                    <a:stretch>
                      <a:fillRect/>
                    </a:stretch>
                  </pic:blipFill>
                  <pic:spPr>
                    <a:xfrm>
                      <a:off x="0" y="0"/>
                      <a:ext cx="2112010" cy="1585595"/>
                    </a:xfrm>
                    <a:prstGeom prst="rect">
                      <a:avLst/>
                    </a:prstGeom>
                  </pic:spPr>
                </pic:pic>
              </a:graphicData>
            </a:graphic>
          </wp:inline>
        </w:drawing>
      </w:r>
    </w:p>
    <w:p w14:paraId="1D9654A3">
      <w:pPr>
        <w:keepNext w:val="0"/>
        <w:keepLines w:val="0"/>
        <w:widowControl/>
        <w:suppressLineNumbers w:val="0"/>
        <w:jc w:val="center"/>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
        </w:rPr>
        <w:t>图5.3-</w:t>
      </w:r>
      <w:r>
        <w:rPr>
          <w:rFonts w:hint="eastAsia" w:cs="Times New Roman"/>
          <w:b/>
          <w:bCs/>
          <w:color w:val="auto"/>
          <w:kern w:val="0"/>
          <w:sz w:val="21"/>
          <w:szCs w:val="21"/>
          <w:lang w:val="en-US" w:eastAsia="zh-CN" w:bidi="ar"/>
        </w:rPr>
        <w:t>6</w:t>
      </w:r>
      <w:r>
        <w:rPr>
          <w:rFonts w:hint="default" w:ascii="Times New Roman" w:hAnsi="Times New Roman" w:eastAsia="宋体" w:cs="Times New Roman"/>
          <w:b/>
          <w:bCs/>
          <w:color w:val="auto"/>
          <w:kern w:val="0"/>
          <w:sz w:val="21"/>
          <w:szCs w:val="21"/>
          <w:lang w:val="en-US" w:eastAsia="zh-CN" w:bidi="ar"/>
        </w:rPr>
        <w:t>受声点与线声源两端连接线的夹角（遮蔽角）</w:t>
      </w:r>
    </w:p>
    <w:p w14:paraId="76625659">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4)其他多方面原因引起的衰减A</w:t>
      </w:r>
      <w:r>
        <w:rPr>
          <w:rFonts w:hint="default" w:ascii="Times New Roman" w:hAnsi="Times New Roman" w:eastAsia="宋体" w:cs="Times New Roman"/>
          <w:color w:val="auto"/>
          <w:kern w:val="0"/>
          <w:sz w:val="15"/>
          <w:szCs w:val="15"/>
          <w:lang w:val="en-US" w:eastAsia="zh-CN" w:bidi="ar"/>
        </w:rPr>
        <w:t xml:space="preserve">misc </w:t>
      </w:r>
    </w:p>
    <w:p w14:paraId="6F94BD8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其他衰减包括通过工业场所的衰减，通过房屋的衰减等，一般情况下不考虑自然条件（风、温度梯度、雾）变化引起的衰减量，参照GB/T17247.2进行。</w:t>
      </w:r>
    </w:p>
    <w:p w14:paraId="5CD8FCE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①绿化林带引起的衰减（</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i/>
          <w:iCs/>
          <w:color w:val="auto"/>
          <w:kern w:val="0"/>
          <w:sz w:val="15"/>
          <w:szCs w:val="15"/>
          <w:lang w:val="en-US" w:eastAsia="zh-CN" w:bidi="ar"/>
        </w:rPr>
        <w:t>fol</w:t>
      </w:r>
      <w:r>
        <w:rPr>
          <w:rFonts w:hint="default" w:ascii="Times New Roman" w:hAnsi="Times New Roman" w:eastAsia="宋体" w:cs="Times New Roman"/>
          <w:color w:val="auto"/>
          <w:kern w:val="0"/>
          <w:sz w:val="24"/>
          <w:szCs w:val="24"/>
          <w:lang w:val="en-US" w:eastAsia="zh-CN" w:bidi="ar"/>
        </w:rPr>
        <w:t>）</w:t>
      </w:r>
    </w:p>
    <w:p w14:paraId="60F0167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绿化林带的附加衰减与树种、林带结构和密度等因素有关。在声源附近的绿化林带，或在预测点附近的绿化林带，或两者均有的情况都可以使声波衰减，见图5.3-</w:t>
      </w:r>
      <w:r>
        <w:rPr>
          <w:rFonts w:hint="eastAsia" w:cs="Times New Roman"/>
          <w:color w:val="auto"/>
          <w:kern w:val="0"/>
          <w:sz w:val="24"/>
          <w:szCs w:val="24"/>
          <w:lang w:val="en-US" w:eastAsia="zh-CN" w:bidi="ar"/>
        </w:rPr>
        <w:t>7</w:t>
      </w:r>
      <w:r>
        <w:rPr>
          <w:rFonts w:hint="default" w:ascii="Times New Roman" w:hAnsi="Times New Roman" w:eastAsia="宋体" w:cs="Times New Roman"/>
          <w:color w:val="auto"/>
          <w:kern w:val="0"/>
          <w:sz w:val="24"/>
          <w:szCs w:val="24"/>
          <w:lang w:val="en-US" w:eastAsia="zh-CN" w:bidi="ar"/>
        </w:rPr>
        <w:t>。</w:t>
      </w:r>
    </w:p>
    <w:p w14:paraId="2602CBD8">
      <w:pPr>
        <w:keepNext w:val="0"/>
        <w:keepLines w:val="0"/>
        <w:widowControl/>
        <w:suppressLineNumbers w:val="0"/>
        <w:ind w:left="0" w:leftChars="0" w:firstLine="0" w:firstLineChars="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cs="Times New Roman"/>
          <w:color w:val="auto"/>
        </w:rPr>
        <w:drawing>
          <wp:inline distT="0" distB="0" distL="114300" distR="114300">
            <wp:extent cx="5277485" cy="1247140"/>
            <wp:effectExtent l="0" t="0" r="18415" b="10160"/>
            <wp:docPr id="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pic:cNvPicPr>
                      <a:picLocks noChangeAspect="1"/>
                    </pic:cNvPicPr>
                  </pic:nvPicPr>
                  <pic:blipFill>
                    <a:blip r:embed="rId65"/>
                    <a:stretch>
                      <a:fillRect/>
                    </a:stretch>
                  </pic:blipFill>
                  <pic:spPr>
                    <a:xfrm>
                      <a:off x="0" y="0"/>
                      <a:ext cx="5277485" cy="1247140"/>
                    </a:xfrm>
                    <a:prstGeom prst="rect">
                      <a:avLst/>
                    </a:prstGeom>
                    <a:noFill/>
                    <a:ln>
                      <a:noFill/>
                    </a:ln>
                  </pic:spPr>
                </pic:pic>
              </a:graphicData>
            </a:graphic>
          </wp:inline>
        </w:drawing>
      </w:r>
    </w:p>
    <w:p w14:paraId="0C15D4FB">
      <w:pPr>
        <w:keepNext w:val="0"/>
        <w:keepLines w:val="0"/>
        <w:widowControl/>
        <w:suppressLineNumbers w:val="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图5.3-</w:t>
      </w:r>
      <w:r>
        <w:rPr>
          <w:rFonts w:hint="eastAsia" w:cs="Times New Roman"/>
          <w:b/>
          <w:bCs/>
          <w:color w:val="auto"/>
          <w:kern w:val="0"/>
          <w:sz w:val="21"/>
          <w:szCs w:val="21"/>
          <w:lang w:val="en-US" w:eastAsia="zh-CN" w:bidi="ar"/>
        </w:rPr>
        <w:t>7</w:t>
      </w:r>
      <w:r>
        <w:rPr>
          <w:rFonts w:hint="default" w:ascii="Times New Roman" w:hAnsi="Times New Roman" w:eastAsia="宋体" w:cs="Times New Roman"/>
          <w:b/>
          <w:bCs/>
          <w:color w:val="auto"/>
          <w:kern w:val="0"/>
          <w:sz w:val="21"/>
          <w:szCs w:val="21"/>
          <w:lang w:val="en-US" w:eastAsia="zh-CN" w:bidi="ar"/>
        </w:rPr>
        <w:t>通过树和灌木时噪声衰减示意图</w:t>
      </w:r>
    </w:p>
    <w:p w14:paraId="79B2BC9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绿化林带噪声衰减量按表5.3-</w:t>
      </w:r>
      <w:r>
        <w:rPr>
          <w:rFonts w:hint="eastAsia" w:cs="Times New Roman"/>
          <w:color w:val="auto"/>
          <w:kern w:val="0"/>
          <w:sz w:val="24"/>
          <w:szCs w:val="24"/>
          <w:lang w:val="en-US" w:eastAsia="zh-CN" w:bidi="ar"/>
        </w:rPr>
        <w:t>6</w:t>
      </w:r>
      <w:r>
        <w:rPr>
          <w:rFonts w:hint="default" w:ascii="Times New Roman" w:hAnsi="Times New Roman" w:eastAsia="宋体" w:cs="Times New Roman"/>
          <w:color w:val="auto"/>
          <w:kern w:val="0"/>
          <w:sz w:val="24"/>
          <w:szCs w:val="24"/>
          <w:lang w:val="en-US" w:eastAsia="zh-CN" w:bidi="ar"/>
        </w:rPr>
        <w:t>计算。本项目交通噪声中心频率取500Hz，绿化林带的噪声衰减量按0.05dB/m计。</w:t>
      </w:r>
    </w:p>
    <w:p w14:paraId="0657A4F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
        </w:rPr>
        <w:t>表5.3-</w:t>
      </w:r>
      <w:r>
        <w:rPr>
          <w:rFonts w:hint="eastAsia" w:cs="Times New Roman"/>
          <w:b/>
          <w:bCs/>
          <w:color w:val="auto"/>
          <w:kern w:val="0"/>
          <w:sz w:val="21"/>
          <w:szCs w:val="21"/>
          <w:lang w:val="en-US" w:eastAsia="zh-CN" w:bidi="ar"/>
        </w:rPr>
        <w:t>6</w:t>
      </w:r>
      <w:r>
        <w:rPr>
          <w:rFonts w:hint="default" w:ascii="Times New Roman" w:hAnsi="Times New Roman" w:eastAsia="宋体" w:cs="Times New Roman"/>
          <w:b/>
          <w:bCs/>
          <w:color w:val="auto"/>
          <w:kern w:val="0"/>
          <w:sz w:val="21"/>
          <w:szCs w:val="21"/>
          <w:lang w:val="en-US" w:eastAsia="zh-CN" w:bidi="ar"/>
        </w:rPr>
        <w:t xml:space="preserve"> 倍频带噪声通过密叶传播时产生的衰减</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1150"/>
        <w:gridCol w:w="699"/>
        <w:gridCol w:w="756"/>
        <w:gridCol w:w="756"/>
        <w:gridCol w:w="756"/>
        <w:gridCol w:w="827"/>
        <w:gridCol w:w="827"/>
        <w:gridCol w:w="827"/>
        <w:gridCol w:w="827"/>
      </w:tblGrid>
      <w:tr w14:paraId="1849A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9" w:type="dxa"/>
            <w:vMerge w:val="restart"/>
            <w:vAlign w:val="center"/>
          </w:tcPr>
          <w:p w14:paraId="05E017C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项目</w:t>
            </w:r>
          </w:p>
        </w:tc>
        <w:tc>
          <w:tcPr>
            <w:tcW w:w="1015" w:type="dxa"/>
            <w:vMerge w:val="restart"/>
            <w:vAlign w:val="center"/>
          </w:tcPr>
          <w:p w14:paraId="6BECB64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传播距离df（m）</w:t>
            </w:r>
          </w:p>
        </w:tc>
        <w:tc>
          <w:tcPr>
            <w:tcW w:w="6774" w:type="dxa"/>
            <w:gridSpan w:val="8"/>
            <w:vAlign w:val="center"/>
          </w:tcPr>
          <w:p w14:paraId="429C0DA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倍频带中心频率（Hz）</w:t>
            </w:r>
          </w:p>
        </w:tc>
      </w:tr>
      <w:tr w14:paraId="5E9E8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9" w:type="dxa"/>
            <w:vMerge w:val="continue"/>
            <w:vAlign w:val="center"/>
          </w:tcPr>
          <w:p w14:paraId="1EC5B7A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1015" w:type="dxa"/>
            <w:vMerge w:val="continue"/>
            <w:vAlign w:val="center"/>
          </w:tcPr>
          <w:p w14:paraId="1525F1C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740" w:type="dxa"/>
            <w:vAlign w:val="center"/>
          </w:tcPr>
          <w:p w14:paraId="236CD9B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63</w:t>
            </w:r>
          </w:p>
        </w:tc>
        <w:tc>
          <w:tcPr>
            <w:tcW w:w="818" w:type="dxa"/>
            <w:vAlign w:val="center"/>
          </w:tcPr>
          <w:p w14:paraId="79B628A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125</w:t>
            </w:r>
          </w:p>
        </w:tc>
        <w:tc>
          <w:tcPr>
            <w:tcW w:w="818" w:type="dxa"/>
            <w:vAlign w:val="center"/>
          </w:tcPr>
          <w:p w14:paraId="0A45CCF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250</w:t>
            </w:r>
          </w:p>
        </w:tc>
        <w:tc>
          <w:tcPr>
            <w:tcW w:w="818" w:type="dxa"/>
            <w:vAlign w:val="center"/>
          </w:tcPr>
          <w:p w14:paraId="10E70D6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500</w:t>
            </w:r>
          </w:p>
        </w:tc>
        <w:tc>
          <w:tcPr>
            <w:tcW w:w="895" w:type="dxa"/>
            <w:vAlign w:val="center"/>
          </w:tcPr>
          <w:p w14:paraId="6C4899B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1000</w:t>
            </w:r>
          </w:p>
        </w:tc>
        <w:tc>
          <w:tcPr>
            <w:tcW w:w="895" w:type="dxa"/>
            <w:vAlign w:val="center"/>
          </w:tcPr>
          <w:p w14:paraId="6E3A6D3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2000</w:t>
            </w:r>
          </w:p>
        </w:tc>
        <w:tc>
          <w:tcPr>
            <w:tcW w:w="895" w:type="dxa"/>
            <w:vAlign w:val="center"/>
          </w:tcPr>
          <w:p w14:paraId="6CD2ABF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4000</w:t>
            </w:r>
          </w:p>
        </w:tc>
        <w:tc>
          <w:tcPr>
            <w:tcW w:w="895" w:type="dxa"/>
            <w:vAlign w:val="center"/>
          </w:tcPr>
          <w:p w14:paraId="4DDD4F3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8000</w:t>
            </w:r>
          </w:p>
        </w:tc>
      </w:tr>
      <w:tr w14:paraId="1D971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9" w:type="dxa"/>
            <w:vAlign w:val="center"/>
          </w:tcPr>
          <w:p w14:paraId="4603766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衰减（dB）</w:t>
            </w:r>
          </w:p>
        </w:tc>
        <w:tc>
          <w:tcPr>
            <w:tcW w:w="1015" w:type="dxa"/>
            <w:vAlign w:val="center"/>
          </w:tcPr>
          <w:p w14:paraId="77491FB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10≤df&lt;20</w:t>
            </w:r>
          </w:p>
        </w:tc>
        <w:tc>
          <w:tcPr>
            <w:tcW w:w="740" w:type="dxa"/>
            <w:vAlign w:val="center"/>
          </w:tcPr>
          <w:p w14:paraId="69063EA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w:t>
            </w:r>
          </w:p>
        </w:tc>
        <w:tc>
          <w:tcPr>
            <w:tcW w:w="818" w:type="dxa"/>
            <w:vAlign w:val="center"/>
          </w:tcPr>
          <w:p w14:paraId="6C13949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w:t>
            </w:r>
          </w:p>
        </w:tc>
        <w:tc>
          <w:tcPr>
            <w:tcW w:w="818" w:type="dxa"/>
            <w:vAlign w:val="center"/>
          </w:tcPr>
          <w:p w14:paraId="50EA1D9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w:t>
            </w:r>
          </w:p>
        </w:tc>
        <w:tc>
          <w:tcPr>
            <w:tcW w:w="818" w:type="dxa"/>
            <w:vAlign w:val="center"/>
          </w:tcPr>
          <w:p w14:paraId="2D69710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lang w:val="en-US" w:eastAsia="zh-CN"/>
              </w:rPr>
              <w:t>1</w:t>
            </w:r>
          </w:p>
        </w:tc>
        <w:tc>
          <w:tcPr>
            <w:tcW w:w="895" w:type="dxa"/>
            <w:vAlign w:val="center"/>
          </w:tcPr>
          <w:p w14:paraId="0B338D1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w:t>
            </w:r>
          </w:p>
        </w:tc>
        <w:tc>
          <w:tcPr>
            <w:tcW w:w="895" w:type="dxa"/>
            <w:vAlign w:val="center"/>
          </w:tcPr>
          <w:p w14:paraId="4A076EE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w:t>
            </w:r>
          </w:p>
        </w:tc>
        <w:tc>
          <w:tcPr>
            <w:tcW w:w="895" w:type="dxa"/>
            <w:vAlign w:val="center"/>
          </w:tcPr>
          <w:p w14:paraId="33D916C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w:t>
            </w:r>
          </w:p>
        </w:tc>
        <w:tc>
          <w:tcPr>
            <w:tcW w:w="895" w:type="dxa"/>
            <w:vAlign w:val="center"/>
          </w:tcPr>
          <w:p w14:paraId="0A55BEF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3</w:t>
            </w:r>
          </w:p>
        </w:tc>
      </w:tr>
      <w:tr w14:paraId="7B860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9" w:type="dxa"/>
            <w:vAlign w:val="center"/>
          </w:tcPr>
          <w:p w14:paraId="6E28AD0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衰减系数</w:t>
            </w:r>
          </w:p>
          <w:p w14:paraId="17072EF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（dB/m）</w:t>
            </w:r>
          </w:p>
        </w:tc>
        <w:tc>
          <w:tcPr>
            <w:tcW w:w="1015" w:type="dxa"/>
            <w:vAlign w:val="center"/>
          </w:tcPr>
          <w:p w14:paraId="16631F8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20≤df&lt;200</w:t>
            </w:r>
          </w:p>
        </w:tc>
        <w:tc>
          <w:tcPr>
            <w:tcW w:w="740" w:type="dxa"/>
            <w:vAlign w:val="center"/>
          </w:tcPr>
          <w:p w14:paraId="6C71278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0.02</w:t>
            </w:r>
          </w:p>
        </w:tc>
        <w:tc>
          <w:tcPr>
            <w:tcW w:w="818" w:type="dxa"/>
            <w:vAlign w:val="center"/>
          </w:tcPr>
          <w:p w14:paraId="3A4E2F6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0.03</w:t>
            </w:r>
          </w:p>
        </w:tc>
        <w:tc>
          <w:tcPr>
            <w:tcW w:w="818" w:type="dxa"/>
            <w:vAlign w:val="center"/>
          </w:tcPr>
          <w:p w14:paraId="58766C1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0.04</w:t>
            </w:r>
          </w:p>
        </w:tc>
        <w:tc>
          <w:tcPr>
            <w:tcW w:w="818" w:type="dxa"/>
            <w:vAlign w:val="center"/>
          </w:tcPr>
          <w:p w14:paraId="70C4274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0.05</w:t>
            </w:r>
          </w:p>
        </w:tc>
        <w:tc>
          <w:tcPr>
            <w:tcW w:w="895" w:type="dxa"/>
            <w:vAlign w:val="center"/>
          </w:tcPr>
          <w:p w14:paraId="28E072C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0.06</w:t>
            </w:r>
          </w:p>
        </w:tc>
        <w:tc>
          <w:tcPr>
            <w:tcW w:w="895" w:type="dxa"/>
            <w:vAlign w:val="center"/>
          </w:tcPr>
          <w:p w14:paraId="68336FF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0.08</w:t>
            </w:r>
          </w:p>
        </w:tc>
        <w:tc>
          <w:tcPr>
            <w:tcW w:w="895" w:type="dxa"/>
            <w:vAlign w:val="center"/>
          </w:tcPr>
          <w:p w14:paraId="2F995CA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0.09</w:t>
            </w:r>
          </w:p>
        </w:tc>
        <w:tc>
          <w:tcPr>
            <w:tcW w:w="895" w:type="dxa"/>
            <w:vAlign w:val="center"/>
          </w:tcPr>
          <w:p w14:paraId="4A64B60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0.12</w:t>
            </w:r>
          </w:p>
        </w:tc>
      </w:tr>
    </w:tbl>
    <w:p w14:paraId="151B8EDD">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②建筑群噪声衰减（</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i/>
          <w:iCs/>
          <w:color w:val="auto"/>
          <w:kern w:val="0"/>
          <w:sz w:val="15"/>
          <w:szCs w:val="15"/>
          <w:lang w:val="en-US" w:eastAsia="zh-CN" w:bidi="ar"/>
        </w:rPr>
        <w:t>hous</w:t>
      </w:r>
      <w:r>
        <w:rPr>
          <w:rFonts w:hint="default" w:ascii="Times New Roman" w:hAnsi="Times New Roman" w:eastAsia="宋体" w:cs="Times New Roman"/>
          <w:color w:val="auto"/>
          <w:kern w:val="0"/>
          <w:sz w:val="24"/>
          <w:szCs w:val="24"/>
          <w:lang w:val="en-US" w:eastAsia="zh-CN" w:bidi="ar"/>
        </w:rPr>
        <w:t>）</w:t>
      </w:r>
    </w:p>
    <w:p w14:paraId="44C5252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建筑群衰减</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i/>
          <w:iCs/>
          <w:color w:val="auto"/>
          <w:kern w:val="0"/>
          <w:sz w:val="15"/>
          <w:szCs w:val="15"/>
          <w:lang w:val="en-US" w:eastAsia="zh-CN" w:bidi="ar"/>
        </w:rPr>
        <w:t>hou</w:t>
      </w:r>
      <w:r>
        <w:rPr>
          <w:rFonts w:hint="default" w:ascii="Times New Roman" w:hAnsi="Times New Roman" w:eastAsia="宋体" w:cs="Times New Roman"/>
          <w:color w:val="auto"/>
          <w:kern w:val="0"/>
          <w:sz w:val="15"/>
          <w:szCs w:val="15"/>
          <w:lang w:val="en-US" w:eastAsia="zh-CN" w:bidi="ar"/>
        </w:rPr>
        <w:t>s</w:t>
      </w:r>
      <w:r>
        <w:rPr>
          <w:rFonts w:hint="default" w:ascii="Times New Roman" w:hAnsi="Times New Roman" w:eastAsia="宋体" w:cs="Times New Roman"/>
          <w:color w:val="auto"/>
          <w:kern w:val="0"/>
          <w:sz w:val="24"/>
          <w:szCs w:val="24"/>
          <w:lang w:val="en-US" w:eastAsia="zh-CN" w:bidi="ar"/>
        </w:rPr>
        <w:t>不超过10dB时，近似等效连续A声级按以下公式估算。</w:t>
      </w:r>
    </w:p>
    <w:p w14:paraId="7C9ADA2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当从受声点可直接观察到线路时，不考虑此项衰减。</w:t>
      </w:r>
    </w:p>
    <w:p w14:paraId="406787B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i/>
          <w:iCs/>
          <w:color w:val="auto"/>
          <w:kern w:val="0"/>
          <w:sz w:val="15"/>
          <w:szCs w:val="15"/>
          <w:lang w:val="en-US" w:eastAsia="zh-CN" w:bidi="ar"/>
        </w:rPr>
        <w:t>hous</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i/>
          <w:iCs/>
          <w:color w:val="auto"/>
          <w:kern w:val="0"/>
          <w:sz w:val="15"/>
          <w:szCs w:val="15"/>
          <w:lang w:val="en-US" w:eastAsia="zh-CN" w:bidi="ar"/>
        </w:rPr>
        <w:t>hous,1</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i/>
          <w:iCs/>
          <w:color w:val="auto"/>
          <w:kern w:val="0"/>
          <w:sz w:val="15"/>
          <w:szCs w:val="15"/>
          <w:lang w:val="en-US" w:eastAsia="zh-CN" w:bidi="ar"/>
        </w:rPr>
        <w:t>hous,</w:t>
      </w:r>
    </w:p>
    <w:p w14:paraId="01B802F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式中：</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i/>
          <w:iCs/>
          <w:color w:val="auto"/>
          <w:kern w:val="0"/>
          <w:sz w:val="15"/>
          <w:szCs w:val="15"/>
          <w:lang w:val="en-US" w:eastAsia="zh-CN" w:bidi="ar"/>
        </w:rPr>
        <w:t>hous,1</w:t>
      </w:r>
      <w:r>
        <w:rPr>
          <w:rFonts w:hint="default" w:ascii="Times New Roman" w:hAnsi="Times New Roman" w:eastAsia="宋体" w:cs="Times New Roman"/>
          <w:color w:val="auto"/>
          <w:kern w:val="0"/>
          <w:sz w:val="24"/>
          <w:szCs w:val="24"/>
          <w:lang w:val="en-US" w:eastAsia="zh-CN" w:bidi="ar"/>
        </w:rPr>
        <w:t>按下式计算，单位为dB</w:t>
      </w:r>
    </w:p>
    <w:p w14:paraId="21C8984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i/>
          <w:iCs/>
          <w:color w:val="auto"/>
          <w:kern w:val="0"/>
          <w:sz w:val="15"/>
          <w:szCs w:val="15"/>
          <w:lang w:val="en-US" w:eastAsia="zh-CN" w:bidi="ar"/>
        </w:rPr>
        <w:t>hous,1</w:t>
      </w:r>
      <w:r>
        <w:rPr>
          <w:rFonts w:hint="default" w:ascii="Times New Roman" w:hAnsi="Times New Roman" w:eastAsia="宋体" w:cs="Times New Roman"/>
          <w:color w:val="auto"/>
          <w:kern w:val="0"/>
          <w:sz w:val="24"/>
          <w:szCs w:val="24"/>
          <w:lang w:val="en-US" w:eastAsia="zh-CN" w:bidi="ar"/>
        </w:rPr>
        <w:t>=0.1</w:t>
      </w:r>
      <w:r>
        <w:rPr>
          <w:rFonts w:hint="default" w:ascii="Times New Roman" w:hAnsi="Times New Roman" w:eastAsia="宋体" w:cs="Times New Roman"/>
          <w:i/>
          <w:iCs/>
          <w:color w:val="auto"/>
          <w:kern w:val="0"/>
          <w:sz w:val="24"/>
          <w:szCs w:val="24"/>
          <w:lang w:val="en-US" w:eastAsia="zh-CN" w:bidi="ar"/>
        </w:rPr>
        <w:t>Bd</w:t>
      </w:r>
      <w:r>
        <w:rPr>
          <w:rFonts w:hint="default" w:ascii="Times New Roman" w:hAnsi="Times New Roman" w:eastAsia="宋体" w:cs="Times New Roman"/>
          <w:i/>
          <w:iCs/>
          <w:color w:val="auto"/>
          <w:kern w:val="0"/>
          <w:sz w:val="15"/>
          <w:szCs w:val="15"/>
          <w:lang w:val="en-US" w:eastAsia="zh-CN" w:bidi="ar"/>
        </w:rPr>
        <w:t xml:space="preserve">b </w:t>
      </w:r>
    </w:p>
    <w:p w14:paraId="26FAB3F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i/>
          <w:iCs/>
          <w:color w:val="auto"/>
          <w:kern w:val="0"/>
          <w:sz w:val="24"/>
          <w:szCs w:val="24"/>
          <w:lang w:val="en-US" w:eastAsia="zh-CN" w:bidi="ar"/>
        </w:rPr>
        <w:t>B</w:t>
      </w:r>
      <w:r>
        <w:rPr>
          <w:rFonts w:hint="default" w:ascii="Times New Roman" w:hAnsi="Times New Roman" w:eastAsia="宋体" w:cs="Times New Roman"/>
          <w:color w:val="auto"/>
          <w:kern w:val="0"/>
          <w:sz w:val="24"/>
          <w:szCs w:val="24"/>
          <w:lang w:val="en-US" w:eastAsia="zh-CN" w:bidi="ar"/>
        </w:rPr>
        <w:t>——沿声传播路线上的建筑物的密度，等于建筑物总平面面积除以总地面面积（包括建筑物所占面积）；</w:t>
      </w:r>
    </w:p>
    <w:p w14:paraId="41DCACB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i/>
          <w:iCs/>
          <w:color w:val="auto"/>
          <w:kern w:val="0"/>
          <w:sz w:val="24"/>
          <w:szCs w:val="24"/>
          <w:lang w:val="en-US" w:eastAsia="zh-CN" w:bidi="ar"/>
        </w:rPr>
        <w:t>d</w:t>
      </w:r>
      <w:r>
        <w:rPr>
          <w:rFonts w:hint="default" w:ascii="Times New Roman" w:hAnsi="Times New Roman" w:eastAsia="宋体" w:cs="Times New Roman"/>
          <w:i/>
          <w:iCs/>
          <w:color w:val="auto"/>
          <w:kern w:val="0"/>
          <w:sz w:val="15"/>
          <w:szCs w:val="15"/>
          <w:lang w:val="en-US" w:eastAsia="zh-CN" w:bidi="ar"/>
        </w:rPr>
        <w:t>b</w:t>
      </w:r>
      <w:r>
        <w:rPr>
          <w:rFonts w:hint="default" w:ascii="Times New Roman" w:hAnsi="Times New Roman" w:eastAsia="宋体" w:cs="Times New Roman"/>
          <w:color w:val="auto"/>
          <w:kern w:val="0"/>
          <w:sz w:val="24"/>
          <w:szCs w:val="24"/>
          <w:lang w:val="en-US" w:eastAsia="zh-CN" w:bidi="ar"/>
        </w:rPr>
        <w:t>——通过建筑群的声传播路线长度，按下式计算，</w:t>
      </w:r>
      <w:r>
        <w:rPr>
          <w:rFonts w:hint="default" w:ascii="Times New Roman" w:hAnsi="Times New Roman" w:eastAsia="宋体" w:cs="Times New Roman"/>
          <w:i/>
          <w:iCs/>
          <w:color w:val="auto"/>
          <w:kern w:val="0"/>
          <w:sz w:val="24"/>
          <w:szCs w:val="24"/>
          <w:lang w:val="en-US" w:eastAsia="zh-CN" w:bidi="ar"/>
        </w:rPr>
        <w:t>d</w:t>
      </w:r>
      <w:r>
        <w:rPr>
          <w:rFonts w:hint="default" w:ascii="Times New Roman" w:hAnsi="Times New Roman" w:eastAsia="宋体" w:cs="Times New Roman"/>
          <w:i/>
          <w:iCs/>
          <w:color w:val="auto"/>
          <w:kern w:val="0"/>
          <w:sz w:val="15"/>
          <w:szCs w:val="15"/>
          <w:lang w:val="en-US" w:eastAsia="zh-CN" w:bidi="ar"/>
        </w:rPr>
        <w:t>1</w:t>
      </w:r>
      <w:r>
        <w:rPr>
          <w:rFonts w:hint="default" w:ascii="Times New Roman" w:hAnsi="Times New Roman" w:eastAsia="宋体" w:cs="Times New Roman"/>
          <w:color w:val="auto"/>
          <w:kern w:val="0"/>
          <w:sz w:val="24"/>
          <w:szCs w:val="24"/>
          <w:lang w:val="en-US" w:eastAsia="zh-CN" w:bidi="ar"/>
        </w:rPr>
        <w:t>和</w:t>
      </w:r>
      <w:r>
        <w:rPr>
          <w:rFonts w:hint="default" w:ascii="Times New Roman" w:hAnsi="Times New Roman" w:eastAsia="宋体" w:cs="Times New Roman"/>
          <w:i/>
          <w:iCs/>
          <w:color w:val="auto"/>
          <w:kern w:val="0"/>
          <w:sz w:val="24"/>
          <w:szCs w:val="24"/>
          <w:lang w:val="en-US" w:eastAsia="zh-CN" w:bidi="ar"/>
        </w:rPr>
        <w:t>d</w:t>
      </w:r>
      <w:r>
        <w:rPr>
          <w:rFonts w:hint="default" w:ascii="Times New Roman" w:hAnsi="Times New Roman" w:eastAsia="宋体" w:cs="Times New Roman"/>
          <w:i/>
          <w:iCs/>
          <w:color w:val="auto"/>
          <w:kern w:val="0"/>
          <w:sz w:val="15"/>
          <w:szCs w:val="15"/>
          <w:lang w:val="en-US" w:eastAsia="zh-CN" w:bidi="ar"/>
        </w:rPr>
        <w:t>2</w:t>
      </w:r>
      <w:r>
        <w:rPr>
          <w:rFonts w:hint="default" w:ascii="Times New Roman" w:hAnsi="Times New Roman" w:eastAsia="宋体" w:cs="Times New Roman"/>
          <w:color w:val="auto"/>
          <w:kern w:val="0"/>
          <w:sz w:val="24"/>
          <w:szCs w:val="24"/>
          <w:lang w:val="en-US" w:eastAsia="zh-CN" w:bidi="ar"/>
        </w:rPr>
        <w:t>如图所示。</w:t>
      </w:r>
    </w:p>
    <w:p w14:paraId="03D1B4A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i/>
          <w:iCs/>
          <w:color w:val="auto"/>
          <w:kern w:val="0"/>
          <w:sz w:val="24"/>
          <w:szCs w:val="24"/>
          <w:lang w:val="en-US" w:eastAsia="zh-CN" w:bidi="ar"/>
        </w:rPr>
        <w:t>d</w:t>
      </w:r>
      <w:r>
        <w:rPr>
          <w:rFonts w:hint="default" w:ascii="Times New Roman" w:hAnsi="Times New Roman" w:eastAsia="宋体" w:cs="Times New Roman"/>
          <w:i/>
          <w:iCs/>
          <w:color w:val="auto"/>
          <w:kern w:val="0"/>
          <w:sz w:val="15"/>
          <w:szCs w:val="15"/>
          <w:lang w:val="en-US" w:eastAsia="zh-CN" w:bidi="ar"/>
        </w:rPr>
        <w:t>b</w:t>
      </w:r>
      <w:r>
        <w:rPr>
          <w:rFonts w:hint="default" w:ascii="Times New Roman" w:hAnsi="Times New Roman" w:eastAsia="宋体" w:cs="Times New Roman"/>
          <w:i/>
          <w:iCs/>
          <w:color w:val="auto"/>
          <w:kern w:val="0"/>
          <w:sz w:val="24"/>
          <w:szCs w:val="24"/>
          <w:lang w:val="en-US" w:eastAsia="zh-CN" w:bidi="ar"/>
        </w:rPr>
        <w:t>=d</w:t>
      </w:r>
      <w:r>
        <w:rPr>
          <w:rFonts w:hint="default" w:ascii="Times New Roman" w:hAnsi="Times New Roman" w:eastAsia="宋体" w:cs="Times New Roman"/>
          <w:i/>
          <w:iCs/>
          <w:color w:val="auto"/>
          <w:kern w:val="0"/>
          <w:sz w:val="15"/>
          <w:szCs w:val="15"/>
          <w:lang w:val="en-US" w:eastAsia="zh-CN" w:bidi="ar"/>
        </w:rPr>
        <w:t>1</w:t>
      </w:r>
      <w:r>
        <w:rPr>
          <w:rFonts w:hint="default" w:ascii="Times New Roman" w:hAnsi="Times New Roman" w:eastAsia="宋体" w:cs="Times New Roman"/>
          <w:i/>
          <w:iCs/>
          <w:color w:val="auto"/>
          <w:kern w:val="0"/>
          <w:sz w:val="24"/>
          <w:szCs w:val="24"/>
          <w:lang w:val="en-US" w:eastAsia="zh-CN" w:bidi="ar"/>
        </w:rPr>
        <w:t>+d</w:t>
      </w:r>
      <w:r>
        <w:rPr>
          <w:rFonts w:hint="default" w:ascii="Times New Roman" w:hAnsi="Times New Roman" w:eastAsia="宋体" w:cs="Times New Roman"/>
          <w:i/>
          <w:iCs/>
          <w:color w:val="auto"/>
          <w:kern w:val="0"/>
          <w:sz w:val="15"/>
          <w:szCs w:val="15"/>
          <w:lang w:val="en-US" w:eastAsia="zh-CN" w:bidi="ar"/>
        </w:rPr>
        <w:t>2</w:t>
      </w:r>
    </w:p>
    <w:p w14:paraId="3F32E866">
      <w:pPr>
        <w:keepNext w:val="0"/>
        <w:keepLines w:val="0"/>
        <w:pageBreakBefore w:val="0"/>
        <w:widowControl/>
        <w:suppressLineNumbers w:val="0"/>
        <w:kinsoku/>
        <w:wordWrap/>
        <w:overflowPunct/>
        <w:topLinePunct w:val="0"/>
        <w:autoSpaceDE/>
        <w:autoSpaceDN/>
        <w:bidi w:val="0"/>
        <w:adjustRightInd w:val="0"/>
        <w:snapToGrid w:val="0"/>
        <w:spacing w:before="157" w:beforeLines="50"/>
        <w:ind w:left="0" w:leftChars="0" w:firstLine="0" w:firstLineChars="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cs="Times New Roman"/>
          <w:color w:val="auto"/>
        </w:rPr>
        <w:drawing>
          <wp:inline distT="0" distB="0" distL="114300" distR="114300">
            <wp:extent cx="5271135" cy="1751330"/>
            <wp:effectExtent l="0" t="0" r="5715" b="1270"/>
            <wp:docPr id="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pic:cNvPicPr>
                      <a:picLocks noChangeAspect="1"/>
                    </pic:cNvPicPr>
                  </pic:nvPicPr>
                  <pic:blipFill>
                    <a:blip r:embed="rId66"/>
                    <a:stretch>
                      <a:fillRect/>
                    </a:stretch>
                  </pic:blipFill>
                  <pic:spPr>
                    <a:xfrm>
                      <a:off x="0" y="0"/>
                      <a:ext cx="5271135" cy="1751330"/>
                    </a:xfrm>
                    <a:prstGeom prst="rect">
                      <a:avLst/>
                    </a:prstGeom>
                    <a:noFill/>
                    <a:ln>
                      <a:noFill/>
                    </a:ln>
                  </pic:spPr>
                </pic:pic>
              </a:graphicData>
            </a:graphic>
          </wp:inline>
        </w:drawing>
      </w:r>
    </w:p>
    <w:p w14:paraId="2B2AB423">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假如声源沿线附近有成排整齐排列的建筑物时，则可将附加项</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i/>
          <w:iCs/>
          <w:color w:val="auto"/>
          <w:kern w:val="0"/>
          <w:sz w:val="15"/>
          <w:szCs w:val="15"/>
          <w:lang w:val="en-US" w:eastAsia="zh-CN" w:bidi="ar"/>
        </w:rPr>
        <w:t>hous,2</w:t>
      </w:r>
      <w:r>
        <w:rPr>
          <w:rFonts w:hint="default" w:ascii="Times New Roman" w:hAnsi="Times New Roman" w:eastAsia="宋体" w:cs="Times New Roman"/>
          <w:color w:val="auto"/>
          <w:kern w:val="0"/>
          <w:sz w:val="24"/>
          <w:szCs w:val="24"/>
          <w:lang w:val="en-US" w:eastAsia="zh-CN" w:bidi="ar"/>
        </w:rPr>
        <w:t>包括在内（假定这一项小于在同一位置上与建筑物平均高度等高的一个屏障插入损失）。</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i/>
          <w:iCs/>
          <w:color w:val="auto"/>
          <w:kern w:val="0"/>
          <w:sz w:val="15"/>
          <w:szCs w:val="15"/>
          <w:lang w:val="en-US" w:eastAsia="zh-CN" w:bidi="ar"/>
        </w:rPr>
        <w:t>hous,</w:t>
      </w:r>
      <w:r>
        <w:rPr>
          <w:rFonts w:hint="default" w:ascii="Times New Roman" w:hAnsi="Times New Roman" w:eastAsia="宋体" w:cs="Times New Roman"/>
          <w:color w:val="auto"/>
          <w:kern w:val="0"/>
          <w:sz w:val="15"/>
          <w:szCs w:val="15"/>
          <w:lang w:val="en-US" w:eastAsia="zh-CN" w:bidi="ar"/>
        </w:rPr>
        <w:t>2</w:t>
      </w:r>
      <w:r>
        <w:rPr>
          <w:rFonts w:hint="default" w:ascii="Times New Roman" w:hAnsi="Times New Roman" w:eastAsia="宋体" w:cs="Times New Roman"/>
          <w:color w:val="auto"/>
          <w:kern w:val="0"/>
          <w:sz w:val="24"/>
          <w:szCs w:val="24"/>
          <w:lang w:val="en-US" w:eastAsia="zh-CN" w:bidi="ar"/>
        </w:rPr>
        <w:t>按下式计算。</w:t>
      </w:r>
    </w:p>
    <w:p w14:paraId="06DAB5F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i/>
          <w:iCs/>
          <w:color w:val="auto"/>
          <w:kern w:val="0"/>
          <w:sz w:val="15"/>
          <w:szCs w:val="15"/>
          <w:lang w:val="en-US" w:eastAsia="zh-CN" w:bidi="ar"/>
        </w:rPr>
        <w:t>hous,2</w:t>
      </w:r>
      <w:r>
        <w:rPr>
          <w:rFonts w:hint="default" w:ascii="Times New Roman" w:hAnsi="Times New Roman" w:eastAsia="宋体" w:cs="Times New Roman"/>
          <w:i/>
          <w:iCs/>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-10lg(1-</w:t>
      </w:r>
      <w:r>
        <w:rPr>
          <w:rFonts w:hint="default" w:ascii="Times New Roman" w:hAnsi="Times New Roman" w:eastAsia="宋体" w:cs="Times New Roman"/>
          <w:i/>
          <w:iCs/>
          <w:color w:val="auto"/>
          <w:kern w:val="0"/>
          <w:sz w:val="24"/>
          <w:szCs w:val="24"/>
          <w:lang w:val="en-US" w:eastAsia="zh-CN" w:bidi="ar"/>
        </w:rPr>
        <w:t>p</w:t>
      </w:r>
      <w:r>
        <w:rPr>
          <w:rFonts w:hint="default" w:ascii="Times New Roman" w:hAnsi="Times New Roman" w:eastAsia="宋体" w:cs="Times New Roman"/>
          <w:color w:val="auto"/>
          <w:kern w:val="0"/>
          <w:sz w:val="24"/>
          <w:szCs w:val="24"/>
          <w:lang w:val="en-US" w:eastAsia="zh-CN" w:bidi="ar"/>
        </w:rPr>
        <w:t>)</w:t>
      </w:r>
    </w:p>
    <w:p w14:paraId="4655692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式中：</w:t>
      </w:r>
      <w:r>
        <w:rPr>
          <w:rFonts w:hint="default" w:ascii="Times New Roman" w:hAnsi="Times New Roman" w:eastAsia="宋体" w:cs="Times New Roman"/>
          <w:i/>
          <w:iCs/>
          <w:color w:val="auto"/>
          <w:kern w:val="0"/>
          <w:sz w:val="24"/>
          <w:szCs w:val="24"/>
          <w:lang w:val="en-US" w:eastAsia="zh-CN" w:bidi="ar"/>
        </w:rPr>
        <w:t>p</w:t>
      </w:r>
      <w:r>
        <w:rPr>
          <w:rFonts w:hint="default" w:ascii="Times New Roman" w:hAnsi="Times New Roman" w:eastAsia="宋体" w:cs="Times New Roman"/>
          <w:color w:val="auto"/>
          <w:kern w:val="0"/>
          <w:sz w:val="24"/>
          <w:szCs w:val="24"/>
          <w:lang w:val="en-US" w:eastAsia="zh-CN" w:bidi="ar"/>
        </w:rPr>
        <w:t>——沿声源纵向分布的建筑物正面总长度除以对应的声源长度，其值小于或等于90%。</w:t>
      </w:r>
    </w:p>
    <w:p w14:paraId="281A725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在进行预测计算时，建筑群衰减</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color w:val="auto"/>
          <w:kern w:val="0"/>
          <w:sz w:val="15"/>
          <w:szCs w:val="15"/>
          <w:lang w:val="en-US" w:eastAsia="zh-CN" w:bidi="ar"/>
        </w:rPr>
        <w:t>hous</w:t>
      </w:r>
      <w:r>
        <w:rPr>
          <w:rFonts w:hint="default" w:ascii="Times New Roman" w:hAnsi="Times New Roman" w:eastAsia="宋体" w:cs="Times New Roman"/>
          <w:color w:val="auto"/>
          <w:kern w:val="0"/>
          <w:sz w:val="24"/>
          <w:szCs w:val="24"/>
          <w:lang w:val="en-US" w:eastAsia="zh-CN" w:bidi="ar"/>
        </w:rPr>
        <w:t>与地面效应引起的衰减</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color w:val="auto"/>
          <w:kern w:val="0"/>
          <w:sz w:val="15"/>
          <w:szCs w:val="15"/>
          <w:lang w:val="en-US" w:eastAsia="zh-CN" w:bidi="ar"/>
        </w:rPr>
        <w:t>gr</w:t>
      </w:r>
      <w:r>
        <w:rPr>
          <w:rFonts w:hint="default" w:ascii="Times New Roman" w:hAnsi="Times New Roman" w:eastAsia="宋体" w:cs="Times New Roman"/>
          <w:color w:val="auto"/>
          <w:kern w:val="0"/>
          <w:sz w:val="24"/>
          <w:szCs w:val="24"/>
          <w:lang w:val="en-US" w:eastAsia="zh-CN" w:bidi="ar"/>
        </w:rPr>
        <w:t>通常只需考虑一项最主要的衰减。对于通过建筑群的声传播，一般不考虑地面效应引起的衰减</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color w:val="auto"/>
          <w:kern w:val="0"/>
          <w:sz w:val="15"/>
          <w:szCs w:val="15"/>
          <w:lang w:val="en-US" w:eastAsia="zh-CN" w:bidi="ar"/>
        </w:rPr>
        <w:t>gr</w:t>
      </w:r>
      <w:r>
        <w:rPr>
          <w:rFonts w:hint="default" w:ascii="Times New Roman" w:hAnsi="Times New Roman" w:eastAsia="宋体" w:cs="Times New Roman"/>
          <w:color w:val="auto"/>
          <w:kern w:val="0"/>
          <w:sz w:val="24"/>
          <w:szCs w:val="24"/>
          <w:lang w:val="en-US" w:eastAsia="zh-CN" w:bidi="ar"/>
        </w:rPr>
        <w:t>；但地面效应引起的衰减</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color w:val="auto"/>
          <w:kern w:val="0"/>
          <w:sz w:val="15"/>
          <w:szCs w:val="15"/>
          <w:lang w:val="en-US" w:eastAsia="zh-CN" w:bidi="ar"/>
        </w:rPr>
        <w:t>gr</w:t>
      </w:r>
      <w:r>
        <w:rPr>
          <w:rFonts w:hint="default" w:ascii="Times New Roman" w:hAnsi="Times New Roman" w:eastAsia="宋体" w:cs="Times New Roman"/>
          <w:color w:val="auto"/>
          <w:kern w:val="0"/>
          <w:sz w:val="24"/>
          <w:szCs w:val="24"/>
          <w:lang w:val="en-US" w:eastAsia="zh-CN" w:bidi="ar"/>
        </w:rPr>
        <w:t>（假定预测点与声源之间不存在建筑群时的计算结果）大于建筑群衰减</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color w:val="auto"/>
          <w:kern w:val="0"/>
          <w:sz w:val="15"/>
          <w:szCs w:val="15"/>
          <w:lang w:val="en-US" w:eastAsia="zh-CN" w:bidi="ar"/>
        </w:rPr>
        <w:t xml:space="preserve">hous </w:t>
      </w:r>
      <w:r>
        <w:rPr>
          <w:rFonts w:hint="default" w:ascii="Times New Roman" w:hAnsi="Times New Roman" w:eastAsia="宋体" w:cs="Times New Roman"/>
          <w:color w:val="auto"/>
          <w:kern w:val="0"/>
          <w:sz w:val="24"/>
          <w:szCs w:val="24"/>
          <w:lang w:val="en-US" w:eastAsia="zh-CN" w:bidi="ar"/>
        </w:rPr>
        <w:t>时，则不考虑建筑群插入损失</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color w:val="auto"/>
          <w:kern w:val="0"/>
          <w:sz w:val="15"/>
          <w:szCs w:val="15"/>
          <w:lang w:val="en-US" w:eastAsia="zh-CN" w:bidi="ar"/>
        </w:rPr>
        <w:t>hous</w:t>
      </w:r>
      <w:r>
        <w:rPr>
          <w:rFonts w:hint="default" w:ascii="Times New Roman" w:hAnsi="Times New Roman" w:eastAsia="宋体" w:cs="Times New Roman"/>
          <w:color w:val="auto"/>
          <w:kern w:val="0"/>
          <w:sz w:val="24"/>
          <w:szCs w:val="24"/>
          <w:lang w:val="en-US" w:eastAsia="zh-CN" w:bidi="ar"/>
        </w:rPr>
        <w:t>。</w:t>
      </w:r>
    </w:p>
    <w:p w14:paraId="2B63A19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（4）两侧建筑物的反射声修正量</w:t>
      </w:r>
    </w:p>
    <w:p w14:paraId="4B989FD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当线路两侧建筑物间距小于总计算高度的30%时，其反射声修正量为：</w:t>
      </w:r>
    </w:p>
    <w:p w14:paraId="108131A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两侧建筑物是反射面时：</w:t>
      </w:r>
    </w:p>
    <w:p w14:paraId="045497D3">
      <w:pPr>
        <w:ind w:firstLine="48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1600200" cy="426720"/>
            <wp:effectExtent l="0" t="0" r="0" b="0"/>
            <wp:docPr id="19" name="图片 19" descr="截图2024060301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截图20240603013514"/>
                    <pic:cNvPicPr>
                      <a:picLocks noChangeAspect="1"/>
                    </pic:cNvPicPr>
                  </pic:nvPicPr>
                  <pic:blipFill>
                    <a:blip r:embed="rId67"/>
                    <a:stretch>
                      <a:fillRect/>
                    </a:stretch>
                  </pic:blipFill>
                  <pic:spPr>
                    <a:xfrm>
                      <a:off x="0" y="0"/>
                      <a:ext cx="1600200" cy="426720"/>
                    </a:xfrm>
                    <a:prstGeom prst="rect">
                      <a:avLst/>
                    </a:prstGeom>
                  </pic:spPr>
                </pic:pic>
              </a:graphicData>
            </a:graphic>
          </wp:inline>
        </w:drawing>
      </w:r>
    </w:p>
    <w:p w14:paraId="1CFC5273">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两侧建筑物是一般吸收性表面时：</w:t>
      </w:r>
    </w:p>
    <w:p w14:paraId="4DDEE35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lang w:val="en-US" w:eastAsia="zh-CN"/>
        </w:rPr>
        <w:drawing>
          <wp:anchor distT="0" distB="0" distL="114300" distR="114300" simplePos="0" relativeHeight="251662336" behindDoc="0" locked="0" layoutInCell="1" allowOverlap="1">
            <wp:simplePos x="0" y="0"/>
            <wp:positionH relativeFrom="column">
              <wp:posOffset>285115</wp:posOffset>
            </wp:positionH>
            <wp:positionV relativeFrom="paragraph">
              <wp:posOffset>6350</wp:posOffset>
            </wp:positionV>
            <wp:extent cx="1638300" cy="518160"/>
            <wp:effectExtent l="0" t="0" r="7620" b="0"/>
            <wp:wrapTopAndBottom/>
            <wp:docPr id="20" name="图片 20" descr="截图2024060301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截图20240603013622"/>
                    <pic:cNvPicPr>
                      <a:picLocks noChangeAspect="1"/>
                    </pic:cNvPicPr>
                  </pic:nvPicPr>
                  <pic:blipFill>
                    <a:blip r:embed="rId68"/>
                    <a:stretch>
                      <a:fillRect/>
                    </a:stretch>
                  </pic:blipFill>
                  <pic:spPr>
                    <a:xfrm>
                      <a:off x="0" y="0"/>
                      <a:ext cx="1638300" cy="518160"/>
                    </a:xfrm>
                    <a:prstGeom prst="rect">
                      <a:avLst/>
                    </a:prstGeom>
                  </pic:spPr>
                </pic:pic>
              </a:graphicData>
            </a:graphic>
          </wp:anchor>
        </w:drawing>
      </w:r>
      <w:r>
        <w:rPr>
          <w:rFonts w:hint="default" w:ascii="Times New Roman" w:hAnsi="Times New Roman" w:eastAsia="宋体" w:cs="Times New Roman"/>
          <w:color w:val="auto"/>
          <w:kern w:val="0"/>
          <w:sz w:val="24"/>
          <w:szCs w:val="24"/>
          <w:lang w:val="en-US" w:eastAsia="zh-CN" w:bidi="ar"/>
        </w:rPr>
        <w:t>两侧建筑物是全吸收性表面时：</w:t>
      </w:r>
    </w:p>
    <w:p w14:paraId="26A03D1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3"/>
          <w:szCs w:val="23"/>
          <w:lang w:val="en-US" w:eastAsia="zh-CN" w:bidi="ar"/>
        </w:rPr>
        <w:t></w:t>
      </w:r>
      <w:r>
        <w:rPr>
          <w:rFonts w:hint="default" w:ascii="Times New Roman" w:hAnsi="Times New Roman" w:eastAsia="宋体" w:cs="Times New Roman"/>
          <w:i/>
          <w:iCs/>
          <w:color w:val="auto"/>
          <w:kern w:val="0"/>
          <w:sz w:val="23"/>
          <w:szCs w:val="23"/>
          <w:lang w:val="en-US" w:eastAsia="zh-CN" w:bidi="ar"/>
        </w:rPr>
        <w:t>L</w:t>
      </w:r>
      <w:r>
        <w:rPr>
          <w:rFonts w:hint="default" w:ascii="Times New Roman" w:hAnsi="Times New Roman" w:eastAsia="宋体" w:cs="Times New Roman"/>
          <w:color w:val="auto"/>
          <w:kern w:val="0"/>
          <w:sz w:val="13"/>
          <w:szCs w:val="13"/>
          <w:lang w:val="en-US" w:eastAsia="zh-CN" w:bidi="ar"/>
        </w:rPr>
        <w:t xml:space="preserve">反射 </w:t>
      </w:r>
      <w:r>
        <w:rPr>
          <w:rFonts w:hint="default" w:ascii="Times New Roman" w:hAnsi="Times New Roman" w:eastAsia="宋体" w:cs="Times New Roman"/>
          <w:color w:val="auto"/>
          <w:kern w:val="0"/>
          <w:sz w:val="23"/>
          <w:szCs w:val="23"/>
          <w:lang w:val="en-US" w:eastAsia="zh-CN" w:bidi="ar"/>
        </w:rPr>
        <w:t> 0</w:t>
      </w:r>
    </w:p>
    <w:p w14:paraId="2D0806B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式中：w——线路两侧建筑物反射面的间距，m；</w:t>
      </w:r>
    </w:p>
    <w:p w14:paraId="07CC77DB">
      <w:pPr>
        <w:keepNext w:val="0"/>
        <w:keepLines w:val="0"/>
        <w:widowControl/>
        <w:suppressLineNumbers w:val="0"/>
        <w:ind w:left="480" w:leftChars="200" w:firstLine="0" w:firstLineChars="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H</w:t>
      </w:r>
      <w:r>
        <w:rPr>
          <w:rFonts w:hint="default" w:ascii="Times New Roman" w:hAnsi="Times New Roman" w:eastAsia="宋体" w:cs="Times New Roman"/>
          <w:color w:val="auto"/>
          <w:kern w:val="0"/>
          <w:sz w:val="15"/>
          <w:szCs w:val="15"/>
          <w:lang w:val="en-US" w:eastAsia="zh-CN" w:bidi="ar"/>
        </w:rPr>
        <w:t>b</w:t>
      </w:r>
      <w:r>
        <w:rPr>
          <w:rFonts w:hint="default" w:ascii="Times New Roman" w:hAnsi="Times New Roman" w:eastAsia="宋体" w:cs="Times New Roman"/>
          <w:color w:val="auto"/>
          <w:kern w:val="0"/>
          <w:sz w:val="24"/>
          <w:szCs w:val="24"/>
          <w:lang w:val="en-US" w:eastAsia="zh-CN" w:bidi="ar"/>
        </w:rPr>
        <w:t>——构筑物的平均高度，m，取线路两侧较低一侧高度平均值代入计算。本项目不考虑由上述交叉口和反射引起的修正量。</w:t>
      </w:r>
    </w:p>
    <w:p w14:paraId="5254037F">
      <w:pPr>
        <w:pStyle w:val="5"/>
        <w:keepNext/>
        <w:keepLines/>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5.3.2.3 模型参数的确定</w:t>
      </w:r>
    </w:p>
    <w:p w14:paraId="5EF6848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（1）评价年限的确定</w:t>
      </w:r>
    </w:p>
    <w:p w14:paraId="4B87B41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考虑工程竣工验收的需要，需预测竣工投入</w:t>
      </w:r>
      <w:r>
        <w:rPr>
          <w:rFonts w:hint="default" w:ascii="Times New Roman" w:hAnsi="Times New Roman" w:cs="Times New Roman"/>
          <w:color w:val="auto"/>
          <w:kern w:val="0"/>
          <w:sz w:val="24"/>
          <w:szCs w:val="24"/>
          <w:lang w:val="en-US" w:eastAsia="zh-CN" w:bidi="ar"/>
        </w:rPr>
        <w:t>运营</w:t>
      </w:r>
      <w:r>
        <w:rPr>
          <w:rFonts w:hint="default" w:ascii="Times New Roman" w:hAnsi="Times New Roman" w:eastAsia="宋体" w:cs="Times New Roman"/>
          <w:color w:val="auto"/>
          <w:kern w:val="0"/>
          <w:sz w:val="24"/>
          <w:szCs w:val="24"/>
          <w:lang w:val="en-US" w:eastAsia="zh-CN" w:bidi="ar"/>
        </w:rPr>
        <w:t>初期的环境影响；预测竣工投入使用的中期，如果环境质量超标，应在工程施工期就设置环境保护设施；汽车专用公路在使用10年左右要大修一次，预测竣工投入</w:t>
      </w:r>
      <w:r>
        <w:rPr>
          <w:rFonts w:hint="default" w:ascii="Times New Roman" w:hAnsi="Times New Roman" w:cs="Times New Roman"/>
          <w:color w:val="auto"/>
          <w:kern w:val="0"/>
          <w:sz w:val="24"/>
          <w:szCs w:val="24"/>
          <w:lang w:val="en-US" w:eastAsia="zh-CN" w:bidi="ar"/>
        </w:rPr>
        <w:t>运营</w:t>
      </w:r>
      <w:r>
        <w:rPr>
          <w:rFonts w:hint="default" w:ascii="Times New Roman" w:hAnsi="Times New Roman" w:eastAsia="宋体" w:cs="Times New Roman"/>
          <w:color w:val="auto"/>
          <w:kern w:val="0"/>
          <w:sz w:val="24"/>
          <w:szCs w:val="24"/>
          <w:lang w:val="en-US" w:eastAsia="zh-CN" w:bidi="ar"/>
        </w:rPr>
        <w:t>远期，如果环境质量超标，就在大修时加设环境保护设施。</w:t>
      </w:r>
    </w:p>
    <w:p w14:paraId="0605076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拟建公路202</w:t>
      </w:r>
      <w:r>
        <w:rPr>
          <w:rFonts w:hint="eastAsia" w:cs="Times New Roman"/>
          <w:color w:val="auto"/>
          <w:kern w:val="0"/>
          <w:sz w:val="24"/>
          <w:szCs w:val="24"/>
          <w:lang w:val="en-US" w:eastAsia="zh-CN" w:bidi="ar"/>
        </w:rPr>
        <w:t>8</w:t>
      </w:r>
      <w:r>
        <w:rPr>
          <w:rFonts w:hint="default" w:ascii="Times New Roman" w:hAnsi="Times New Roman" w:eastAsia="宋体" w:cs="Times New Roman"/>
          <w:color w:val="auto"/>
          <w:kern w:val="0"/>
          <w:sz w:val="24"/>
          <w:szCs w:val="24"/>
          <w:lang w:val="en-US" w:eastAsia="zh-CN" w:bidi="ar"/>
        </w:rPr>
        <w:t>年</w:t>
      </w:r>
      <w:r>
        <w:rPr>
          <w:rFonts w:hint="default" w:ascii="Times New Roman" w:hAnsi="Times New Roman" w:cs="Times New Roman"/>
          <w:color w:val="auto"/>
          <w:kern w:val="0"/>
          <w:sz w:val="24"/>
          <w:szCs w:val="24"/>
          <w:lang w:val="en-US" w:eastAsia="zh-CN" w:bidi="ar"/>
        </w:rPr>
        <w:t>4月</w:t>
      </w:r>
      <w:r>
        <w:rPr>
          <w:rFonts w:hint="default" w:ascii="Times New Roman" w:hAnsi="Times New Roman" w:eastAsia="宋体" w:cs="Times New Roman"/>
          <w:color w:val="auto"/>
          <w:kern w:val="0"/>
          <w:sz w:val="24"/>
          <w:szCs w:val="24"/>
          <w:lang w:val="en-US" w:eastAsia="zh-CN" w:bidi="ar"/>
        </w:rPr>
        <w:t>完工，故本公路预测评价年限规定为竣工投入营运初期（即预测特征年为202</w:t>
      </w:r>
      <w:r>
        <w:rPr>
          <w:rFonts w:hint="eastAsia" w:cs="Times New Roman"/>
          <w:color w:val="auto"/>
          <w:kern w:val="0"/>
          <w:sz w:val="24"/>
          <w:szCs w:val="24"/>
          <w:lang w:val="en-US" w:eastAsia="zh-CN" w:bidi="ar"/>
        </w:rPr>
        <w:t>8</w:t>
      </w:r>
      <w:r>
        <w:rPr>
          <w:rFonts w:hint="default" w:ascii="Times New Roman" w:hAnsi="Times New Roman" w:eastAsia="宋体" w:cs="Times New Roman"/>
          <w:color w:val="auto"/>
          <w:kern w:val="0"/>
          <w:sz w:val="24"/>
          <w:szCs w:val="24"/>
          <w:lang w:val="en-US" w:eastAsia="zh-CN" w:bidi="ar"/>
        </w:rPr>
        <w:t>年）、中期（即20</w:t>
      </w:r>
      <w:r>
        <w:rPr>
          <w:rFonts w:hint="default" w:ascii="Times New Roman" w:hAnsi="Times New Roman" w:cs="Times New Roman"/>
          <w:color w:val="auto"/>
          <w:kern w:val="0"/>
          <w:sz w:val="24"/>
          <w:szCs w:val="24"/>
          <w:lang w:val="en-US" w:eastAsia="zh-CN" w:bidi="ar"/>
        </w:rPr>
        <w:t>3</w:t>
      </w:r>
      <w:r>
        <w:rPr>
          <w:rFonts w:hint="eastAsia" w:cs="Times New Roman"/>
          <w:color w:val="auto"/>
          <w:kern w:val="0"/>
          <w:sz w:val="24"/>
          <w:szCs w:val="24"/>
          <w:lang w:val="en-US" w:eastAsia="zh-CN" w:bidi="ar"/>
        </w:rPr>
        <w:t>4</w:t>
      </w:r>
      <w:r>
        <w:rPr>
          <w:rFonts w:hint="default" w:ascii="Times New Roman" w:hAnsi="Times New Roman" w:eastAsia="宋体" w:cs="Times New Roman"/>
          <w:color w:val="auto"/>
          <w:kern w:val="0"/>
          <w:sz w:val="24"/>
          <w:szCs w:val="24"/>
          <w:lang w:val="en-US" w:eastAsia="zh-CN" w:bidi="ar"/>
        </w:rPr>
        <w:t>年）和远期（即20</w:t>
      </w:r>
      <w:r>
        <w:rPr>
          <w:rFonts w:hint="default" w:ascii="Times New Roman" w:hAnsi="Times New Roman" w:cs="Times New Roman"/>
          <w:color w:val="auto"/>
          <w:kern w:val="0"/>
          <w:sz w:val="24"/>
          <w:szCs w:val="24"/>
          <w:lang w:val="en-US" w:eastAsia="zh-CN" w:bidi="ar"/>
        </w:rPr>
        <w:t>4</w:t>
      </w:r>
      <w:r>
        <w:rPr>
          <w:rFonts w:hint="eastAsia"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年）定为预测评价年限。</w:t>
      </w:r>
    </w:p>
    <w:p w14:paraId="1F90509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（2）车速</w:t>
      </w:r>
    </w:p>
    <w:p w14:paraId="35E978B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行车速度按80km/h计。</w:t>
      </w:r>
    </w:p>
    <w:p w14:paraId="2EA21E9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（3）车型出行比例的确定</w:t>
      </w:r>
    </w:p>
    <w:p w14:paraId="4B77A64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根据工程可行性研究报告，拟建公路车型出行比见表5.3-</w:t>
      </w:r>
      <w:r>
        <w:rPr>
          <w:rFonts w:hint="eastAsia" w:cs="Times New Roman"/>
          <w:color w:val="auto"/>
          <w:kern w:val="0"/>
          <w:sz w:val="24"/>
          <w:szCs w:val="24"/>
          <w:lang w:val="en-US" w:eastAsia="zh-CN" w:bidi="ar"/>
        </w:rPr>
        <w:t>7</w:t>
      </w:r>
      <w:r>
        <w:rPr>
          <w:rFonts w:hint="default" w:ascii="Times New Roman" w:hAnsi="Times New Roman" w:eastAsia="宋体" w:cs="Times New Roman"/>
          <w:color w:val="auto"/>
          <w:kern w:val="0"/>
          <w:sz w:val="24"/>
          <w:szCs w:val="24"/>
          <w:lang w:val="en-US" w:eastAsia="zh-CN" w:bidi="ar"/>
        </w:rPr>
        <w:t>。</w:t>
      </w:r>
    </w:p>
    <w:p w14:paraId="5D4E70F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highlight w:val="none"/>
          <w:lang w:val="en-US" w:eastAsia="zh-CN" w:bidi="ar"/>
        </w:rPr>
        <w:t>表5.3-</w:t>
      </w:r>
      <w:r>
        <w:rPr>
          <w:rFonts w:hint="eastAsia" w:cs="Times New Roman"/>
          <w:b/>
          <w:bCs/>
          <w:color w:val="auto"/>
          <w:kern w:val="0"/>
          <w:sz w:val="21"/>
          <w:szCs w:val="21"/>
          <w:highlight w:val="none"/>
          <w:lang w:val="en-US" w:eastAsia="zh-CN" w:bidi="ar"/>
        </w:rPr>
        <w:t>7</w:t>
      </w:r>
      <w:r>
        <w:rPr>
          <w:rFonts w:hint="default" w:ascii="Times New Roman" w:hAnsi="Times New Roman" w:eastAsia="宋体" w:cs="Times New Roman"/>
          <w:b/>
          <w:bCs/>
          <w:color w:val="auto"/>
          <w:kern w:val="0"/>
          <w:sz w:val="21"/>
          <w:szCs w:val="21"/>
          <w:highlight w:val="none"/>
          <w:lang w:val="en-US" w:eastAsia="zh-CN" w:bidi="ar"/>
        </w:rPr>
        <w:t xml:space="preserve"> 各车</w:t>
      </w:r>
      <w:r>
        <w:rPr>
          <w:rFonts w:hint="default" w:ascii="Times New Roman" w:hAnsi="Times New Roman" w:eastAsia="宋体" w:cs="Times New Roman"/>
          <w:b/>
          <w:bCs/>
          <w:color w:val="auto"/>
          <w:kern w:val="0"/>
          <w:sz w:val="21"/>
          <w:szCs w:val="21"/>
          <w:lang w:val="en-US" w:eastAsia="zh-CN" w:bidi="ar"/>
        </w:rPr>
        <w:t>型出行所占比例</w:t>
      </w:r>
    </w:p>
    <w:tbl>
      <w:tblPr>
        <w:tblStyle w:val="31"/>
        <w:tblW w:w="83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2"/>
        <w:gridCol w:w="922"/>
        <w:gridCol w:w="1047"/>
        <w:gridCol w:w="1047"/>
        <w:gridCol w:w="1047"/>
        <w:gridCol w:w="1048"/>
        <w:gridCol w:w="1165"/>
        <w:gridCol w:w="931"/>
      </w:tblGrid>
      <w:tr w14:paraId="50DAB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2" w:type="dxa"/>
            <w:noWrap w:val="0"/>
            <w:vAlign w:val="center"/>
          </w:tcPr>
          <w:p w14:paraId="675B7B0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年份/车型</w:t>
            </w:r>
          </w:p>
        </w:tc>
        <w:tc>
          <w:tcPr>
            <w:tcW w:w="922" w:type="dxa"/>
            <w:noWrap w:val="0"/>
            <w:vAlign w:val="center"/>
          </w:tcPr>
          <w:p w14:paraId="086ABC7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小客</w:t>
            </w:r>
          </w:p>
        </w:tc>
        <w:tc>
          <w:tcPr>
            <w:tcW w:w="1047" w:type="dxa"/>
            <w:noWrap w:val="0"/>
            <w:vAlign w:val="center"/>
          </w:tcPr>
          <w:p w14:paraId="732987B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大客</w:t>
            </w:r>
          </w:p>
        </w:tc>
        <w:tc>
          <w:tcPr>
            <w:tcW w:w="1047" w:type="dxa"/>
            <w:noWrap w:val="0"/>
            <w:vAlign w:val="center"/>
          </w:tcPr>
          <w:p w14:paraId="4493014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小货</w:t>
            </w:r>
          </w:p>
        </w:tc>
        <w:tc>
          <w:tcPr>
            <w:tcW w:w="1047" w:type="dxa"/>
            <w:noWrap w:val="0"/>
            <w:vAlign w:val="center"/>
          </w:tcPr>
          <w:p w14:paraId="2846EF4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中货</w:t>
            </w:r>
          </w:p>
        </w:tc>
        <w:tc>
          <w:tcPr>
            <w:tcW w:w="1048" w:type="dxa"/>
            <w:noWrap w:val="0"/>
            <w:vAlign w:val="center"/>
          </w:tcPr>
          <w:p w14:paraId="78FBA0F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大货</w:t>
            </w:r>
          </w:p>
        </w:tc>
        <w:tc>
          <w:tcPr>
            <w:tcW w:w="1165" w:type="dxa"/>
            <w:noWrap w:val="0"/>
            <w:vAlign w:val="center"/>
          </w:tcPr>
          <w:p w14:paraId="5397858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汽车列车</w:t>
            </w:r>
          </w:p>
        </w:tc>
        <w:tc>
          <w:tcPr>
            <w:tcW w:w="931" w:type="dxa"/>
            <w:noWrap w:val="0"/>
            <w:vAlign w:val="center"/>
          </w:tcPr>
          <w:p w14:paraId="69C492D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合计</w:t>
            </w:r>
          </w:p>
        </w:tc>
      </w:tr>
      <w:tr w14:paraId="79E0A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2" w:type="dxa"/>
            <w:noWrap w:val="0"/>
            <w:vAlign w:val="center"/>
          </w:tcPr>
          <w:p w14:paraId="32F96D8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202</w:t>
            </w:r>
            <w:r>
              <w:rPr>
                <w:rFonts w:hint="default" w:ascii="Times New Roman" w:hAnsi="Times New Roman" w:cs="Times New Roman"/>
                <w:color w:val="auto"/>
                <w:kern w:val="0"/>
                <w:sz w:val="21"/>
                <w:szCs w:val="21"/>
                <w:lang w:val="en-US" w:eastAsia="zh-CN" w:bidi="ar"/>
              </w:rPr>
              <w:t>8</w:t>
            </w:r>
            <w:r>
              <w:rPr>
                <w:rFonts w:hint="default" w:ascii="Times New Roman" w:hAnsi="Times New Roman" w:eastAsia="宋体" w:cs="Times New Roman"/>
                <w:color w:val="auto"/>
                <w:kern w:val="0"/>
                <w:sz w:val="21"/>
                <w:szCs w:val="21"/>
                <w:lang w:val="en-US" w:eastAsia="zh-CN" w:bidi="ar"/>
              </w:rPr>
              <w:t>年</w:t>
            </w:r>
          </w:p>
        </w:tc>
        <w:tc>
          <w:tcPr>
            <w:tcW w:w="922" w:type="dxa"/>
            <w:shd w:val="clear" w:color="auto" w:fill="auto"/>
            <w:noWrap w:val="0"/>
            <w:vAlign w:val="center"/>
          </w:tcPr>
          <w:p w14:paraId="7555EEDB">
            <w:pPr>
              <w:spacing w:beforeLines="0" w:afterLines="0" w:line="240" w:lineRule="auto"/>
              <w:ind w:firstLine="0" w:firstLineChars="0"/>
              <w:jc w:val="center"/>
              <w:rPr>
                <w:rFonts w:hint="default" w:ascii="Times New Roman" w:hAnsi="Times New Roman" w:eastAsia="宋体" w:cs="Times New Roman"/>
                <w:b/>
                <w:color w:val="auto"/>
                <w:kern w:val="0"/>
                <w:sz w:val="21"/>
                <w:szCs w:val="21"/>
                <w:lang w:val="en-US" w:eastAsia="zh-CN" w:bidi="ar"/>
              </w:rPr>
            </w:pPr>
            <w:r>
              <w:rPr>
                <w:rFonts w:hint="eastAsia"/>
                <w:color w:val="auto"/>
                <w:kern w:val="0"/>
                <w:sz w:val="21"/>
                <w:szCs w:val="21"/>
                <w:lang w:bidi="ar"/>
              </w:rPr>
              <w:t>88.59%</w:t>
            </w:r>
          </w:p>
        </w:tc>
        <w:tc>
          <w:tcPr>
            <w:tcW w:w="1047" w:type="dxa"/>
            <w:shd w:val="clear" w:color="auto" w:fill="auto"/>
            <w:noWrap w:val="0"/>
            <w:vAlign w:val="center"/>
          </w:tcPr>
          <w:p w14:paraId="58766901">
            <w:pPr>
              <w:spacing w:beforeLines="0" w:afterLines="0" w:line="240" w:lineRule="auto"/>
              <w:ind w:firstLine="0" w:firstLineChars="0"/>
              <w:jc w:val="center"/>
              <w:rPr>
                <w:rFonts w:hint="default" w:ascii="Times New Roman" w:hAnsi="Times New Roman" w:eastAsia="宋体" w:cs="Times New Roman"/>
                <w:b/>
                <w:color w:val="auto"/>
                <w:kern w:val="0"/>
                <w:sz w:val="21"/>
                <w:szCs w:val="21"/>
                <w:lang w:val="en-US" w:eastAsia="zh-CN" w:bidi="ar"/>
              </w:rPr>
            </w:pPr>
            <w:r>
              <w:rPr>
                <w:rFonts w:hint="eastAsia"/>
                <w:color w:val="auto"/>
                <w:kern w:val="0"/>
                <w:sz w:val="21"/>
                <w:szCs w:val="21"/>
                <w:lang w:bidi="ar"/>
              </w:rPr>
              <w:t>2.02%</w:t>
            </w:r>
          </w:p>
        </w:tc>
        <w:tc>
          <w:tcPr>
            <w:tcW w:w="1047" w:type="dxa"/>
            <w:shd w:val="clear" w:color="auto" w:fill="auto"/>
            <w:noWrap w:val="0"/>
            <w:vAlign w:val="center"/>
          </w:tcPr>
          <w:p w14:paraId="5ED9E7B1">
            <w:pPr>
              <w:spacing w:beforeLines="0" w:afterLines="0" w:line="240" w:lineRule="auto"/>
              <w:ind w:firstLine="0" w:firstLineChars="0"/>
              <w:jc w:val="center"/>
              <w:rPr>
                <w:rFonts w:hint="default" w:ascii="Times New Roman" w:hAnsi="Times New Roman" w:eastAsia="宋体" w:cs="Times New Roman"/>
                <w:b/>
                <w:color w:val="auto"/>
                <w:kern w:val="0"/>
                <w:sz w:val="21"/>
                <w:szCs w:val="21"/>
                <w:lang w:val="en-US" w:eastAsia="zh-CN" w:bidi="ar"/>
              </w:rPr>
            </w:pPr>
            <w:r>
              <w:rPr>
                <w:rFonts w:hint="eastAsia"/>
                <w:color w:val="auto"/>
                <w:kern w:val="0"/>
                <w:sz w:val="21"/>
                <w:szCs w:val="21"/>
                <w:lang w:bidi="ar"/>
              </w:rPr>
              <w:t>4.36%</w:t>
            </w:r>
          </w:p>
        </w:tc>
        <w:tc>
          <w:tcPr>
            <w:tcW w:w="1047" w:type="dxa"/>
            <w:shd w:val="clear" w:color="auto" w:fill="auto"/>
            <w:noWrap w:val="0"/>
            <w:vAlign w:val="center"/>
          </w:tcPr>
          <w:p w14:paraId="38B46BA3">
            <w:pPr>
              <w:spacing w:beforeLines="0" w:afterLines="0" w:line="240" w:lineRule="auto"/>
              <w:ind w:firstLine="0" w:firstLineChars="0"/>
              <w:jc w:val="center"/>
              <w:rPr>
                <w:rFonts w:hint="default" w:ascii="Times New Roman" w:hAnsi="Times New Roman" w:eastAsia="宋体" w:cs="Times New Roman"/>
                <w:b/>
                <w:color w:val="auto"/>
                <w:kern w:val="0"/>
                <w:sz w:val="21"/>
                <w:szCs w:val="21"/>
                <w:lang w:val="en-US" w:eastAsia="zh-CN" w:bidi="ar"/>
              </w:rPr>
            </w:pPr>
            <w:r>
              <w:rPr>
                <w:rFonts w:hint="eastAsia"/>
                <w:color w:val="auto"/>
                <w:kern w:val="0"/>
                <w:sz w:val="21"/>
                <w:szCs w:val="21"/>
                <w:lang w:bidi="ar"/>
              </w:rPr>
              <w:t>1.86%</w:t>
            </w:r>
          </w:p>
        </w:tc>
        <w:tc>
          <w:tcPr>
            <w:tcW w:w="1048" w:type="dxa"/>
            <w:shd w:val="clear" w:color="auto" w:fill="auto"/>
            <w:noWrap w:val="0"/>
            <w:vAlign w:val="center"/>
          </w:tcPr>
          <w:p w14:paraId="1CA6E3E3">
            <w:pPr>
              <w:spacing w:beforeLines="0" w:afterLines="0" w:line="240" w:lineRule="auto"/>
              <w:ind w:firstLine="0" w:firstLineChars="0"/>
              <w:jc w:val="center"/>
              <w:rPr>
                <w:rFonts w:hint="default" w:ascii="Times New Roman" w:hAnsi="Times New Roman" w:eastAsia="宋体" w:cs="Times New Roman"/>
                <w:b/>
                <w:color w:val="auto"/>
                <w:kern w:val="0"/>
                <w:sz w:val="21"/>
                <w:szCs w:val="21"/>
                <w:lang w:val="en-US" w:eastAsia="zh-CN" w:bidi="ar"/>
              </w:rPr>
            </w:pPr>
            <w:r>
              <w:rPr>
                <w:rFonts w:hint="eastAsia"/>
                <w:color w:val="auto"/>
                <w:kern w:val="0"/>
                <w:sz w:val="21"/>
                <w:szCs w:val="21"/>
                <w:lang w:bidi="ar"/>
              </w:rPr>
              <w:t>1.55%</w:t>
            </w:r>
          </w:p>
        </w:tc>
        <w:tc>
          <w:tcPr>
            <w:tcW w:w="1165" w:type="dxa"/>
            <w:shd w:val="clear" w:color="auto" w:fill="auto"/>
            <w:noWrap w:val="0"/>
            <w:vAlign w:val="center"/>
          </w:tcPr>
          <w:p w14:paraId="6CAB49FD">
            <w:pPr>
              <w:spacing w:beforeLines="0" w:afterLines="0" w:line="240" w:lineRule="auto"/>
              <w:ind w:firstLine="0" w:firstLineChars="0"/>
              <w:jc w:val="center"/>
              <w:rPr>
                <w:rFonts w:hint="default" w:ascii="Times New Roman" w:hAnsi="Times New Roman" w:eastAsia="宋体" w:cs="Times New Roman"/>
                <w:b/>
                <w:color w:val="auto"/>
                <w:kern w:val="0"/>
                <w:sz w:val="21"/>
                <w:szCs w:val="21"/>
                <w:lang w:val="en-US" w:eastAsia="zh-CN" w:bidi="ar"/>
              </w:rPr>
            </w:pPr>
            <w:r>
              <w:rPr>
                <w:rFonts w:hint="eastAsia"/>
                <w:color w:val="auto"/>
                <w:kern w:val="0"/>
                <w:sz w:val="21"/>
                <w:szCs w:val="21"/>
                <w:lang w:bidi="ar"/>
              </w:rPr>
              <w:t>1.62%</w:t>
            </w:r>
          </w:p>
        </w:tc>
        <w:tc>
          <w:tcPr>
            <w:tcW w:w="931" w:type="dxa"/>
            <w:shd w:val="clear" w:color="auto" w:fill="auto"/>
            <w:noWrap w:val="0"/>
            <w:vAlign w:val="center"/>
          </w:tcPr>
          <w:p w14:paraId="682653A3">
            <w:pPr>
              <w:spacing w:beforeLines="0" w:afterLines="0" w:line="240" w:lineRule="auto"/>
              <w:ind w:firstLine="0" w:firstLineChars="0"/>
              <w:jc w:val="center"/>
              <w:rPr>
                <w:rFonts w:hint="default" w:ascii="Times New Roman" w:hAnsi="Times New Roman" w:eastAsia="宋体" w:cs="Times New Roman"/>
                <w:b/>
                <w:color w:val="auto"/>
                <w:kern w:val="0"/>
                <w:sz w:val="21"/>
                <w:szCs w:val="21"/>
                <w:lang w:val="en-US" w:eastAsia="zh-CN" w:bidi="ar"/>
              </w:rPr>
            </w:pPr>
            <w:r>
              <w:rPr>
                <w:rFonts w:hint="eastAsia"/>
                <w:color w:val="auto"/>
                <w:kern w:val="0"/>
                <w:sz w:val="21"/>
                <w:szCs w:val="21"/>
                <w:lang w:bidi="ar"/>
              </w:rPr>
              <w:t>100%</w:t>
            </w:r>
          </w:p>
        </w:tc>
      </w:tr>
      <w:tr w14:paraId="679F2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2" w:type="dxa"/>
            <w:noWrap w:val="0"/>
            <w:vAlign w:val="center"/>
          </w:tcPr>
          <w:p w14:paraId="2D97360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20</w:t>
            </w:r>
            <w:r>
              <w:rPr>
                <w:rFonts w:hint="eastAsia" w:cs="Times New Roman"/>
                <w:color w:val="auto"/>
                <w:kern w:val="0"/>
                <w:sz w:val="21"/>
                <w:szCs w:val="21"/>
                <w:lang w:val="en-US" w:eastAsia="zh-CN" w:bidi="ar"/>
              </w:rPr>
              <w:t>34</w:t>
            </w:r>
            <w:r>
              <w:rPr>
                <w:rFonts w:hint="default" w:ascii="Times New Roman" w:hAnsi="Times New Roman" w:eastAsia="宋体" w:cs="Times New Roman"/>
                <w:color w:val="auto"/>
                <w:kern w:val="0"/>
                <w:sz w:val="21"/>
                <w:szCs w:val="21"/>
                <w:lang w:val="en-US" w:eastAsia="zh-CN" w:bidi="ar"/>
              </w:rPr>
              <w:t>年</w:t>
            </w:r>
          </w:p>
        </w:tc>
        <w:tc>
          <w:tcPr>
            <w:tcW w:w="922" w:type="dxa"/>
            <w:shd w:val="clear" w:color="auto" w:fill="auto"/>
            <w:noWrap w:val="0"/>
            <w:vAlign w:val="center"/>
          </w:tcPr>
          <w:p w14:paraId="12A47BB9">
            <w:pPr>
              <w:spacing w:beforeLines="0" w:afterLines="0" w:line="240" w:lineRule="auto"/>
              <w:ind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color w:val="auto"/>
                <w:kern w:val="0"/>
                <w:sz w:val="21"/>
                <w:szCs w:val="21"/>
                <w:lang w:bidi="ar"/>
              </w:rPr>
              <w:t>87.71%</w:t>
            </w:r>
          </w:p>
        </w:tc>
        <w:tc>
          <w:tcPr>
            <w:tcW w:w="1047" w:type="dxa"/>
            <w:shd w:val="clear" w:color="auto" w:fill="auto"/>
            <w:noWrap w:val="0"/>
            <w:vAlign w:val="center"/>
          </w:tcPr>
          <w:p w14:paraId="0A5645A2">
            <w:pPr>
              <w:spacing w:beforeLines="0" w:afterLines="0" w:line="240" w:lineRule="auto"/>
              <w:ind w:firstLine="0" w:firstLineChars="0"/>
              <w:jc w:val="center"/>
              <w:rPr>
                <w:rFonts w:hint="default" w:ascii="Times New Roman" w:hAnsi="Times New Roman" w:eastAsia="宋体" w:cs="Times New Roman"/>
                <w:b/>
                <w:color w:val="auto"/>
                <w:kern w:val="0"/>
                <w:sz w:val="21"/>
                <w:szCs w:val="21"/>
                <w:lang w:val="en-US" w:eastAsia="zh-CN" w:bidi="ar"/>
              </w:rPr>
            </w:pPr>
            <w:r>
              <w:rPr>
                <w:rFonts w:hint="eastAsia"/>
                <w:color w:val="auto"/>
                <w:kern w:val="0"/>
                <w:sz w:val="21"/>
                <w:szCs w:val="21"/>
                <w:lang w:bidi="ar"/>
              </w:rPr>
              <w:t>1.41%</w:t>
            </w:r>
          </w:p>
        </w:tc>
        <w:tc>
          <w:tcPr>
            <w:tcW w:w="1047" w:type="dxa"/>
            <w:shd w:val="clear" w:color="auto" w:fill="auto"/>
            <w:noWrap w:val="0"/>
            <w:vAlign w:val="center"/>
          </w:tcPr>
          <w:p w14:paraId="799FB444">
            <w:pPr>
              <w:spacing w:beforeLines="0" w:afterLines="0" w:line="240" w:lineRule="auto"/>
              <w:ind w:firstLine="0" w:firstLineChars="0"/>
              <w:jc w:val="center"/>
              <w:rPr>
                <w:rFonts w:hint="default" w:ascii="Times New Roman" w:hAnsi="Times New Roman" w:eastAsia="宋体" w:cs="Times New Roman"/>
                <w:b/>
                <w:color w:val="auto"/>
                <w:kern w:val="0"/>
                <w:sz w:val="21"/>
                <w:szCs w:val="21"/>
                <w:lang w:val="en-US" w:eastAsia="zh-CN" w:bidi="ar"/>
              </w:rPr>
            </w:pPr>
            <w:r>
              <w:rPr>
                <w:rFonts w:hint="eastAsia"/>
                <w:color w:val="auto"/>
                <w:kern w:val="0"/>
                <w:sz w:val="21"/>
                <w:szCs w:val="21"/>
                <w:lang w:bidi="ar"/>
              </w:rPr>
              <w:t>4.50%</w:t>
            </w:r>
          </w:p>
        </w:tc>
        <w:tc>
          <w:tcPr>
            <w:tcW w:w="1047" w:type="dxa"/>
            <w:shd w:val="clear" w:color="auto" w:fill="auto"/>
            <w:noWrap w:val="0"/>
            <w:vAlign w:val="center"/>
          </w:tcPr>
          <w:p w14:paraId="11280A55">
            <w:pPr>
              <w:spacing w:beforeLines="0" w:afterLines="0" w:line="240" w:lineRule="auto"/>
              <w:ind w:firstLine="0" w:firstLineChars="0"/>
              <w:jc w:val="center"/>
              <w:rPr>
                <w:rFonts w:hint="default" w:ascii="Times New Roman" w:hAnsi="Times New Roman" w:eastAsia="宋体" w:cs="Times New Roman"/>
                <w:b/>
                <w:color w:val="auto"/>
                <w:kern w:val="0"/>
                <w:sz w:val="21"/>
                <w:szCs w:val="21"/>
                <w:lang w:val="en-US" w:eastAsia="zh-CN" w:bidi="ar"/>
              </w:rPr>
            </w:pPr>
            <w:r>
              <w:rPr>
                <w:rFonts w:hint="eastAsia"/>
                <w:color w:val="auto"/>
                <w:kern w:val="0"/>
                <w:sz w:val="21"/>
                <w:szCs w:val="21"/>
                <w:lang w:bidi="ar"/>
              </w:rPr>
              <w:t>1.94%</w:t>
            </w:r>
          </w:p>
        </w:tc>
        <w:tc>
          <w:tcPr>
            <w:tcW w:w="1048" w:type="dxa"/>
            <w:shd w:val="clear" w:color="auto" w:fill="auto"/>
            <w:noWrap w:val="0"/>
            <w:vAlign w:val="center"/>
          </w:tcPr>
          <w:p w14:paraId="14B4D251">
            <w:pPr>
              <w:spacing w:beforeLines="0" w:afterLines="0" w:line="240" w:lineRule="auto"/>
              <w:ind w:firstLine="0" w:firstLineChars="0"/>
              <w:jc w:val="center"/>
              <w:rPr>
                <w:rFonts w:hint="default" w:ascii="Times New Roman" w:hAnsi="Times New Roman" w:eastAsia="宋体" w:cs="Times New Roman"/>
                <w:b/>
                <w:color w:val="auto"/>
                <w:kern w:val="0"/>
                <w:sz w:val="21"/>
                <w:szCs w:val="21"/>
                <w:lang w:val="en-US" w:eastAsia="zh-CN" w:bidi="ar"/>
              </w:rPr>
            </w:pPr>
            <w:r>
              <w:rPr>
                <w:rFonts w:hint="eastAsia"/>
                <w:color w:val="auto"/>
                <w:kern w:val="0"/>
                <w:sz w:val="21"/>
                <w:szCs w:val="21"/>
                <w:lang w:bidi="ar"/>
              </w:rPr>
              <w:t>1.81%</w:t>
            </w:r>
          </w:p>
        </w:tc>
        <w:tc>
          <w:tcPr>
            <w:tcW w:w="1165" w:type="dxa"/>
            <w:shd w:val="clear" w:color="auto" w:fill="auto"/>
            <w:noWrap w:val="0"/>
            <w:vAlign w:val="center"/>
          </w:tcPr>
          <w:p w14:paraId="5AB57E30">
            <w:pPr>
              <w:spacing w:beforeLines="0" w:afterLines="0" w:line="240" w:lineRule="auto"/>
              <w:ind w:firstLine="0" w:firstLineChars="0"/>
              <w:jc w:val="center"/>
              <w:rPr>
                <w:rFonts w:hint="default" w:ascii="Times New Roman" w:hAnsi="Times New Roman" w:eastAsia="宋体" w:cs="Times New Roman"/>
                <w:b/>
                <w:color w:val="auto"/>
                <w:kern w:val="0"/>
                <w:sz w:val="21"/>
                <w:szCs w:val="21"/>
                <w:lang w:val="en-US" w:eastAsia="zh-CN" w:bidi="ar"/>
              </w:rPr>
            </w:pPr>
            <w:r>
              <w:rPr>
                <w:rFonts w:hint="eastAsia"/>
                <w:color w:val="auto"/>
                <w:kern w:val="0"/>
                <w:sz w:val="21"/>
                <w:szCs w:val="21"/>
                <w:lang w:bidi="ar"/>
              </w:rPr>
              <w:t>2.63%</w:t>
            </w:r>
          </w:p>
        </w:tc>
        <w:tc>
          <w:tcPr>
            <w:tcW w:w="931" w:type="dxa"/>
            <w:shd w:val="clear" w:color="auto" w:fill="auto"/>
            <w:noWrap w:val="0"/>
            <w:vAlign w:val="center"/>
          </w:tcPr>
          <w:p w14:paraId="64D2379E">
            <w:pPr>
              <w:spacing w:beforeLines="0" w:afterLines="0" w:line="240" w:lineRule="auto"/>
              <w:ind w:firstLine="0" w:firstLineChars="0"/>
              <w:jc w:val="center"/>
              <w:rPr>
                <w:rFonts w:hint="default" w:ascii="Times New Roman" w:hAnsi="Times New Roman" w:eastAsia="宋体" w:cs="Times New Roman"/>
                <w:b/>
                <w:color w:val="auto"/>
                <w:kern w:val="0"/>
                <w:sz w:val="21"/>
                <w:szCs w:val="21"/>
                <w:lang w:val="en-US" w:eastAsia="zh-CN" w:bidi="ar"/>
              </w:rPr>
            </w:pPr>
            <w:r>
              <w:rPr>
                <w:rFonts w:hint="eastAsia"/>
                <w:color w:val="auto"/>
                <w:kern w:val="0"/>
                <w:sz w:val="21"/>
                <w:szCs w:val="21"/>
                <w:lang w:bidi="ar"/>
              </w:rPr>
              <w:t>100%</w:t>
            </w:r>
          </w:p>
        </w:tc>
      </w:tr>
      <w:tr w14:paraId="690B2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2" w:type="dxa"/>
            <w:noWrap w:val="0"/>
            <w:vAlign w:val="center"/>
          </w:tcPr>
          <w:p w14:paraId="525E5FC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20</w:t>
            </w:r>
            <w:r>
              <w:rPr>
                <w:rFonts w:hint="eastAsia" w:cs="Times New Roman"/>
                <w:color w:val="auto"/>
                <w:kern w:val="0"/>
                <w:sz w:val="21"/>
                <w:szCs w:val="21"/>
                <w:lang w:val="en-US" w:eastAsia="zh-CN" w:bidi="ar"/>
              </w:rPr>
              <w:t>42</w:t>
            </w:r>
            <w:r>
              <w:rPr>
                <w:rFonts w:hint="default" w:ascii="Times New Roman" w:hAnsi="Times New Roman" w:eastAsia="宋体" w:cs="Times New Roman"/>
                <w:color w:val="auto"/>
                <w:kern w:val="0"/>
                <w:sz w:val="21"/>
                <w:szCs w:val="21"/>
                <w:lang w:val="en-US" w:eastAsia="zh-CN" w:bidi="ar"/>
              </w:rPr>
              <w:t>年</w:t>
            </w:r>
          </w:p>
        </w:tc>
        <w:tc>
          <w:tcPr>
            <w:tcW w:w="922" w:type="dxa"/>
            <w:shd w:val="clear" w:color="auto" w:fill="auto"/>
            <w:noWrap w:val="0"/>
            <w:vAlign w:val="center"/>
          </w:tcPr>
          <w:p w14:paraId="136BA2F2">
            <w:pPr>
              <w:spacing w:beforeLines="0" w:afterLines="0" w:line="240" w:lineRule="auto"/>
              <w:ind w:firstLine="0" w:firstLineChars="0"/>
              <w:jc w:val="center"/>
              <w:rPr>
                <w:rFonts w:hint="default" w:ascii="Times New Roman" w:hAnsi="Times New Roman" w:eastAsia="宋体" w:cs="Times New Roman"/>
                <w:b/>
                <w:color w:val="auto"/>
                <w:kern w:val="0"/>
                <w:sz w:val="21"/>
                <w:szCs w:val="21"/>
                <w:lang w:val="en-US" w:eastAsia="zh-CN" w:bidi="ar"/>
              </w:rPr>
            </w:pPr>
            <w:r>
              <w:rPr>
                <w:rFonts w:hint="eastAsia"/>
                <w:color w:val="auto"/>
                <w:kern w:val="0"/>
                <w:sz w:val="21"/>
                <w:szCs w:val="21"/>
                <w:lang w:bidi="ar"/>
              </w:rPr>
              <w:t>86.67%</w:t>
            </w:r>
          </w:p>
        </w:tc>
        <w:tc>
          <w:tcPr>
            <w:tcW w:w="1047" w:type="dxa"/>
            <w:shd w:val="clear" w:color="auto" w:fill="auto"/>
            <w:noWrap w:val="0"/>
            <w:vAlign w:val="center"/>
          </w:tcPr>
          <w:p w14:paraId="67C9568F">
            <w:pPr>
              <w:spacing w:beforeLines="0" w:afterLines="0" w:line="240" w:lineRule="auto"/>
              <w:ind w:firstLine="0" w:firstLineChars="0"/>
              <w:jc w:val="center"/>
              <w:rPr>
                <w:rFonts w:hint="default" w:ascii="Times New Roman" w:hAnsi="Times New Roman" w:eastAsia="宋体" w:cs="Times New Roman"/>
                <w:b/>
                <w:color w:val="auto"/>
                <w:kern w:val="0"/>
                <w:sz w:val="21"/>
                <w:szCs w:val="21"/>
                <w:lang w:val="en-US" w:eastAsia="zh-CN" w:bidi="ar"/>
              </w:rPr>
            </w:pPr>
            <w:r>
              <w:rPr>
                <w:rFonts w:hint="eastAsia"/>
                <w:color w:val="auto"/>
                <w:kern w:val="0"/>
                <w:sz w:val="21"/>
                <w:szCs w:val="21"/>
                <w:lang w:bidi="ar"/>
              </w:rPr>
              <w:t>1.02%</w:t>
            </w:r>
          </w:p>
        </w:tc>
        <w:tc>
          <w:tcPr>
            <w:tcW w:w="1047" w:type="dxa"/>
            <w:shd w:val="clear" w:color="auto" w:fill="auto"/>
            <w:noWrap w:val="0"/>
            <w:vAlign w:val="center"/>
          </w:tcPr>
          <w:p w14:paraId="509A0151">
            <w:pPr>
              <w:spacing w:beforeLines="0" w:afterLines="0" w:line="240" w:lineRule="auto"/>
              <w:ind w:firstLine="0" w:firstLineChars="0"/>
              <w:jc w:val="center"/>
              <w:rPr>
                <w:rFonts w:hint="default" w:ascii="Times New Roman" w:hAnsi="Times New Roman" w:eastAsia="宋体" w:cs="Times New Roman"/>
                <w:b/>
                <w:color w:val="auto"/>
                <w:kern w:val="0"/>
                <w:sz w:val="21"/>
                <w:szCs w:val="21"/>
                <w:lang w:val="en-US" w:eastAsia="zh-CN" w:bidi="ar"/>
              </w:rPr>
            </w:pPr>
            <w:r>
              <w:rPr>
                <w:rFonts w:hint="eastAsia"/>
                <w:color w:val="auto"/>
                <w:kern w:val="0"/>
                <w:sz w:val="21"/>
                <w:szCs w:val="21"/>
                <w:lang w:bidi="ar"/>
              </w:rPr>
              <w:t>4.71%</w:t>
            </w:r>
          </w:p>
        </w:tc>
        <w:tc>
          <w:tcPr>
            <w:tcW w:w="1047" w:type="dxa"/>
            <w:shd w:val="clear" w:color="auto" w:fill="auto"/>
            <w:noWrap w:val="0"/>
            <w:vAlign w:val="center"/>
          </w:tcPr>
          <w:p w14:paraId="0663C2F5">
            <w:pPr>
              <w:spacing w:beforeLines="0" w:afterLines="0" w:line="240" w:lineRule="auto"/>
              <w:ind w:firstLine="0" w:firstLineChars="0"/>
              <w:jc w:val="center"/>
              <w:rPr>
                <w:rFonts w:hint="default" w:ascii="Times New Roman" w:hAnsi="Times New Roman" w:eastAsia="宋体" w:cs="Times New Roman"/>
                <w:b/>
                <w:color w:val="auto"/>
                <w:kern w:val="0"/>
                <w:sz w:val="21"/>
                <w:szCs w:val="21"/>
                <w:lang w:val="en-US" w:eastAsia="zh-CN" w:bidi="ar"/>
              </w:rPr>
            </w:pPr>
            <w:r>
              <w:rPr>
                <w:rFonts w:hint="eastAsia"/>
                <w:color w:val="auto"/>
                <w:kern w:val="0"/>
                <w:sz w:val="21"/>
                <w:szCs w:val="21"/>
                <w:lang w:bidi="ar"/>
              </w:rPr>
              <w:t>2.25%</w:t>
            </w:r>
          </w:p>
        </w:tc>
        <w:tc>
          <w:tcPr>
            <w:tcW w:w="1048" w:type="dxa"/>
            <w:shd w:val="clear" w:color="auto" w:fill="auto"/>
            <w:noWrap w:val="0"/>
            <w:vAlign w:val="center"/>
          </w:tcPr>
          <w:p w14:paraId="6B8857E2">
            <w:pPr>
              <w:spacing w:beforeLines="0" w:afterLines="0" w:line="240" w:lineRule="auto"/>
              <w:ind w:firstLine="0" w:firstLineChars="0"/>
              <w:jc w:val="center"/>
              <w:rPr>
                <w:rFonts w:hint="default" w:ascii="Times New Roman" w:hAnsi="Times New Roman" w:eastAsia="宋体" w:cs="Times New Roman"/>
                <w:b/>
                <w:color w:val="auto"/>
                <w:kern w:val="0"/>
                <w:sz w:val="21"/>
                <w:szCs w:val="21"/>
                <w:lang w:val="en-US" w:eastAsia="zh-CN" w:bidi="ar"/>
              </w:rPr>
            </w:pPr>
            <w:r>
              <w:rPr>
                <w:rFonts w:hint="eastAsia"/>
                <w:color w:val="auto"/>
                <w:kern w:val="0"/>
                <w:sz w:val="21"/>
                <w:szCs w:val="21"/>
                <w:lang w:bidi="ar"/>
              </w:rPr>
              <w:t>1.93%</w:t>
            </w:r>
          </w:p>
        </w:tc>
        <w:tc>
          <w:tcPr>
            <w:tcW w:w="1165" w:type="dxa"/>
            <w:shd w:val="clear" w:color="auto" w:fill="auto"/>
            <w:noWrap w:val="0"/>
            <w:vAlign w:val="center"/>
          </w:tcPr>
          <w:p w14:paraId="32EE0800">
            <w:pPr>
              <w:spacing w:beforeLines="0" w:afterLines="0" w:line="240" w:lineRule="auto"/>
              <w:ind w:firstLine="0" w:firstLineChars="0"/>
              <w:jc w:val="center"/>
              <w:rPr>
                <w:rFonts w:hint="default" w:ascii="Times New Roman" w:hAnsi="Times New Roman" w:eastAsia="宋体" w:cs="Times New Roman"/>
                <w:b/>
                <w:color w:val="auto"/>
                <w:kern w:val="0"/>
                <w:sz w:val="21"/>
                <w:szCs w:val="21"/>
                <w:lang w:val="en-US" w:eastAsia="zh-CN" w:bidi="ar"/>
              </w:rPr>
            </w:pPr>
            <w:r>
              <w:rPr>
                <w:rFonts w:hint="eastAsia"/>
                <w:color w:val="auto"/>
                <w:kern w:val="0"/>
                <w:sz w:val="21"/>
                <w:szCs w:val="21"/>
                <w:lang w:bidi="ar"/>
              </w:rPr>
              <w:t>3.42%</w:t>
            </w:r>
          </w:p>
        </w:tc>
        <w:tc>
          <w:tcPr>
            <w:tcW w:w="931" w:type="dxa"/>
            <w:shd w:val="clear" w:color="auto" w:fill="auto"/>
            <w:noWrap w:val="0"/>
            <w:vAlign w:val="center"/>
          </w:tcPr>
          <w:p w14:paraId="2297D9A4">
            <w:pPr>
              <w:spacing w:beforeLines="0" w:afterLines="0" w:line="240" w:lineRule="auto"/>
              <w:ind w:firstLine="0" w:firstLineChars="0"/>
              <w:jc w:val="center"/>
              <w:rPr>
                <w:rFonts w:hint="default" w:ascii="Times New Roman" w:hAnsi="Times New Roman" w:eastAsia="宋体" w:cs="Times New Roman"/>
                <w:b/>
                <w:color w:val="auto"/>
                <w:kern w:val="0"/>
                <w:sz w:val="21"/>
                <w:szCs w:val="21"/>
                <w:lang w:val="en-US" w:eastAsia="zh-CN" w:bidi="ar"/>
              </w:rPr>
            </w:pPr>
            <w:r>
              <w:rPr>
                <w:rFonts w:hint="eastAsia"/>
                <w:color w:val="auto"/>
                <w:kern w:val="0"/>
                <w:sz w:val="21"/>
                <w:szCs w:val="21"/>
                <w:lang w:bidi="ar"/>
              </w:rPr>
              <w:t>100%</w:t>
            </w:r>
          </w:p>
        </w:tc>
      </w:tr>
    </w:tbl>
    <w:p w14:paraId="1DE48324">
      <w:pPr>
        <w:keepNext w:val="0"/>
        <w:keepLines w:val="0"/>
        <w:pageBreakBefore w:val="0"/>
        <w:widowControl/>
        <w:suppressLineNumbers w:val="0"/>
        <w:kinsoku/>
        <w:wordWrap/>
        <w:overflowPunct/>
        <w:topLinePunct w:val="0"/>
        <w:autoSpaceDE/>
        <w:autoSpaceDN/>
        <w:bidi w:val="0"/>
        <w:adjustRightInd w:val="0"/>
        <w:snapToGrid w:val="0"/>
        <w:spacing w:before="157" w:beforeLines="5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（4）昼夜比的确定</w:t>
      </w:r>
    </w:p>
    <w:p w14:paraId="497BEB3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根据工可单位对地区交通量调查，拟建公路昼间系数为0.70。</w:t>
      </w:r>
    </w:p>
    <w:p w14:paraId="48BD523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（5）日车流量</w:t>
      </w:r>
    </w:p>
    <w:p w14:paraId="7CFEC79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根据工程可行性研究报告，拟建公路交通量预测值，见表5.3-</w:t>
      </w:r>
      <w:r>
        <w:rPr>
          <w:rFonts w:hint="eastAsia" w:cs="Times New Roman"/>
          <w:color w:val="auto"/>
          <w:kern w:val="0"/>
          <w:sz w:val="24"/>
          <w:szCs w:val="24"/>
          <w:lang w:val="en-US" w:eastAsia="zh-CN" w:bidi="ar"/>
        </w:rPr>
        <w:t>8</w:t>
      </w:r>
      <w:r>
        <w:rPr>
          <w:rFonts w:hint="default" w:ascii="Times New Roman" w:hAnsi="Times New Roman" w:eastAsia="宋体" w:cs="Times New Roman"/>
          <w:color w:val="auto"/>
          <w:kern w:val="0"/>
          <w:sz w:val="24"/>
          <w:szCs w:val="24"/>
          <w:lang w:val="en-US" w:eastAsia="zh-CN" w:bidi="ar"/>
        </w:rPr>
        <w:t>。</w:t>
      </w:r>
    </w:p>
    <w:p w14:paraId="43FCA43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bCs/>
          <w:color w:val="auto"/>
          <w:kern w:val="0"/>
          <w:sz w:val="21"/>
          <w:szCs w:val="21"/>
          <w:lang w:val="en-US" w:eastAsia="zh-CN" w:bidi="ar"/>
        </w:rPr>
        <w:t>表5.3-</w:t>
      </w:r>
      <w:r>
        <w:rPr>
          <w:rFonts w:hint="eastAsia" w:cs="Times New Roman"/>
          <w:b/>
          <w:bCs/>
          <w:color w:val="auto"/>
          <w:kern w:val="0"/>
          <w:sz w:val="21"/>
          <w:szCs w:val="21"/>
          <w:lang w:val="en-US" w:eastAsia="zh-CN" w:bidi="ar"/>
        </w:rPr>
        <w:t>8</w:t>
      </w:r>
      <w:r>
        <w:rPr>
          <w:rFonts w:hint="default" w:ascii="Times New Roman" w:hAnsi="Times New Roman" w:eastAsia="宋体" w:cs="Times New Roman"/>
          <w:b/>
          <w:bCs/>
          <w:color w:val="auto"/>
          <w:kern w:val="0"/>
          <w:sz w:val="21"/>
          <w:szCs w:val="21"/>
          <w:lang w:val="en-US" w:eastAsia="zh-CN" w:bidi="ar"/>
        </w:rPr>
        <w:t xml:space="preserve"> 拟建公路交通量预测值</w:t>
      </w:r>
    </w:p>
    <w:tbl>
      <w:tblPr>
        <w:tblStyle w:val="3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6"/>
        <w:gridCol w:w="1861"/>
        <w:gridCol w:w="1547"/>
        <w:gridCol w:w="1750"/>
        <w:gridCol w:w="2192"/>
      </w:tblGrid>
      <w:tr w14:paraId="49F57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trPr>
        <w:tc>
          <w:tcPr>
            <w:tcW w:w="690" w:type="pct"/>
            <w:vMerge w:val="restart"/>
            <w:tcBorders>
              <w:tl2br w:val="nil"/>
              <w:tr2bl w:val="nil"/>
            </w:tcBorders>
            <w:noWrap w:val="0"/>
            <w:vAlign w:val="center"/>
          </w:tcPr>
          <w:p w14:paraId="4C722166">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车型</w:t>
            </w:r>
          </w:p>
        </w:tc>
        <w:tc>
          <w:tcPr>
            <w:tcW w:w="1091" w:type="pct"/>
            <w:vMerge w:val="restart"/>
            <w:tcBorders>
              <w:tl2br w:val="nil"/>
              <w:tr2bl w:val="nil"/>
            </w:tcBorders>
            <w:noWrap w:val="0"/>
            <w:vAlign w:val="center"/>
          </w:tcPr>
          <w:p w14:paraId="4E1ABAAE">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时段</w:t>
            </w:r>
          </w:p>
        </w:tc>
        <w:tc>
          <w:tcPr>
            <w:tcW w:w="3218" w:type="pct"/>
            <w:gridSpan w:val="3"/>
            <w:tcBorders>
              <w:tl2br w:val="nil"/>
              <w:tr2bl w:val="nil"/>
            </w:tcBorders>
            <w:noWrap w:val="0"/>
            <w:vAlign w:val="center"/>
          </w:tcPr>
          <w:p w14:paraId="550BDDC3">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车流量</w:t>
            </w:r>
            <w:r>
              <w:rPr>
                <w:rFonts w:hint="eastAsia" w:cs="Times New Roman"/>
                <w:color w:val="auto"/>
                <w:kern w:val="0"/>
                <w:sz w:val="21"/>
                <w:szCs w:val="21"/>
                <w:lang w:val="en-US" w:eastAsia="zh-CN" w:bidi="ar-SA"/>
              </w:rPr>
              <w:t>（辆/h）</w:t>
            </w:r>
          </w:p>
        </w:tc>
      </w:tr>
      <w:tr w14:paraId="364E6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trPr>
        <w:tc>
          <w:tcPr>
            <w:tcW w:w="690" w:type="pct"/>
            <w:vMerge w:val="continue"/>
            <w:tcBorders>
              <w:tl2br w:val="nil"/>
              <w:tr2bl w:val="nil"/>
            </w:tcBorders>
            <w:noWrap w:val="0"/>
            <w:vAlign w:val="center"/>
          </w:tcPr>
          <w:p w14:paraId="075446E3">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91" w:type="pct"/>
            <w:vMerge w:val="continue"/>
            <w:tcBorders>
              <w:tl2br w:val="nil"/>
              <w:tr2bl w:val="nil"/>
            </w:tcBorders>
            <w:noWrap w:val="0"/>
            <w:vAlign w:val="center"/>
          </w:tcPr>
          <w:p w14:paraId="0FE8170C">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907" w:type="pct"/>
            <w:tcBorders>
              <w:tl2br w:val="nil"/>
              <w:tr2bl w:val="nil"/>
            </w:tcBorders>
            <w:noWrap w:val="0"/>
            <w:vAlign w:val="center"/>
          </w:tcPr>
          <w:p w14:paraId="609E682A">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2028</w:t>
            </w:r>
          </w:p>
        </w:tc>
        <w:tc>
          <w:tcPr>
            <w:tcW w:w="1026" w:type="pct"/>
            <w:tcBorders>
              <w:tl2br w:val="nil"/>
              <w:tr2bl w:val="nil"/>
            </w:tcBorders>
            <w:noWrap w:val="0"/>
            <w:vAlign w:val="center"/>
          </w:tcPr>
          <w:p w14:paraId="3C05E45B">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203</w:t>
            </w:r>
            <w:r>
              <w:rPr>
                <w:rFonts w:hint="eastAsia" w:cs="Times New Roman"/>
                <w:color w:val="auto"/>
                <w:kern w:val="0"/>
                <w:sz w:val="21"/>
                <w:szCs w:val="21"/>
                <w:lang w:val="en-US" w:eastAsia="zh-CN" w:bidi="ar-SA"/>
              </w:rPr>
              <w:t>4</w:t>
            </w:r>
          </w:p>
        </w:tc>
        <w:tc>
          <w:tcPr>
            <w:tcW w:w="1285" w:type="pct"/>
            <w:tcBorders>
              <w:tl2br w:val="nil"/>
              <w:tr2bl w:val="nil"/>
            </w:tcBorders>
            <w:noWrap w:val="0"/>
            <w:vAlign w:val="center"/>
          </w:tcPr>
          <w:p w14:paraId="3BB074A3">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204</w:t>
            </w:r>
            <w:r>
              <w:rPr>
                <w:rFonts w:hint="eastAsia" w:cs="Times New Roman"/>
                <w:color w:val="auto"/>
                <w:kern w:val="0"/>
                <w:sz w:val="21"/>
                <w:szCs w:val="21"/>
                <w:lang w:val="en-US" w:eastAsia="zh-CN" w:bidi="ar-SA"/>
              </w:rPr>
              <w:t>2</w:t>
            </w:r>
          </w:p>
        </w:tc>
      </w:tr>
      <w:tr w14:paraId="54D2F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690" w:type="pct"/>
            <w:vMerge w:val="restart"/>
            <w:tcBorders>
              <w:tl2br w:val="nil"/>
              <w:tr2bl w:val="nil"/>
            </w:tcBorders>
            <w:noWrap w:val="0"/>
            <w:vAlign w:val="center"/>
          </w:tcPr>
          <w:p w14:paraId="2E6B755A">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小型车</w:t>
            </w:r>
          </w:p>
        </w:tc>
        <w:tc>
          <w:tcPr>
            <w:tcW w:w="1091" w:type="pct"/>
            <w:tcBorders>
              <w:tl2br w:val="nil"/>
              <w:tr2bl w:val="nil"/>
            </w:tcBorders>
            <w:noWrap w:val="0"/>
            <w:vAlign w:val="center"/>
          </w:tcPr>
          <w:p w14:paraId="31495306">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昼间</w:t>
            </w:r>
          </w:p>
        </w:tc>
        <w:tc>
          <w:tcPr>
            <w:tcW w:w="907" w:type="pct"/>
            <w:tcBorders>
              <w:tl2br w:val="nil"/>
              <w:tr2bl w:val="nil"/>
            </w:tcBorders>
            <w:noWrap w:val="0"/>
            <w:vAlign w:val="center"/>
          </w:tcPr>
          <w:p w14:paraId="2067CF3C">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274</w:t>
            </w:r>
          </w:p>
        </w:tc>
        <w:tc>
          <w:tcPr>
            <w:tcW w:w="1026" w:type="pct"/>
            <w:tcBorders>
              <w:tl2br w:val="nil"/>
              <w:tr2bl w:val="nil"/>
            </w:tcBorders>
            <w:noWrap w:val="0"/>
            <w:vAlign w:val="center"/>
          </w:tcPr>
          <w:p w14:paraId="75B44F96">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455</w:t>
            </w:r>
          </w:p>
        </w:tc>
        <w:tc>
          <w:tcPr>
            <w:tcW w:w="1285" w:type="pct"/>
            <w:tcBorders>
              <w:tl2br w:val="nil"/>
              <w:tr2bl w:val="nil"/>
            </w:tcBorders>
            <w:noWrap w:val="0"/>
            <w:vAlign w:val="center"/>
          </w:tcPr>
          <w:p w14:paraId="03E23C92">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734</w:t>
            </w:r>
          </w:p>
        </w:tc>
      </w:tr>
      <w:tr w14:paraId="02B57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690" w:type="pct"/>
            <w:vMerge w:val="continue"/>
            <w:tcBorders>
              <w:tl2br w:val="nil"/>
              <w:tr2bl w:val="nil"/>
            </w:tcBorders>
            <w:noWrap w:val="0"/>
            <w:vAlign w:val="center"/>
          </w:tcPr>
          <w:p w14:paraId="2116554A">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91" w:type="pct"/>
            <w:tcBorders>
              <w:tl2br w:val="nil"/>
              <w:tr2bl w:val="nil"/>
            </w:tcBorders>
            <w:noWrap w:val="0"/>
            <w:vAlign w:val="center"/>
          </w:tcPr>
          <w:p w14:paraId="2C41558B">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夜间</w:t>
            </w:r>
          </w:p>
        </w:tc>
        <w:tc>
          <w:tcPr>
            <w:tcW w:w="907" w:type="pct"/>
            <w:tcBorders>
              <w:tl2br w:val="nil"/>
              <w:tr2bl w:val="nil"/>
            </w:tcBorders>
            <w:noWrap w:val="0"/>
            <w:vAlign w:val="center"/>
          </w:tcPr>
          <w:p w14:paraId="06CD1C91">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137</w:t>
            </w:r>
          </w:p>
        </w:tc>
        <w:tc>
          <w:tcPr>
            <w:tcW w:w="1026" w:type="pct"/>
            <w:tcBorders>
              <w:tl2br w:val="nil"/>
              <w:tr2bl w:val="nil"/>
            </w:tcBorders>
            <w:noWrap w:val="0"/>
            <w:vAlign w:val="center"/>
          </w:tcPr>
          <w:p w14:paraId="1EB20542">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228</w:t>
            </w:r>
          </w:p>
        </w:tc>
        <w:tc>
          <w:tcPr>
            <w:tcW w:w="1285" w:type="pct"/>
            <w:tcBorders>
              <w:tl2br w:val="nil"/>
              <w:tr2bl w:val="nil"/>
            </w:tcBorders>
            <w:noWrap w:val="0"/>
            <w:vAlign w:val="center"/>
          </w:tcPr>
          <w:p w14:paraId="031C7068">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367</w:t>
            </w:r>
          </w:p>
        </w:tc>
      </w:tr>
      <w:tr w14:paraId="78E02D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 w:hRule="atLeast"/>
        </w:trPr>
        <w:tc>
          <w:tcPr>
            <w:tcW w:w="690" w:type="pct"/>
            <w:vMerge w:val="restart"/>
            <w:tcBorders>
              <w:tl2br w:val="nil"/>
              <w:tr2bl w:val="nil"/>
            </w:tcBorders>
            <w:noWrap w:val="0"/>
            <w:vAlign w:val="center"/>
          </w:tcPr>
          <w:p w14:paraId="1C684025">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中型车</w:t>
            </w:r>
          </w:p>
        </w:tc>
        <w:tc>
          <w:tcPr>
            <w:tcW w:w="1091" w:type="pct"/>
            <w:tcBorders>
              <w:tl2br w:val="nil"/>
              <w:tr2bl w:val="nil"/>
            </w:tcBorders>
            <w:noWrap w:val="0"/>
            <w:vAlign w:val="center"/>
          </w:tcPr>
          <w:p w14:paraId="40DD3533">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昼间</w:t>
            </w:r>
          </w:p>
        </w:tc>
        <w:tc>
          <w:tcPr>
            <w:tcW w:w="907" w:type="pct"/>
            <w:tcBorders>
              <w:tl2br w:val="nil"/>
              <w:tr2bl w:val="nil"/>
            </w:tcBorders>
            <w:noWrap w:val="0"/>
            <w:vAlign w:val="center"/>
          </w:tcPr>
          <w:p w14:paraId="115AFD41">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6</w:t>
            </w:r>
          </w:p>
        </w:tc>
        <w:tc>
          <w:tcPr>
            <w:tcW w:w="1026" w:type="pct"/>
            <w:tcBorders>
              <w:tl2br w:val="nil"/>
              <w:tr2bl w:val="nil"/>
            </w:tcBorders>
            <w:noWrap w:val="0"/>
            <w:vAlign w:val="center"/>
          </w:tcPr>
          <w:p w14:paraId="69E0FE9B">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9</w:t>
            </w:r>
          </w:p>
        </w:tc>
        <w:tc>
          <w:tcPr>
            <w:tcW w:w="1285" w:type="pct"/>
            <w:tcBorders>
              <w:tl2br w:val="nil"/>
              <w:tr2bl w:val="nil"/>
            </w:tcBorders>
            <w:noWrap w:val="0"/>
            <w:vAlign w:val="center"/>
          </w:tcPr>
          <w:p w14:paraId="700200DC">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18</w:t>
            </w:r>
          </w:p>
        </w:tc>
      </w:tr>
      <w:tr w14:paraId="3F9F0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 w:hRule="atLeast"/>
        </w:trPr>
        <w:tc>
          <w:tcPr>
            <w:tcW w:w="690" w:type="pct"/>
            <w:vMerge w:val="continue"/>
            <w:tcBorders>
              <w:tl2br w:val="nil"/>
              <w:tr2bl w:val="nil"/>
            </w:tcBorders>
            <w:noWrap w:val="0"/>
            <w:vAlign w:val="center"/>
          </w:tcPr>
          <w:p w14:paraId="7B96F6F1">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91" w:type="pct"/>
            <w:tcBorders>
              <w:tl2br w:val="nil"/>
              <w:tr2bl w:val="nil"/>
            </w:tcBorders>
            <w:noWrap w:val="0"/>
            <w:vAlign w:val="center"/>
          </w:tcPr>
          <w:p w14:paraId="67ED8D22">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夜间</w:t>
            </w:r>
          </w:p>
        </w:tc>
        <w:tc>
          <w:tcPr>
            <w:tcW w:w="907" w:type="pct"/>
            <w:tcBorders>
              <w:tl2br w:val="nil"/>
              <w:tr2bl w:val="nil"/>
            </w:tcBorders>
            <w:noWrap w:val="0"/>
            <w:vAlign w:val="center"/>
          </w:tcPr>
          <w:p w14:paraId="7C838724">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3</w:t>
            </w:r>
          </w:p>
        </w:tc>
        <w:tc>
          <w:tcPr>
            <w:tcW w:w="1026" w:type="pct"/>
            <w:tcBorders>
              <w:tl2br w:val="nil"/>
              <w:tr2bl w:val="nil"/>
            </w:tcBorders>
            <w:noWrap w:val="0"/>
            <w:vAlign w:val="center"/>
          </w:tcPr>
          <w:p w14:paraId="6CFA6507">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4</w:t>
            </w:r>
          </w:p>
        </w:tc>
        <w:tc>
          <w:tcPr>
            <w:tcW w:w="1285" w:type="pct"/>
            <w:tcBorders>
              <w:tl2br w:val="nil"/>
              <w:tr2bl w:val="nil"/>
            </w:tcBorders>
            <w:noWrap w:val="0"/>
            <w:vAlign w:val="center"/>
          </w:tcPr>
          <w:p w14:paraId="21DF40A8">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9</w:t>
            </w:r>
          </w:p>
        </w:tc>
      </w:tr>
      <w:tr w14:paraId="17E75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trPr>
        <w:tc>
          <w:tcPr>
            <w:tcW w:w="690" w:type="pct"/>
            <w:vMerge w:val="restart"/>
            <w:tcBorders>
              <w:tl2br w:val="nil"/>
              <w:tr2bl w:val="nil"/>
            </w:tcBorders>
            <w:noWrap w:val="0"/>
            <w:vAlign w:val="center"/>
          </w:tcPr>
          <w:p w14:paraId="19D0D24C">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大型车</w:t>
            </w:r>
          </w:p>
        </w:tc>
        <w:tc>
          <w:tcPr>
            <w:tcW w:w="1091" w:type="pct"/>
            <w:tcBorders>
              <w:tl2br w:val="nil"/>
              <w:tr2bl w:val="nil"/>
            </w:tcBorders>
            <w:noWrap w:val="0"/>
            <w:vAlign w:val="center"/>
          </w:tcPr>
          <w:p w14:paraId="4C256A87">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昼间</w:t>
            </w:r>
          </w:p>
        </w:tc>
        <w:tc>
          <w:tcPr>
            <w:tcW w:w="907" w:type="pct"/>
            <w:tcBorders>
              <w:tl2br w:val="nil"/>
              <w:tr2bl w:val="nil"/>
            </w:tcBorders>
            <w:noWrap w:val="0"/>
            <w:vAlign w:val="center"/>
          </w:tcPr>
          <w:p w14:paraId="33E410E5">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9</w:t>
            </w:r>
          </w:p>
        </w:tc>
        <w:tc>
          <w:tcPr>
            <w:tcW w:w="1026" w:type="pct"/>
            <w:tcBorders>
              <w:tl2br w:val="nil"/>
              <w:tr2bl w:val="nil"/>
            </w:tcBorders>
            <w:noWrap w:val="0"/>
            <w:vAlign w:val="center"/>
          </w:tcPr>
          <w:p w14:paraId="21FE0D24">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w:t>
            </w:r>
          </w:p>
        </w:tc>
        <w:tc>
          <w:tcPr>
            <w:tcW w:w="1285" w:type="pct"/>
            <w:tcBorders>
              <w:tl2br w:val="nil"/>
              <w:tr2bl w:val="nil"/>
            </w:tcBorders>
            <w:noWrap w:val="0"/>
            <w:vAlign w:val="center"/>
          </w:tcPr>
          <w:p w14:paraId="4F57A8FC">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24</w:t>
            </w:r>
          </w:p>
        </w:tc>
      </w:tr>
      <w:tr w14:paraId="5A6A1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 w:hRule="atLeast"/>
        </w:trPr>
        <w:tc>
          <w:tcPr>
            <w:tcW w:w="690" w:type="pct"/>
            <w:vMerge w:val="continue"/>
            <w:tcBorders>
              <w:tl2br w:val="nil"/>
              <w:tr2bl w:val="nil"/>
            </w:tcBorders>
            <w:noWrap w:val="0"/>
            <w:vAlign w:val="center"/>
          </w:tcPr>
          <w:p w14:paraId="1088033F">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1091" w:type="pct"/>
            <w:tcBorders>
              <w:tl2br w:val="nil"/>
              <w:tr2bl w:val="nil"/>
            </w:tcBorders>
            <w:noWrap w:val="0"/>
            <w:vAlign w:val="center"/>
          </w:tcPr>
          <w:p w14:paraId="4F8B7CEA">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夜间</w:t>
            </w:r>
          </w:p>
        </w:tc>
        <w:tc>
          <w:tcPr>
            <w:tcW w:w="907" w:type="pct"/>
            <w:tcBorders>
              <w:tl2br w:val="nil"/>
              <w:tr2bl w:val="nil"/>
            </w:tcBorders>
            <w:noWrap w:val="0"/>
            <w:vAlign w:val="center"/>
          </w:tcPr>
          <w:p w14:paraId="58BE3048">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5</w:t>
            </w:r>
          </w:p>
        </w:tc>
        <w:tc>
          <w:tcPr>
            <w:tcW w:w="1026" w:type="pct"/>
            <w:tcBorders>
              <w:tl2br w:val="nil"/>
              <w:tr2bl w:val="nil"/>
            </w:tcBorders>
            <w:noWrap w:val="0"/>
            <w:vAlign w:val="center"/>
          </w:tcPr>
          <w:p w14:paraId="7AC3DF02">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10</w:t>
            </w:r>
          </w:p>
        </w:tc>
        <w:tc>
          <w:tcPr>
            <w:tcW w:w="1285" w:type="pct"/>
            <w:tcBorders>
              <w:tl2br w:val="nil"/>
              <w:tr2bl w:val="nil"/>
            </w:tcBorders>
            <w:noWrap w:val="0"/>
            <w:vAlign w:val="center"/>
          </w:tcPr>
          <w:p w14:paraId="3053E945">
            <w:pPr>
              <w:keepNext w:val="0"/>
              <w:keepLines w:val="0"/>
              <w:pageBreakBefore w:val="0"/>
              <w:widowControl w:val="0"/>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12</w:t>
            </w:r>
          </w:p>
        </w:tc>
      </w:tr>
    </w:tbl>
    <w:p w14:paraId="1064E62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p>
    <w:p w14:paraId="77E646B7">
      <w:pPr>
        <w:pStyle w:val="5"/>
        <w:keepNext/>
        <w:keepLines/>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5.3.2.4 交通噪声预测结果</w:t>
      </w:r>
    </w:p>
    <w:p w14:paraId="5D3297F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预测模式，结合公路工程确定的各种参数，计算出断面交通噪声和沿线敏感点评价特征年度的交通噪声预测值。本评价对公路两侧边界外20～200m范围内作出预测。由于公路纵面线型不断变化，与地面的高差不断变化，因此分别预测各路段各特征年在平路基情况下的交通噪声，预测特征年为202</w:t>
      </w:r>
      <w:r>
        <w:rPr>
          <w:rFonts w:hint="eastAsia" w:cs="Times New Roman"/>
          <w:color w:val="auto"/>
          <w:kern w:val="0"/>
          <w:sz w:val="24"/>
          <w:szCs w:val="24"/>
          <w:lang w:val="en-US" w:eastAsia="zh-CN" w:bidi="ar"/>
        </w:rPr>
        <w:t>8</w:t>
      </w:r>
      <w:r>
        <w:rPr>
          <w:rFonts w:hint="default" w:ascii="Times New Roman" w:hAnsi="Times New Roman" w:eastAsia="宋体" w:cs="Times New Roman"/>
          <w:color w:val="auto"/>
          <w:kern w:val="0"/>
          <w:sz w:val="24"/>
          <w:szCs w:val="24"/>
          <w:lang w:val="en-US" w:eastAsia="zh-CN" w:bidi="ar"/>
        </w:rPr>
        <w:t>年、20</w:t>
      </w:r>
      <w:r>
        <w:rPr>
          <w:rFonts w:hint="default" w:ascii="Times New Roman" w:hAnsi="Times New Roman" w:cs="Times New Roman"/>
          <w:color w:val="auto"/>
          <w:kern w:val="0"/>
          <w:sz w:val="24"/>
          <w:szCs w:val="24"/>
          <w:lang w:val="en-US" w:eastAsia="zh-CN" w:bidi="ar"/>
        </w:rPr>
        <w:t>3</w:t>
      </w:r>
      <w:r>
        <w:rPr>
          <w:rFonts w:hint="eastAsia" w:cs="Times New Roman"/>
          <w:color w:val="auto"/>
          <w:kern w:val="0"/>
          <w:sz w:val="24"/>
          <w:szCs w:val="24"/>
          <w:lang w:val="en-US" w:eastAsia="zh-CN" w:bidi="ar"/>
        </w:rPr>
        <w:t>4</w:t>
      </w:r>
      <w:r>
        <w:rPr>
          <w:rFonts w:hint="default" w:ascii="Times New Roman" w:hAnsi="Times New Roman" w:eastAsia="宋体" w:cs="Times New Roman"/>
          <w:color w:val="auto"/>
          <w:kern w:val="0"/>
          <w:sz w:val="24"/>
          <w:szCs w:val="24"/>
          <w:lang w:val="en-US" w:eastAsia="zh-CN" w:bidi="ar"/>
        </w:rPr>
        <w:t>年和20</w:t>
      </w:r>
      <w:r>
        <w:rPr>
          <w:rFonts w:hint="default" w:ascii="Times New Roman" w:hAnsi="Times New Roman" w:cs="Times New Roman"/>
          <w:color w:val="auto"/>
          <w:kern w:val="0"/>
          <w:sz w:val="24"/>
          <w:szCs w:val="24"/>
          <w:lang w:val="en-US" w:eastAsia="zh-CN" w:bidi="ar"/>
        </w:rPr>
        <w:t>4</w:t>
      </w:r>
      <w:r>
        <w:rPr>
          <w:rFonts w:hint="eastAsia"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年，具体到敏感点噪声预测时，再考虑不同路基形式和路基高度。公路沿线断面交通噪声预测结果见表5.3-</w:t>
      </w:r>
      <w:r>
        <w:rPr>
          <w:rFonts w:hint="eastAsia" w:cs="Times New Roman"/>
          <w:color w:val="auto"/>
          <w:kern w:val="0"/>
          <w:sz w:val="24"/>
          <w:szCs w:val="24"/>
          <w:lang w:val="en-US" w:eastAsia="zh-CN" w:bidi="ar"/>
        </w:rPr>
        <w:t>9</w:t>
      </w:r>
      <w:r>
        <w:rPr>
          <w:rFonts w:hint="default" w:ascii="Times New Roman" w:hAnsi="Times New Roman" w:eastAsia="宋体" w:cs="Times New Roman"/>
          <w:color w:val="auto"/>
          <w:kern w:val="0"/>
          <w:sz w:val="24"/>
          <w:szCs w:val="24"/>
          <w:lang w:val="en-US" w:eastAsia="zh-CN" w:bidi="ar"/>
        </w:rPr>
        <w:t>。</w:t>
      </w:r>
    </w:p>
    <w:p w14:paraId="34E5B09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
        </w:rPr>
        <w:t>表5.3-</w:t>
      </w:r>
      <w:r>
        <w:rPr>
          <w:rFonts w:hint="eastAsia" w:cs="Times New Roman"/>
          <w:b/>
          <w:bCs/>
          <w:color w:val="auto"/>
          <w:kern w:val="0"/>
          <w:sz w:val="21"/>
          <w:szCs w:val="21"/>
          <w:lang w:val="en-US" w:eastAsia="zh-CN" w:bidi="ar"/>
        </w:rPr>
        <w:t>9</w:t>
      </w:r>
      <w:r>
        <w:rPr>
          <w:rFonts w:hint="default" w:ascii="Times New Roman" w:hAnsi="Times New Roman" w:eastAsia="宋体" w:cs="Times New Roman"/>
          <w:b/>
          <w:bCs/>
          <w:color w:val="auto"/>
          <w:kern w:val="0"/>
          <w:sz w:val="21"/>
          <w:szCs w:val="21"/>
          <w:lang w:val="en-US" w:eastAsia="zh-CN" w:bidi="ar"/>
        </w:rPr>
        <w:t xml:space="preserve"> 拟建项目断面交通噪声预测结果</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0"/>
        <w:gridCol w:w="694"/>
        <w:gridCol w:w="650"/>
        <w:gridCol w:w="683"/>
        <w:gridCol w:w="683"/>
        <w:gridCol w:w="683"/>
        <w:gridCol w:w="683"/>
        <w:gridCol w:w="683"/>
        <w:gridCol w:w="683"/>
        <w:gridCol w:w="683"/>
        <w:gridCol w:w="584"/>
        <w:gridCol w:w="584"/>
        <w:gridCol w:w="585"/>
      </w:tblGrid>
      <w:tr w14:paraId="6219A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0" w:type="dxa"/>
            <w:vMerge w:val="restart"/>
            <w:noWrap w:val="0"/>
            <w:vAlign w:val="center"/>
          </w:tcPr>
          <w:p w14:paraId="0EF09B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b/>
                <w:bCs/>
                <w:color w:val="auto"/>
                <w:kern w:val="0"/>
                <w:sz w:val="21"/>
                <w:szCs w:val="21"/>
                <w:lang w:val="en-US" w:eastAsia="zh-CN" w:bidi="ar"/>
              </w:rPr>
              <w:t>路段</w:t>
            </w:r>
          </w:p>
        </w:tc>
        <w:tc>
          <w:tcPr>
            <w:tcW w:w="694" w:type="dxa"/>
            <w:vMerge w:val="restart"/>
            <w:noWrap w:val="0"/>
            <w:vAlign w:val="center"/>
          </w:tcPr>
          <w:p w14:paraId="570853E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cs="Times New Roman"/>
                <w:b/>
                <w:bCs/>
                <w:color w:val="auto"/>
                <w:kern w:val="0"/>
                <w:sz w:val="21"/>
                <w:szCs w:val="21"/>
                <w:lang w:val="en-US" w:eastAsia="zh-CN" w:bidi="ar"/>
              </w:rPr>
              <w:t>年份</w:t>
            </w:r>
          </w:p>
        </w:tc>
        <w:tc>
          <w:tcPr>
            <w:tcW w:w="650" w:type="dxa"/>
            <w:vMerge w:val="restart"/>
            <w:noWrap w:val="0"/>
            <w:vAlign w:val="center"/>
          </w:tcPr>
          <w:p w14:paraId="0D05561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b/>
                <w:bCs/>
                <w:color w:val="auto"/>
                <w:kern w:val="0"/>
                <w:sz w:val="21"/>
                <w:szCs w:val="21"/>
                <w:lang w:val="en-US" w:eastAsia="zh-CN" w:bidi="ar"/>
              </w:rPr>
              <w:t>时段</w:t>
            </w:r>
          </w:p>
        </w:tc>
        <w:tc>
          <w:tcPr>
            <w:tcW w:w="6534" w:type="dxa"/>
            <w:gridSpan w:val="10"/>
            <w:noWrap w:val="0"/>
            <w:vAlign w:val="center"/>
          </w:tcPr>
          <w:p w14:paraId="563D5FC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b/>
                <w:bCs/>
                <w:color w:val="auto"/>
                <w:kern w:val="0"/>
                <w:sz w:val="21"/>
                <w:szCs w:val="21"/>
                <w:lang w:val="en-US" w:eastAsia="zh-CN" w:bidi="ar"/>
              </w:rPr>
              <w:t>计算点距路中心线距离</w:t>
            </w:r>
          </w:p>
        </w:tc>
      </w:tr>
      <w:tr w14:paraId="4050A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0" w:type="dxa"/>
            <w:vMerge w:val="continue"/>
            <w:noWrap w:val="0"/>
            <w:vAlign w:val="center"/>
          </w:tcPr>
          <w:p w14:paraId="6AC215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694" w:type="dxa"/>
            <w:vMerge w:val="continue"/>
            <w:noWrap w:val="0"/>
            <w:vAlign w:val="center"/>
          </w:tcPr>
          <w:p w14:paraId="3E27E9B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650" w:type="dxa"/>
            <w:vMerge w:val="continue"/>
            <w:noWrap w:val="0"/>
            <w:vAlign w:val="center"/>
          </w:tcPr>
          <w:p w14:paraId="7836357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683" w:type="dxa"/>
            <w:noWrap w:val="0"/>
            <w:vAlign w:val="center"/>
          </w:tcPr>
          <w:p w14:paraId="21C100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20</w:t>
            </w:r>
          </w:p>
        </w:tc>
        <w:tc>
          <w:tcPr>
            <w:tcW w:w="683" w:type="dxa"/>
            <w:noWrap w:val="0"/>
            <w:vAlign w:val="center"/>
          </w:tcPr>
          <w:p w14:paraId="4A643CA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30</w:t>
            </w:r>
          </w:p>
        </w:tc>
        <w:tc>
          <w:tcPr>
            <w:tcW w:w="683" w:type="dxa"/>
            <w:noWrap w:val="0"/>
            <w:vAlign w:val="center"/>
          </w:tcPr>
          <w:p w14:paraId="25F292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40</w:t>
            </w:r>
          </w:p>
        </w:tc>
        <w:tc>
          <w:tcPr>
            <w:tcW w:w="683" w:type="dxa"/>
            <w:noWrap w:val="0"/>
            <w:vAlign w:val="center"/>
          </w:tcPr>
          <w:p w14:paraId="5B44F3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50</w:t>
            </w:r>
          </w:p>
        </w:tc>
        <w:tc>
          <w:tcPr>
            <w:tcW w:w="683" w:type="dxa"/>
            <w:noWrap w:val="0"/>
            <w:vAlign w:val="center"/>
          </w:tcPr>
          <w:p w14:paraId="6CF1F6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60</w:t>
            </w:r>
          </w:p>
        </w:tc>
        <w:tc>
          <w:tcPr>
            <w:tcW w:w="683" w:type="dxa"/>
            <w:noWrap w:val="0"/>
            <w:vAlign w:val="center"/>
          </w:tcPr>
          <w:p w14:paraId="362D75E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80</w:t>
            </w:r>
          </w:p>
        </w:tc>
        <w:tc>
          <w:tcPr>
            <w:tcW w:w="683" w:type="dxa"/>
            <w:noWrap w:val="0"/>
            <w:vAlign w:val="center"/>
          </w:tcPr>
          <w:p w14:paraId="7BC37D3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100</w:t>
            </w:r>
          </w:p>
        </w:tc>
        <w:tc>
          <w:tcPr>
            <w:tcW w:w="584" w:type="dxa"/>
            <w:noWrap w:val="0"/>
            <w:vAlign w:val="center"/>
          </w:tcPr>
          <w:p w14:paraId="2A149A4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120</w:t>
            </w:r>
          </w:p>
        </w:tc>
        <w:tc>
          <w:tcPr>
            <w:tcW w:w="584" w:type="dxa"/>
            <w:noWrap w:val="0"/>
            <w:vAlign w:val="center"/>
          </w:tcPr>
          <w:p w14:paraId="2A85516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160</w:t>
            </w:r>
          </w:p>
        </w:tc>
        <w:tc>
          <w:tcPr>
            <w:tcW w:w="585" w:type="dxa"/>
            <w:noWrap w:val="0"/>
            <w:vAlign w:val="center"/>
          </w:tcPr>
          <w:p w14:paraId="3529302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200</w:t>
            </w:r>
          </w:p>
        </w:tc>
      </w:tr>
      <w:tr w14:paraId="41BF4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0" w:type="dxa"/>
            <w:vMerge w:val="restart"/>
            <w:noWrap w:val="0"/>
            <w:vAlign w:val="center"/>
          </w:tcPr>
          <w:p w14:paraId="16E116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kern w:val="0"/>
                <w:sz w:val="21"/>
                <w:szCs w:val="21"/>
                <w:highlight w:val="none"/>
                <w:lang w:val="en-US" w:eastAsia="zh-CN" w:bidi="ar"/>
              </w:rPr>
              <w:t>全线</w:t>
            </w:r>
          </w:p>
        </w:tc>
        <w:tc>
          <w:tcPr>
            <w:tcW w:w="694" w:type="dxa"/>
            <w:vMerge w:val="restart"/>
            <w:noWrap w:val="0"/>
            <w:vAlign w:val="center"/>
          </w:tcPr>
          <w:p w14:paraId="237209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202</w:t>
            </w:r>
            <w:r>
              <w:rPr>
                <w:rFonts w:hint="eastAsia" w:cs="Times New Roman"/>
                <w:color w:val="auto"/>
                <w:kern w:val="0"/>
                <w:sz w:val="21"/>
                <w:szCs w:val="21"/>
                <w:highlight w:val="none"/>
                <w:lang w:val="en-US" w:eastAsia="zh-CN" w:bidi="ar"/>
              </w:rPr>
              <w:t>8</w:t>
            </w:r>
            <w:r>
              <w:rPr>
                <w:rFonts w:hint="default" w:ascii="Times New Roman" w:hAnsi="Times New Roman" w:cs="Times New Roman"/>
                <w:color w:val="auto"/>
                <w:kern w:val="0"/>
                <w:sz w:val="21"/>
                <w:szCs w:val="21"/>
                <w:highlight w:val="none"/>
                <w:lang w:val="en-US" w:eastAsia="zh-CN" w:bidi="ar"/>
              </w:rPr>
              <w:t>年</w:t>
            </w:r>
          </w:p>
        </w:tc>
        <w:tc>
          <w:tcPr>
            <w:tcW w:w="650" w:type="dxa"/>
            <w:noWrap w:val="0"/>
            <w:vAlign w:val="center"/>
          </w:tcPr>
          <w:p w14:paraId="59D84D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昼间</w:t>
            </w:r>
          </w:p>
        </w:tc>
        <w:tc>
          <w:tcPr>
            <w:tcW w:w="683" w:type="dxa"/>
            <w:noWrap w:val="0"/>
            <w:vAlign w:val="center"/>
          </w:tcPr>
          <w:p w14:paraId="3034B2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65.6</w:t>
            </w:r>
          </w:p>
        </w:tc>
        <w:tc>
          <w:tcPr>
            <w:tcW w:w="683" w:type="dxa"/>
            <w:noWrap w:val="0"/>
            <w:vAlign w:val="center"/>
          </w:tcPr>
          <w:p w14:paraId="7629C6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59.2</w:t>
            </w:r>
          </w:p>
        </w:tc>
        <w:tc>
          <w:tcPr>
            <w:tcW w:w="683" w:type="dxa"/>
            <w:noWrap w:val="0"/>
            <w:vAlign w:val="center"/>
          </w:tcPr>
          <w:p w14:paraId="549918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54.7</w:t>
            </w:r>
          </w:p>
        </w:tc>
        <w:tc>
          <w:tcPr>
            <w:tcW w:w="683" w:type="dxa"/>
            <w:noWrap w:val="0"/>
            <w:vAlign w:val="center"/>
          </w:tcPr>
          <w:p w14:paraId="1C3865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52.2</w:t>
            </w:r>
          </w:p>
        </w:tc>
        <w:tc>
          <w:tcPr>
            <w:tcW w:w="683" w:type="dxa"/>
            <w:noWrap w:val="0"/>
            <w:vAlign w:val="center"/>
          </w:tcPr>
          <w:p w14:paraId="5FE174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50.3</w:t>
            </w:r>
          </w:p>
        </w:tc>
        <w:tc>
          <w:tcPr>
            <w:tcW w:w="683" w:type="dxa"/>
            <w:noWrap w:val="0"/>
            <w:vAlign w:val="center"/>
          </w:tcPr>
          <w:p w14:paraId="0ED10C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47.7</w:t>
            </w:r>
          </w:p>
        </w:tc>
        <w:tc>
          <w:tcPr>
            <w:tcW w:w="683" w:type="dxa"/>
            <w:noWrap w:val="0"/>
            <w:vAlign w:val="center"/>
          </w:tcPr>
          <w:p w14:paraId="1A8822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45.8</w:t>
            </w:r>
          </w:p>
        </w:tc>
        <w:tc>
          <w:tcPr>
            <w:tcW w:w="584" w:type="dxa"/>
            <w:noWrap w:val="0"/>
            <w:vAlign w:val="center"/>
          </w:tcPr>
          <w:p w14:paraId="09696A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44.3</w:t>
            </w:r>
          </w:p>
        </w:tc>
        <w:tc>
          <w:tcPr>
            <w:tcW w:w="584" w:type="dxa"/>
            <w:noWrap w:val="0"/>
            <w:vAlign w:val="center"/>
          </w:tcPr>
          <w:p w14:paraId="402594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41.9</w:t>
            </w:r>
          </w:p>
        </w:tc>
        <w:tc>
          <w:tcPr>
            <w:tcW w:w="585" w:type="dxa"/>
            <w:noWrap w:val="0"/>
            <w:vAlign w:val="center"/>
          </w:tcPr>
          <w:p w14:paraId="439E0DA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40.2</w:t>
            </w:r>
          </w:p>
        </w:tc>
      </w:tr>
      <w:tr w14:paraId="18E76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0" w:type="dxa"/>
            <w:vMerge w:val="continue"/>
            <w:noWrap w:val="0"/>
            <w:vAlign w:val="center"/>
          </w:tcPr>
          <w:p w14:paraId="57E9652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p>
        </w:tc>
        <w:tc>
          <w:tcPr>
            <w:tcW w:w="694" w:type="dxa"/>
            <w:vMerge w:val="continue"/>
            <w:noWrap w:val="0"/>
            <w:vAlign w:val="center"/>
          </w:tcPr>
          <w:p w14:paraId="3997F8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p>
        </w:tc>
        <w:tc>
          <w:tcPr>
            <w:tcW w:w="650" w:type="dxa"/>
            <w:noWrap w:val="0"/>
            <w:vAlign w:val="center"/>
          </w:tcPr>
          <w:p w14:paraId="445B72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夜间</w:t>
            </w:r>
          </w:p>
        </w:tc>
        <w:tc>
          <w:tcPr>
            <w:tcW w:w="683" w:type="dxa"/>
            <w:noWrap w:val="0"/>
            <w:vAlign w:val="center"/>
          </w:tcPr>
          <w:p w14:paraId="5CC848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62.7</w:t>
            </w:r>
          </w:p>
        </w:tc>
        <w:tc>
          <w:tcPr>
            <w:tcW w:w="683" w:type="dxa"/>
            <w:noWrap w:val="0"/>
            <w:vAlign w:val="center"/>
          </w:tcPr>
          <w:p w14:paraId="4EA2A8F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56.1</w:t>
            </w:r>
          </w:p>
        </w:tc>
        <w:tc>
          <w:tcPr>
            <w:tcW w:w="683" w:type="dxa"/>
            <w:noWrap w:val="0"/>
            <w:vAlign w:val="center"/>
          </w:tcPr>
          <w:p w14:paraId="7C4670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51.8</w:t>
            </w:r>
          </w:p>
        </w:tc>
        <w:tc>
          <w:tcPr>
            <w:tcW w:w="683" w:type="dxa"/>
            <w:noWrap w:val="0"/>
            <w:vAlign w:val="center"/>
          </w:tcPr>
          <w:p w14:paraId="04D215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49.3</w:t>
            </w:r>
          </w:p>
        </w:tc>
        <w:tc>
          <w:tcPr>
            <w:tcW w:w="683" w:type="dxa"/>
            <w:noWrap w:val="0"/>
            <w:vAlign w:val="center"/>
          </w:tcPr>
          <w:p w14:paraId="6A095F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47.4</w:t>
            </w:r>
          </w:p>
        </w:tc>
        <w:tc>
          <w:tcPr>
            <w:tcW w:w="683" w:type="dxa"/>
            <w:noWrap w:val="0"/>
            <w:vAlign w:val="center"/>
          </w:tcPr>
          <w:p w14:paraId="2EC20AA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44.8</w:t>
            </w:r>
          </w:p>
        </w:tc>
        <w:tc>
          <w:tcPr>
            <w:tcW w:w="683" w:type="dxa"/>
            <w:noWrap w:val="0"/>
            <w:vAlign w:val="center"/>
          </w:tcPr>
          <w:p w14:paraId="08CEFB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42.9</w:t>
            </w:r>
          </w:p>
        </w:tc>
        <w:tc>
          <w:tcPr>
            <w:tcW w:w="584" w:type="dxa"/>
            <w:noWrap w:val="0"/>
            <w:vAlign w:val="center"/>
          </w:tcPr>
          <w:p w14:paraId="001A6E8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41.4</w:t>
            </w:r>
          </w:p>
        </w:tc>
        <w:tc>
          <w:tcPr>
            <w:tcW w:w="584" w:type="dxa"/>
            <w:noWrap w:val="0"/>
            <w:vAlign w:val="center"/>
          </w:tcPr>
          <w:p w14:paraId="1F2B7B1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39.0</w:t>
            </w:r>
          </w:p>
        </w:tc>
        <w:tc>
          <w:tcPr>
            <w:tcW w:w="585" w:type="dxa"/>
            <w:noWrap w:val="0"/>
            <w:vAlign w:val="center"/>
          </w:tcPr>
          <w:p w14:paraId="410405E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37.3</w:t>
            </w:r>
          </w:p>
        </w:tc>
      </w:tr>
      <w:tr w14:paraId="2F309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0" w:type="dxa"/>
            <w:vMerge w:val="continue"/>
            <w:noWrap w:val="0"/>
            <w:vAlign w:val="center"/>
          </w:tcPr>
          <w:p w14:paraId="7A3E55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p>
        </w:tc>
        <w:tc>
          <w:tcPr>
            <w:tcW w:w="694" w:type="dxa"/>
            <w:vMerge w:val="restart"/>
            <w:noWrap w:val="0"/>
            <w:vAlign w:val="center"/>
          </w:tcPr>
          <w:p w14:paraId="50C0F73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203</w:t>
            </w:r>
            <w:r>
              <w:rPr>
                <w:rFonts w:hint="eastAsia" w:cs="Times New Roman"/>
                <w:color w:val="auto"/>
                <w:kern w:val="0"/>
                <w:sz w:val="21"/>
                <w:szCs w:val="21"/>
                <w:highlight w:val="none"/>
                <w:lang w:val="en-US" w:eastAsia="zh-CN" w:bidi="ar"/>
              </w:rPr>
              <w:t>4</w:t>
            </w:r>
            <w:r>
              <w:rPr>
                <w:rFonts w:hint="default" w:ascii="Times New Roman" w:hAnsi="Times New Roman" w:cs="Times New Roman"/>
                <w:color w:val="auto"/>
                <w:kern w:val="0"/>
                <w:sz w:val="21"/>
                <w:szCs w:val="21"/>
                <w:highlight w:val="none"/>
                <w:lang w:val="en-US" w:eastAsia="zh-CN" w:bidi="ar"/>
              </w:rPr>
              <w:t>年</w:t>
            </w:r>
          </w:p>
        </w:tc>
        <w:tc>
          <w:tcPr>
            <w:tcW w:w="650" w:type="dxa"/>
            <w:noWrap w:val="0"/>
            <w:vAlign w:val="center"/>
          </w:tcPr>
          <w:p w14:paraId="76A82AC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昼间</w:t>
            </w:r>
          </w:p>
        </w:tc>
        <w:tc>
          <w:tcPr>
            <w:tcW w:w="683" w:type="dxa"/>
            <w:noWrap w:val="0"/>
            <w:vAlign w:val="center"/>
          </w:tcPr>
          <w:p w14:paraId="2EB77EC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68.5</w:t>
            </w:r>
          </w:p>
        </w:tc>
        <w:tc>
          <w:tcPr>
            <w:tcW w:w="683" w:type="dxa"/>
            <w:noWrap w:val="0"/>
            <w:vAlign w:val="center"/>
          </w:tcPr>
          <w:p w14:paraId="26A0EA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63.3</w:t>
            </w:r>
          </w:p>
        </w:tc>
        <w:tc>
          <w:tcPr>
            <w:tcW w:w="683" w:type="dxa"/>
            <w:noWrap w:val="0"/>
            <w:vAlign w:val="center"/>
          </w:tcPr>
          <w:p w14:paraId="75C852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60.1</w:t>
            </w:r>
          </w:p>
        </w:tc>
        <w:tc>
          <w:tcPr>
            <w:tcW w:w="683" w:type="dxa"/>
            <w:noWrap w:val="0"/>
            <w:vAlign w:val="center"/>
          </w:tcPr>
          <w:p w14:paraId="0612E5E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58.2</w:t>
            </w:r>
          </w:p>
        </w:tc>
        <w:tc>
          <w:tcPr>
            <w:tcW w:w="683" w:type="dxa"/>
            <w:noWrap w:val="0"/>
            <w:vAlign w:val="center"/>
          </w:tcPr>
          <w:p w14:paraId="6CB5ACA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56.9</w:t>
            </w:r>
          </w:p>
        </w:tc>
        <w:tc>
          <w:tcPr>
            <w:tcW w:w="683" w:type="dxa"/>
            <w:noWrap w:val="0"/>
            <w:vAlign w:val="center"/>
          </w:tcPr>
          <w:p w14:paraId="6A03922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55.0</w:t>
            </w:r>
          </w:p>
        </w:tc>
        <w:tc>
          <w:tcPr>
            <w:tcW w:w="683" w:type="dxa"/>
            <w:noWrap w:val="0"/>
            <w:vAlign w:val="center"/>
          </w:tcPr>
          <w:p w14:paraId="2A2F58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53.6</w:t>
            </w:r>
          </w:p>
        </w:tc>
        <w:tc>
          <w:tcPr>
            <w:tcW w:w="584" w:type="dxa"/>
            <w:noWrap w:val="0"/>
            <w:vAlign w:val="center"/>
          </w:tcPr>
          <w:p w14:paraId="0A646D9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52.5</w:t>
            </w:r>
          </w:p>
        </w:tc>
        <w:tc>
          <w:tcPr>
            <w:tcW w:w="584" w:type="dxa"/>
            <w:noWrap w:val="0"/>
            <w:vAlign w:val="center"/>
          </w:tcPr>
          <w:p w14:paraId="781AFE0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50.8</w:t>
            </w:r>
          </w:p>
        </w:tc>
        <w:tc>
          <w:tcPr>
            <w:tcW w:w="585" w:type="dxa"/>
            <w:noWrap w:val="0"/>
            <w:vAlign w:val="center"/>
          </w:tcPr>
          <w:p w14:paraId="6C6E1C7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49.4</w:t>
            </w:r>
          </w:p>
        </w:tc>
      </w:tr>
      <w:tr w14:paraId="457B6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0" w:type="dxa"/>
            <w:vMerge w:val="continue"/>
            <w:noWrap w:val="0"/>
            <w:vAlign w:val="center"/>
          </w:tcPr>
          <w:p w14:paraId="02F34E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p>
        </w:tc>
        <w:tc>
          <w:tcPr>
            <w:tcW w:w="694" w:type="dxa"/>
            <w:vMerge w:val="continue"/>
            <w:noWrap w:val="0"/>
            <w:vAlign w:val="center"/>
          </w:tcPr>
          <w:p w14:paraId="70665F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p>
        </w:tc>
        <w:tc>
          <w:tcPr>
            <w:tcW w:w="650" w:type="dxa"/>
            <w:noWrap w:val="0"/>
            <w:vAlign w:val="center"/>
          </w:tcPr>
          <w:p w14:paraId="577D589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夜间</w:t>
            </w:r>
          </w:p>
        </w:tc>
        <w:tc>
          <w:tcPr>
            <w:tcW w:w="683" w:type="dxa"/>
            <w:noWrap w:val="0"/>
            <w:vAlign w:val="center"/>
          </w:tcPr>
          <w:p w14:paraId="4D812D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65.1</w:t>
            </w:r>
          </w:p>
        </w:tc>
        <w:tc>
          <w:tcPr>
            <w:tcW w:w="683" w:type="dxa"/>
            <w:noWrap w:val="0"/>
            <w:vAlign w:val="center"/>
          </w:tcPr>
          <w:p w14:paraId="6A3DE0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58.4</w:t>
            </w:r>
          </w:p>
        </w:tc>
        <w:tc>
          <w:tcPr>
            <w:tcW w:w="683" w:type="dxa"/>
            <w:noWrap w:val="0"/>
            <w:vAlign w:val="center"/>
          </w:tcPr>
          <w:p w14:paraId="775BACD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54.2</w:t>
            </w:r>
          </w:p>
        </w:tc>
        <w:tc>
          <w:tcPr>
            <w:tcW w:w="683" w:type="dxa"/>
            <w:noWrap w:val="0"/>
            <w:vAlign w:val="center"/>
          </w:tcPr>
          <w:p w14:paraId="0A7881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51.6</w:t>
            </w:r>
          </w:p>
        </w:tc>
        <w:tc>
          <w:tcPr>
            <w:tcW w:w="683" w:type="dxa"/>
            <w:noWrap w:val="0"/>
            <w:vAlign w:val="center"/>
          </w:tcPr>
          <w:p w14:paraId="56CBDF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49.8</w:t>
            </w:r>
          </w:p>
        </w:tc>
        <w:tc>
          <w:tcPr>
            <w:tcW w:w="683" w:type="dxa"/>
            <w:noWrap w:val="0"/>
            <w:vAlign w:val="center"/>
          </w:tcPr>
          <w:p w14:paraId="0376A44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47.1</w:t>
            </w:r>
          </w:p>
        </w:tc>
        <w:tc>
          <w:tcPr>
            <w:tcW w:w="683" w:type="dxa"/>
            <w:noWrap w:val="0"/>
            <w:vAlign w:val="center"/>
          </w:tcPr>
          <w:p w14:paraId="6A0466D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45.2</w:t>
            </w:r>
          </w:p>
        </w:tc>
        <w:tc>
          <w:tcPr>
            <w:tcW w:w="584" w:type="dxa"/>
            <w:noWrap w:val="0"/>
            <w:vAlign w:val="center"/>
          </w:tcPr>
          <w:p w14:paraId="26DA8C1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43.7</w:t>
            </w:r>
          </w:p>
        </w:tc>
        <w:tc>
          <w:tcPr>
            <w:tcW w:w="584" w:type="dxa"/>
            <w:noWrap w:val="0"/>
            <w:vAlign w:val="center"/>
          </w:tcPr>
          <w:p w14:paraId="62C2711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41.4</w:t>
            </w:r>
          </w:p>
        </w:tc>
        <w:tc>
          <w:tcPr>
            <w:tcW w:w="585" w:type="dxa"/>
            <w:noWrap w:val="0"/>
            <w:vAlign w:val="center"/>
          </w:tcPr>
          <w:p w14:paraId="6183794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39.6</w:t>
            </w:r>
          </w:p>
        </w:tc>
      </w:tr>
      <w:tr w14:paraId="3CD1A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0" w:type="dxa"/>
            <w:vMerge w:val="continue"/>
            <w:noWrap w:val="0"/>
            <w:vAlign w:val="center"/>
          </w:tcPr>
          <w:p w14:paraId="5EEEF3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p>
        </w:tc>
        <w:tc>
          <w:tcPr>
            <w:tcW w:w="694" w:type="dxa"/>
            <w:vMerge w:val="restart"/>
            <w:noWrap w:val="0"/>
            <w:vAlign w:val="center"/>
          </w:tcPr>
          <w:p w14:paraId="5F2C71A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20</w:t>
            </w:r>
            <w:r>
              <w:rPr>
                <w:rFonts w:hint="eastAsia" w:cs="Times New Roman"/>
                <w:color w:val="auto"/>
                <w:kern w:val="0"/>
                <w:sz w:val="21"/>
                <w:szCs w:val="21"/>
                <w:highlight w:val="none"/>
                <w:lang w:val="en-US" w:eastAsia="zh-CN" w:bidi="ar"/>
              </w:rPr>
              <w:t>42</w:t>
            </w:r>
            <w:r>
              <w:rPr>
                <w:rFonts w:hint="default" w:ascii="Times New Roman" w:hAnsi="Times New Roman" w:cs="Times New Roman"/>
                <w:color w:val="auto"/>
                <w:kern w:val="0"/>
                <w:sz w:val="21"/>
                <w:szCs w:val="21"/>
                <w:highlight w:val="none"/>
                <w:lang w:val="en-US" w:eastAsia="zh-CN" w:bidi="ar"/>
              </w:rPr>
              <w:t>年</w:t>
            </w:r>
          </w:p>
        </w:tc>
        <w:tc>
          <w:tcPr>
            <w:tcW w:w="650" w:type="dxa"/>
            <w:noWrap w:val="0"/>
            <w:vAlign w:val="center"/>
          </w:tcPr>
          <w:p w14:paraId="65AF1D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昼间</w:t>
            </w:r>
          </w:p>
        </w:tc>
        <w:tc>
          <w:tcPr>
            <w:tcW w:w="683" w:type="dxa"/>
            <w:noWrap w:val="0"/>
            <w:vAlign w:val="center"/>
          </w:tcPr>
          <w:p w14:paraId="568D5D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70.3</w:t>
            </w:r>
          </w:p>
        </w:tc>
        <w:tc>
          <w:tcPr>
            <w:tcW w:w="683" w:type="dxa"/>
            <w:noWrap w:val="0"/>
            <w:vAlign w:val="center"/>
          </w:tcPr>
          <w:p w14:paraId="7BDE410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65.2</w:t>
            </w:r>
          </w:p>
        </w:tc>
        <w:tc>
          <w:tcPr>
            <w:tcW w:w="683" w:type="dxa"/>
            <w:noWrap w:val="0"/>
            <w:vAlign w:val="center"/>
          </w:tcPr>
          <w:p w14:paraId="52FD27E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61.9</w:t>
            </w:r>
          </w:p>
        </w:tc>
        <w:tc>
          <w:tcPr>
            <w:tcW w:w="683" w:type="dxa"/>
            <w:noWrap w:val="0"/>
            <w:vAlign w:val="center"/>
          </w:tcPr>
          <w:p w14:paraId="1B04D6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60.0</w:t>
            </w:r>
          </w:p>
        </w:tc>
        <w:tc>
          <w:tcPr>
            <w:tcW w:w="683" w:type="dxa"/>
            <w:noWrap w:val="0"/>
            <w:vAlign w:val="center"/>
          </w:tcPr>
          <w:p w14:paraId="50CA3D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58.7</w:t>
            </w:r>
          </w:p>
        </w:tc>
        <w:tc>
          <w:tcPr>
            <w:tcW w:w="683" w:type="dxa"/>
            <w:noWrap w:val="0"/>
            <w:vAlign w:val="center"/>
          </w:tcPr>
          <w:p w14:paraId="3CE736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56.8</w:t>
            </w:r>
          </w:p>
        </w:tc>
        <w:tc>
          <w:tcPr>
            <w:tcW w:w="683" w:type="dxa"/>
            <w:noWrap w:val="0"/>
            <w:vAlign w:val="center"/>
          </w:tcPr>
          <w:p w14:paraId="0B5E6C4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55.4</w:t>
            </w:r>
          </w:p>
        </w:tc>
        <w:tc>
          <w:tcPr>
            <w:tcW w:w="584" w:type="dxa"/>
            <w:noWrap w:val="0"/>
            <w:vAlign w:val="center"/>
          </w:tcPr>
          <w:p w14:paraId="394CA49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54.3</w:t>
            </w:r>
          </w:p>
        </w:tc>
        <w:tc>
          <w:tcPr>
            <w:tcW w:w="584" w:type="dxa"/>
            <w:noWrap w:val="0"/>
            <w:vAlign w:val="center"/>
          </w:tcPr>
          <w:p w14:paraId="246E259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52.6</w:t>
            </w:r>
          </w:p>
        </w:tc>
        <w:tc>
          <w:tcPr>
            <w:tcW w:w="585" w:type="dxa"/>
            <w:noWrap w:val="0"/>
            <w:vAlign w:val="center"/>
          </w:tcPr>
          <w:p w14:paraId="76FDDD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51.2</w:t>
            </w:r>
          </w:p>
        </w:tc>
      </w:tr>
      <w:tr w14:paraId="73BE0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0" w:type="dxa"/>
            <w:vMerge w:val="continue"/>
            <w:noWrap w:val="0"/>
            <w:vAlign w:val="center"/>
          </w:tcPr>
          <w:p w14:paraId="3871330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p>
        </w:tc>
        <w:tc>
          <w:tcPr>
            <w:tcW w:w="694" w:type="dxa"/>
            <w:vMerge w:val="continue"/>
            <w:noWrap w:val="0"/>
            <w:vAlign w:val="center"/>
          </w:tcPr>
          <w:p w14:paraId="4906F5E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p>
        </w:tc>
        <w:tc>
          <w:tcPr>
            <w:tcW w:w="650" w:type="dxa"/>
            <w:noWrap w:val="0"/>
            <w:vAlign w:val="center"/>
          </w:tcPr>
          <w:p w14:paraId="585733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夜间</w:t>
            </w:r>
          </w:p>
        </w:tc>
        <w:tc>
          <w:tcPr>
            <w:tcW w:w="683" w:type="dxa"/>
            <w:noWrap w:val="0"/>
            <w:vAlign w:val="center"/>
          </w:tcPr>
          <w:p w14:paraId="1848762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67.3</w:t>
            </w:r>
          </w:p>
        </w:tc>
        <w:tc>
          <w:tcPr>
            <w:tcW w:w="683" w:type="dxa"/>
            <w:noWrap w:val="0"/>
            <w:vAlign w:val="center"/>
          </w:tcPr>
          <w:p w14:paraId="4E1E992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62.2</w:t>
            </w:r>
          </w:p>
        </w:tc>
        <w:tc>
          <w:tcPr>
            <w:tcW w:w="683" w:type="dxa"/>
            <w:noWrap w:val="0"/>
            <w:vAlign w:val="center"/>
          </w:tcPr>
          <w:p w14:paraId="098C512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58.9</w:t>
            </w:r>
          </w:p>
        </w:tc>
        <w:tc>
          <w:tcPr>
            <w:tcW w:w="683" w:type="dxa"/>
            <w:noWrap w:val="0"/>
            <w:vAlign w:val="center"/>
          </w:tcPr>
          <w:p w14:paraId="119E25E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57.1</w:t>
            </w:r>
          </w:p>
        </w:tc>
        <w:tc>
          <w:tcPr>
            <w:tcW w:w="683" w:type="dxa"/>
            <w:noWrap w:val="0"/>
            <w:vAlign w:val="center"/>
          </w:tcPr>
          <w:p w14:paraId="558CA1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55.7</w:t>
            </w:r>
          </w:p>
        </w:tc>
        <w:tc>
          <w:tcPr>
            <w:tcW w:w="683" w:type="dxa"/>
            <w:noWrap w:val="0"/>
            <w:vAlign w:val="center"/>
          </w:tcPr>
          <w:p w14:paraId="44B0D7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53.8</w:t>
            </w:r>
          </w:p>
        </w:tc>
        <w:tc>
          <w:tcPr>
            <w:tcW w:w="683" w:type="dxa"/>
            <w:noWrap w:val="0"/>
            <w:vAlign w:val="center"/>
          </w:tcPr>
          <w:p w14:paraId="22BFC0E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52.5</w:t>
            </w:r>
          </w:p>
        </w:tc>
        <w:tc>
          <w:tcPr>
            <w:tcW w:w="584" w:type="dxa"/>
            <w:noWrap w:val="0"/>
            <w:vAlign w:val="center"/>
          </w:tcPr>
          <w:p w14:paraId="7D85D5A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51.4</w:t>
            </w:r>
          </w:p>
        </w:tc>
        <w:tc>
          <w:tcPr>
            <w:tcW w:w="584" w:type="dxa"/>
            <w:noWrap w:val="0"/>
            <w:vAlign w:val="center"/>
          </w:tcPr>
          <w:p w14:paraId="2158684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49.7</w:t>
            </w:r>
          </w:p>
        </w:tc>
        <w:tc>
          <w:tcPr>
            <w:tcW w:w="585" w:type="dxa"/>
            <w:noWrap w:val="0"/>
            <w:vAlign w:val="center"/>
          </w:tcPr>
          <w:p w14:paraId="0D72E3E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48.3</w:t>
            </w:r>
          </w:p>
        </w:tc>
      </w:tr>
    </w:tbl>
    <w:p w14:paraId="67742165">
      <w:pPr>
        <w:pStyle w:val="5"/>
        <w:keepNext/>
        <w:keepLines/>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5.3.2.5 预测交通噪声影响评价</w:t>
      </w:r>
    </w:p>
    <w:p w14:paraId="1C44D8E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（1）公路沿线交通噪声分布影响评价</w:t>
      </w:r>
    </w:p>
    <w:p w14:paraId="31B3F95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次评价重点对公路典型路段两侧距中心线20-200m范围内交通噪声值作出预测，预测中不考虑坡度的修正；项目采用沥青混凝土路面，路面修正量为0。根据预测模式，结合公路工程确定的各种参数，交通量昼夜间交通比按</w:t>
      </w:r>
      <w:r>
        <w:rPr>
          <w:rFonts w:hint="default" w:ascii="Times New Roman" w:hAnsi="Times New Roman" w:cs="Times New Roman"/>
          <w:color w:val="auto"/>
          <w:kern w:val="0"/>
          <w:sz w:val="24"/>
          <w:szCs w:val="24"/>
          <w:lang w:val="en-US" w:eastAsia="zh-CN" w:bidi="ar"/>
        </w:rPr>
        <w:t>9</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cs="Times New Roman"/>
          <w:color w:val="auto"/>
          <w:kern w:val="0"/>
          <w:sz w:val="24"/>
          <w:szCs w:val="24"/>
          <w:lang w:val="en-US" w:eastAsia="zh-CN" w:bidi="ar"/>
        </w:rPr>
        <w:t>1</w:t>
      </w:r>
      <w:r>
        <w:rPr>
          <w:rFonts w:hint="default" w:ascii="Times New Roman" w:hAnsi="Times New Roman" w:eastAsia="宋体" w:cs="Times New Roman"/>
          <w:color w:val="auto"/>
          <w:kern w:val="0"/>
          <w:sz w:val="24"/>
          <w:szCs w:val="24"/>
          <w:lang w:val="en-US" w:eastAsia="zh-CN" w:bidi="ar"/>
        </w:rPr>
        <w:t>计算。</w:t>
      </w:r>
    </w:p>
    <w:p w14:paraId="32726FE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（2）公路沿线敏感点交通噪声影响评价</w:t>
      </w:r>
    </w:p>
    <w:p w14:paraId="554CA5A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CIDFont" w:cs="Times New Roman"/>
          <w:color w:val="auto"/>
          <w:kern w:val="0"/>
          <w:sz w:val="24"/>
          <w:szCs w:val="24"/>
          <w:lang w:val="en-US" w:eastAsia="zh-CN" w:bidi="ar"/>
        </w:rPr>
        <w:t>根据《声环境质量标准》（GB 3096-2008）声功能区分类和《声环境功能区划分技术规范》（GB/T 15190-2014），本工程起点至喀什中亚南亚经济技术开发区路段（K5+546至K10+853），公路红线外35m以内执行4a类标准，35m外执行2类标准；项目K10+853至K10+931属于喀什市经济开发区路段，公路红线外20m内执行4a类标准，20m外执行3类区标准。</w:t>
      </w:r>
    </w:p>
    <w:p w14:paraId="6AD3E090">
      <w:pPr>
        <w:keepNext w:val="0"/>
        <w:keepLines w:val="0"/>
        <w:widowControl/>
        <w:suppressLineNumbers w:val="0"/>
        <w:jc w:val="left"/>
        <w:rPr>
          <w:rFonts w:hint="default" w:ascii="Times New Roman" w:hAnsi="Times New Roman" w:eastAsia="CIDFont" w:cs="Times New Roman"/>
          <w:color w:val="auto"/>
          <w:kern w:val="0"/>
          <w:sz w:val="24"/>
          <w:szCs w:val="24"/>
          <w:highlight w:val="none"/>
          <w:lang w:val="en-US" w:eastAsia="zh-CN" w:bidi="ar"/>
        </w:rPr>
      </w:pPr>
      <w:r>
        <w:rPr>
          <w:rFonts w:hint="default" w:ascii="Times New Roman" w:hAnsi="Times New Roman" w:eastAsia="CIDFont" w:cs="Times New Roman"/>
          <w:color w:val="auto"/>
          <w:kern w:val="0"/>
          <w:sz w:val="24"/>
          <w:szCs w:val="24"/>
          <w:highlight w:val="none"/>
          <w:lang w:val="en-US" w:eastAsia="zh-CN" w:bidi="ar"/>
        </w:rPr>
        <w:t>根据预测结果，本项目全路段（80km/h），按4a类标准，运营近、中、远期昼间达标距离</w:t>
      </w:r>
      <w:r>
        <w:rPr>
          <w:rFonts w:hint="eastAsia" w:eastAsia="CIDFont" w:cs="Times New Roman"/>
          <w:color w:val="auto"/>
          <w:kern w:val="0"/>
          <w:sz w:val="24"/>
          <w:szCs w:val="24"/>
          <w:highlight w:val="none"/>
          <w:lang w:val="en-US" w:eastAsia="zh-CN" w:bidi="ar"/>
        </w:rPr>
        <w:t>均小于35m；</w:t>
      </w:r>
      <w:r>
        <w:rPr>
          <w:rFonts w:hint="default" w:ascii="Times New Roman" w:hAnsi="Times New Roman" w:eastAsia="CIDFont" w:cs="Times New Roman"/>
          <w:color w:val="auto"/>
          <w:kern w:val="0"/>
          <w:sz w:val="24"/>
          <w:szCs w:val="24"/>
          <w:highlight w:val="none"/>
          <w:lang w:val="en-US" w:eastAsia="zh-CN" w:bidi="ar"/>
        </w:rPr>
        <w:t>夜间近、中、远期达标距离分别为距路中心线3</w:t>
      </w:r>
      <w:r>
        <w:rPr>
          <w:rFonts w:hint="eastAsia" w:eastAsia="CIDFont" w:cs="Times New Roman"/>
          <w:color w:val="auto"/>
          <w:kern w:val="0"/>
          <w:sz w:val="24"/>
          <w:szCs w:val="24"/>
          <w:highlight w:val="none"/>
          <w:lang w:val="en-US" w:eastAsia="zh-CN" w:bidi="ar"/>
        </w:rPr>
        <w:t>8</w:t>
      </w:r>
      <w:r>
        <w:rPr>
          <w:rFonts w:hint="default" w:ascii="Times New Roman" w:hAnsi="Times New Roman" w:eastAsia="CIDFont" w:cs="Times New Roman"/>
          <w:color w:val="auto"/>
          <w:kern w:val="0"/>
          <w:sz w:val="24"/>
          <w:szCs w:val="24"/>
          <w:highlight w:val="none"/>
          <w:lang w:val="en-US" w:eastAsia="zh-CN" w:bidi="ar"/>
        </w:rPr>
        <w:t>m、</w:t>
      </w:r>
      <w:r>
        <w:rPr>
          <w:rFonts w:hint="eastAsia" w:eastAsia="CIDFont" w:cs="Times New Roman"/>
          <w:color w:val="auto"/>
          <w:kern w:val="0"/>
          <w:sz w:val="24"/>
          <w:szCs w:val="24"/>
          <w:highlight w:val="none"/>
          <w:lang w:val="en-US" w:eastAsia="zh-CN" w:bidi="ar"/>
        </w:rPr>
        <w:t>80</w:t>
      </w:r>
      <w:r>
        <w:rPr>
          <w:rFonts w:hint="default" w:ascii="Times New Roman" w:hAnsi="Times New Roman" w:eastAsia="CIDFont" w:cs="Times New Roman"/>
          <w:color w:val="auto"/>
          <w:kern w:val="0"/>
          <w:sz w:val="24"/>
          <w:szCs w:val="24"/>
          <w:highlight w:val="none"/>
          <w:lang w:val="en-US" w:eastAsia="zh-CN" w:bidi="ar"/>
        </w:rPr>
        <w:t>m、</w:t>
      </w:r>
      <w:r>
        <w:rPr>
          <w:rFonts w:hint="eastAsia" w:eastAsia="CIDFont" w:cs="Times New Roman"/>
          <w:color w:val="auto"/>
          <w:kern w:val="0"/>
          <w:sz w:val="24"/>
          <w:szCs w:val="24"/>
          <w:highlight w:val="none"/>
          <w:lang w:val="en-US" w:eastAsia="zh-CN" w:bidi="ar"/>
        </w:rPr>
        <w:t>63</w:t>
      </w:r>
      <w:r>
        <w:rPr>
          <w:rFonts w:hint="default" w:ascii="Times New Roman" w:hAnsi="Times New Roman" w:eastAsia="CIDFont" w:cs="Times New Roman"/>
          <w:color w:val="auto"/>
          <w:kern w:val="0"/>
          <w:sz w:val="24"/>
          <w:szCs w:val="24"/>
          <w:highlight w:val="none"/>
          <w:lang w:val="en-US" w:eastAsia="zh-CN" w:bidi="ar"/>
        </w:rPr>
        <w:t>m。按2类标准，运营近、中、远期昼间达标距离分别为距路中心线27.5m、</w:t>
      </w:r>
      <w:r>
        <w:rPr>
          <w:rFonts w:hint="eastAsia" w:eastAsia="CIDFont" w:cs="Times New Roman"/>
          <w:color w:val="auto"/>
          <w:kern w:val="0"/>
          <w:sz w:val="24"/>
          <w:szCs w:val="24"/>
          <w:highlight w:val="none"/>
          <w:lang w:val="en-US" w:eastAsia="zh-CN" w:bidi="ar"/>
        </w:rPr>
        <w:t>3</w:t>
      </w:r>
      <w:r>
        <w:rPr>
          <w:rFonts w:hint="default" w:ascii="Times New Roman" w:hAnsi="Times New Roman" w:eastAsia="CIDFont" w:cs="Times New Roman"/>
          <w:color w:val="auto"/>
          <w:kern w:val="0"/>
          <w:sz w:val="24"/>
          <w:szCs w:val="24"/>
          <w:highlight w:val="none"/>
          <w:lang w:val="en-US" w:eastAsia="zh-CN" w:bidi="ar"/>
        </w:rPr>
        <w:t>9.6m、</w:t>
      </w:r>
      <w:r>
        <w:rPr>
          <w:rFonts w:hint="eastAsia" w:eastAsia="CIDFont" w:cs="Times New Roman"/>
          <w:color w:val="auto"/>
          <w:kern w:val="0"/>
          <w:sz w:val="24"/>
          <w:szCs w:val="24"/>
          <w:highlight w:val="none"/>
          <w:lang w:val="en-US" w:eastAsia="zh-CN" w:bidi="ar"/>
        </w:rPr>
        <w:t>50</w:t>
      </w:r>
      <w:r>
        <w:rPr>
          <w:rFonts w:hint="default" w:ascii="Times New Roman" w:hAnsi="Times New Roman" w:eastAsia="CIDFont" w:cs="Times New Roman"/>
          <w:color w:val="auto"/>
          <w:kern w:val="0"/>
          <w:sz w:val="24"/>
          <w:szCs w:val="24"/>
          <w:highlight w:val="none"/>
          <w:lang w:val="en-US" w:eastAsia="zh-CN" w:bidi="ar"/>
        </w:rPr>
        <w:t>m</w:t>
      </w:r>
      <w:r>
        <w:rPr>
          <w:rFonts w:hint="eastAsia" w:eastAsia="CIDFont" w:cs="Times New Roman"/>
          <w:color w:val="auto"/>
          <w:kern w:val="0"/>
          <w:sz w:val="24"/>
          <w:szCs w:val="24"/>
          <w:highlight w:val="none"/>
          <w:lang w:val="en-US" w:eastAsia="zh-CN" w:bidi="ar"/>
        </w:rPr>
        <w:t>；</w:t>
      </w:r>
      <w:r>
        <w:rPr>
          <w:rFonts w:hint="default" w:ascii="Times New Roman" w:hAnsi="Times New Roman" w:eastAsia="CIDFont" w:cs="Times New Roman"/>
          <w:color w:val="auto"/>
          <w:kern w:val="0"/>
          <w:sz w:val="24"/>
          <w:szCs w:val="24"/>
          <w:highlight w:val="none"/>
          <w:lang w:val="en-US" w:eastAsia="zh-CN" w:bidi="ar"/>
        </w:rPr>
        <w:t>夜间近、中、远期达标距离分别为距路中心线 4</w:t>
      </w:r>
      <w:r>
        <w:rPr>
          <w:rFonts w:hint="eastAsia" w:eastAsia="CIDFont" w:cs="Times New Roman"/>
          <w:color w:val="auto"/>
          <w:kern w:val="0"/>
          <w:sz w:val="24"/>
          <w:szCs w:val="24"/>
          <w:highlight w:val="none"/>
          <w:lang w:val="en-US" w:eastAsia="zh-CN" w:bidi="ar"/>
        </w:rPr>
        <w:t>6</w:t>
      </w:r>
      <w:r>
        <w:rPr>
          <w:rFonts w:hint="default" w:ascii="Times New Roman" w:hAnsi="Times New Roman" w:eastAsia="CIDFont" w:cs="Times New Roman"/>
          <w:color w:val="auto"/>
          <w:kern w:val="0"/>
          <w:sz w:val="24"/>
          <w:szCs w:val="24"/>
          <w:highlight w:val="none"/>
          <w:lang w:val="en-US" w:eastAsia="zh-CN" w:bidi="ar"/>
        </w:rPr>
        <w:t>.7m、5</w:t>
      </w:r>
      <w:r>
        <w:rPr>
          <w:rFonts w:hint="eastAsia" w:eastAsia="CIDFont" w:cs="Times New Roman"/>
          <w:color w:val="auto"/>
          <w:kern w:val="0"/>
          <w:sz w:val="24"/>
          <w:szCs w:val="24"/>
          <w:highlight w:val="none"/>
          <w:lang w:val="en-US" w:eastAsia="zh-CN" w:bidi="ar"/>
        </w:rPr>
        <w:t>8</w:t>
      </w:r>
      <w:r>
        <w:rPr>
          <w:rFonts w:hint="default" w:ascii="Times New Roman" w:hAnsi="Times New Roman" w:eastAsia="CIDFont" w:cs="Times New Roman"/>
          <w:color w:val="auto"/>
          <w:kern w:val="0"/>
          <w:sz w:val="24"/>
          <w:szCs w:val="24"/>
          <w:highlight w:val="none"/>
          <w:lang w:val="en-US" w:eastAsia="zh-CN" w:bidi="ar"/>
        </w:rPr>
        <w:t>.4m、</w:t>
      </w:r>
      <w:r>
        <w:rPr>
          <w:rFonts w:hint="eastAsia" w:eastAsia="CIDFont" w:cs="Times New Roman"/>
          <w:color w:val="auto"/>
          <w:kern w:val="0"/>
          <w:sz w:val="24"/>
          <w:szCs w:val="24"/>
          <w:highlight w:val="none"/>
          <w:lang w:val="en-US" w:eastAsia="zh-CN" w:bidi="ar"/>
        </w:rPr>
        <w:t>127</w:t>
      </w:r>
      <w:r>
        <w:rPr>
          <w:rFonts w:hint="default" w:ascii="Times New Roman" w:hAnsi="Times New Roman" w:eastAsia="CIDFont" w:cs="Times New Roman"/>
          <w:color w:val="auto"/>
          <w:kern w:val="0"/>
          <w:sz w:val="24"/>
          <w:szCs w:val="24"/>
          <w:highlight w:val="none"/>
          <w:lang w:val="en-US" w:eastAsia="zh-CN" w:bidi="ar"/>
        </w:rPr>
        <w:t>.4m。</w:t>
      </w:r>
      <w:r>
        <w:rPr>
          <w:rFonts w:hint="eastAsia" w:eastAsia="CIDFont" w:cs="Times New Roman"/>
          <w:color w:val="auto"/>
          <w:kern w:val="0"/>
          <w:sz w:val="24"/>
          <w:szCs w:val="24"/>
          <w:highlight w:val="none"/>
          <w:lang w:val="en-US" w:eastAsia="zh-CN" w:bidi="ar"/>
        </w:rPr>
        <w:t>按3类标准，运营近、中、远期昼间达标距离分别为距路中心线22.7m、28.4m、31.3m；夜间近、中、远期达标距离分别为距路中心线 33.2m、38.3m、62.5m。</w:t>
      </w:r>
      <w:r>
        <w:rPr>
          <w:rFonts w:hint="default" w:ascii="Times New Roman" w:hAnsi="Times New Roman" w:eastAsia="CIDFont" w:cs="Times New Roman"/>
          <w:color w:val="auto"/>
          <w:kern w:val="0"/>
          <w:sz w:val="24"/>
          <w:szCs w:val="24"/>
          <w:highlight w:val="none"/>
          <w:lang w:val="en-US" w:eastAsia="zh-CN" w:bidi="ar"/>
        </w:rPr>
        <w:t>各路段近路区域环境噪声受公路交通噪声影响因距离呈明显的衰减趋势。</w:t>
      </w:r>
    </w:p>
    <w:p w14:paraId="398CB854">
      <w:pPr>
        <w:keepNext w:val="0"/>
        <w:keepLines w:val="0"/>
        <w:widowControl/>
        <w:suppressLineNumbers w:val="0"/>
        <w:jc w:val="left"/>
        <w:rPr>
          <w:rFonts w:hint="default" w:ascii="Times New Roman" w:hAnsi="Times New Roman" w:cs="Times New Roman"/>
          <w:color w:val="auto"/>
          <w:highlight w:val="none"/>
        </w:rPr>
      </w:pPr>
      <w:r>
        <w:rPr>
          <w:rFonts w:hint="default" w:ascii="Times New Roman" w:hAnsi="Times New Roman" w:eastAsia="CIDFont" w:cs="Times New Roman"/>
          <w:color w:val="auto"/>
          <w:kern w:val="0"/>
          <w:sz w:val="24"/>
          <w:szCs w:val="24"/>
          <w:highlight w:val="none"/>
          <w:lang w:val="en-US" w:eastAsia="zh-CN" w:bidi="ar"/>
        </w:rPr>
        <w:t>从路段昼夜达标距离分析，相对于昼间噪声达标距离，夜间噪声达标距离有一个骤增的现象，各路段夜间达标距离远远大于昼间达标距离，说明公路夜间交通噪声影响大于昼间。</w:t>
      </w:r>
      <w:r>
        <w:rPr>
          <w:rFonts w:hint="eastAsia" w:eastAsia="CIDFont" w:cs="Times New Roman"/>
          <w:color w:val="auto"/>
          <w:kern w:val="0"/>
          <w:sz w:val="24"/>
          <w:szCs w:val="24"/>
          <w:highlight w:val="none"/>
          <w:lang w:val="en-US" w:eastAsia="zh-CN" w:bidi="ar"/>
        </w:rPr>
        <w:t>本项目现状周边200m范围内无敏感点分布，运营后</w:t>
      </w:r>
      <w:r>
        <w:rPr>
          <w:rFonts w:hint="default" w:ascii="Times New Roman" w:hAnsi="Times New Roman" w:eastAsia="CIDFont" w:cs="Times New Roman"/>
          <w:color w:val="auto"/>
          <w:kern w:val="0"/>
          <w:sz w:val="24"/>
          <w:szCs w:val="24"/>
          <w:highlight w:val="none"/>
          <w:lang w:val="en-US" w:eastAsia="zh-CN" w:bidi="ar"/>
        </w:rPr>
        <w:t>应加强对公路两侧用地的审批，首排不应规划建设学校、医院、敬老院等噪声敏感建筑，建设单位与设计单位则需按《建筑环境通用规范》（GB55016-2021）的要求，采取建筑物隔声围护，以使室内声环境满足相应建筑物的使用功能要求。</w:t>
      </w:r>
    </w:p>
    <w:p w14:paraId="6EFBD9C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b/>
          <w:bCs/>
          <w:color w:val="auto"/>
          <w:kern w:val="0"/>
          <w:sz w:val="20"/>
          <w:szCs w:val="20"/>
          <w:lang w:val="en-US" w:eastAsia="zh-CN" w:bidi="ar"/>
        </w:rPr>
        <w:t>表5.2-</w:t>
      </w:r>
      <w:r>
        <w:rPr>
          <w:rFonts w:hint="eastAsia" w:cs="Times New Roman"/>
          <w:b/>
          <w:bCs/>
          <w:color w:val="auto"/>
          <w:kern w:val="0"/>
          <w:sz w:val="20"/>
          <w:szCs w:val="20"/>
          <w:lang w:val="en-US" w:eastAsia="zh-CN" w:bidi="ar"/>
        </w:rPr>
        <w:t>10</w:t>
      </w:r>
      <w:r>
        <w:rPr>
          <w:rFonts w:hint="default" w:ascii="Times New Roman" w:hAnsi="Times New Roman" w:eastAsia="宋体" w:cs="Times New Roman"/>
          <w:b/>
          <w:bCs/>
          <w:color w:val="auto"/>
          <w:kern w:val="0"/>
          <w:sz w:val="20"/>
          <w:szCs w:val="20"/>
          <w:lang w:val="en-US" w:eastAsia="zh-CN" w:bidi="ar"/>
        </w:rPr>
        <w:t xml:space="preserve"> 声环境影响评价自查表</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4"/>
        <w:gridCol w:w="1738"/>
        <w:gridCol w:w="1015"/>
        <w:gridCol w:w="508"/>
        <w:gridCol w:w="507"/>
        <w:gridCol w:w="2"/>
        <w:gridCol w:w="1015"/>
        <w:gridCol w:w="1015"/>
        <w:gridCol w:w="2"/>
        <w:gridCol w:w="506"/>
        <w:gridCol w:w="507"/>
        <w:gridCol w:w="1019"/>
      </w:tblGrid>
      <w:tr w14:paraId="77976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32" w:type="dxa"/>
            <w:gridSpan w:val="2"/>
            <w:vAlign w:val="center"/>
          </w:tcPr>
          <w:p w14:paraId="64F665B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工作内容</w:t>
            </w:r>
          </w:p>
        </w:tc>
        <w:tc>
          <w:tcPr>
            <w:tcW w:w="6096" w:type="dxa"/>
            <w:gridSpan w:val="10"/>
            <w:vAlign w:val="center"/>
          </w:tcPr>
          <w:p w14:paraId="72C9CB1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自查项目</w:t>
            </w:r>
          </w:p>
        </w:tc>
      </w:tr>
      <w:tr w14:paraId="7BB96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4" w:type="dxa"/>
            <w:vMerge w:val="restart"/>
            <w:vAlign w:val="center"/>
          </w:tcPr>
          <w:p w14:paraId="13F9C2A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评价等级及范围</w:t>
            </w:r>
          </w:p>
        </w:tc>
        <w:tc>
          <w:tcPr>
            <w:tcW w:w="1738" w:type="dxa"/>
            <w:vAlign w:val="center"/>
          </w:tcPr>
          <w:p w14:paraId="5D3CEB0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评价等级</w:t>
            </w:r>
          </w:p>
        </w:tc>
        <w:tc>
          <w:tcPr>
            <w:tcW w:w="6096" w:type="dxa"/>
            <w:gridSpan w:val="10"/>
            <w:vAlign w:val="center"/>
          </w:tcPr>
          <w:p w14:paraId="46C32FD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一级</w:t>
            </w:r>
            <w:r>
              <w:rPr>
                <w:rFonts w:hint="default" w:ascii="Times New Roman" w:hAnsi="Times New Roman" w:eastAsia="MS Gothic"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二级</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 xml:space="preserve"> </w:t>
            </w:r>
            <w:r>
              <w:rPr>
                <w:rFonts w:hint="default" w:ascii="Times New Roman" w:hAnsi="Times New Roman"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三级□</w:t>
            </w:r>
          </w:p>
        </w:tc>
      </w:tr>
      <w:tr w14:paraId="24463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4" w:type="dxa"/>
            <w:vMerge w:val="continue"/>
            <w:vAlign w:val="center"/>
          </w:tcPr>
          <w:p w14:paraId="66541DA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1738" w:type="dxa"/>
            <w:vAlign w:val="center"/>
          </w:tcPr>
          <w:p w14:paraId="26E51F0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评价范围</w:t>
            </w:r>
          </w:p>
        </w:tc>
        <w:tc>
          <w:tcPr>
            <w:tcW w:w="6096" w:type="dxa"/>
            <w:gridSpan w:val="10"/>
            <w:vAlign w:val="center"/>
          </w:tcPr>
          <w:p w14:paraId="310C7C3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200m</w:t>
            </w:r>
            <w:r>
              <w:rPr>
                <w:rFonts w:hint="default" w:ascii="Times New Roman" w:hAnsi="Times New Roman" w:eastAsia="MS Gothic"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 xml:space="preserve">大于200m□ </w:t>
            </w:r>
            <w:r>
              <w:rPr>
                <w:rFonts w:hint="default" w:ascii="Times New Roman" w:hAnsi="Times New Roman"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小于200m□</w:t>
            </w:r>
          </w:p>
        </w:tc>
      </w:tr>
      <w:tr w14:paraId="11AF3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4" w:type="dxa"/>
            <w:vAlign w:val="center"/>
          </w:tcPr>
          <w:p w14:paraId="6F0C569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评价因子</w:t>
            </w:r>
          </w:p>
        </w:tc>
        <w:tc>
          <w:tcPr>
            <w:tcW w:w="1738" w:type="dxa"/>
            <w:vAlign w:val="center"/>
          </w:tcPr>
          <w:p w14:paraId="3FF12C6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评价因子</w:t>
            </w:r>
          </w:p>
        </w:tc>
        <w:tc>
          <w:tcPr>
            <w:tcW w:w="6096" w:type="dxa"/>
            <w:gridSpan w:val="10"/>
            <w:vAlign w:val="center"/>
          </w:tcPr>
          <w:p w14:paraId="3FE2295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等效连续A声级</w:t>
            </w:r>
            <w:r>
              <w:rPr>
                <w:rFonts w:hint="default" w:ascii="Times New Roman" w:hAnsi="Times New Roman" w:eastAsia="MS UI Gothic"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最大A声级□ 计权等效连续感觉噪声级□</w:t>
            </w:r>
          </w:p>
        </w:tc>
      </w:tr>
      <w:tr w14:paraId="55DE6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4" w:type="dxa"/>
            <w:vAlign w:val="center"/>
          </w:tcPr>
          <w:p w14:paraId="195B7C8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评价标准</w:t>
            </w:r>
          </w:p>
        </w:tc>
        <w:tc>
          <w:tcPr>
            <w:tcW w:w="1738" w:type="dxa"/>
            <w:vAlign w:val="center"/>
          </w:tcPr>
          <w:p w14:paraId="26AA16B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评价标准</w:t>
            </w:r>
          </w:p>
        </w:tc>
        <w:tc>
          <w:tcPr>
            <w:tcW w:w="6096" w:type="dxa"/>
            <w:gridSpan w:val="10"/>
            <w:vAlign w:val="center"/>
          </w:tcPr>
          <w:p w14:paraId="0C268C8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国家标准</w:t>
            </w:r>
            <w:r>
              <w:rPr>
                <w:rFonts w:hint="default" w:ascii="Times New Roman" w:hAnsi="Times New Roman" w:eastAsia="MS Gothic"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地方标准□    国外标准□</w:t>
            </w:r>
          </w:p>
        </w:tc>
      </w:tr>
      <w:tr w14:paraId="11433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4" w:type="dxa"/>
            <w:vMerge w:val="restart"/>
            <w:vAlign w:val="center"/>
          </w:tcPr>
          <w:p w14:paraId="681EEAA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现状评价</w:t>
            </w:r>
          </w:p>
        </w:tc>
        <w:tc>
          <w:tcPr>
            <w:tcW w:w="1738" w:type="dxa"/>
            <w:vAlign w:val="center"/>
          </w:tcPr>
          <w:p w14:paraId="605BAB6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环境功能区</w:t>
            </w:r>
          </w:p>
        </w:tc>
        <w:tc>
          <w:tcPr>
            <w:tcW w:w="1015" w:type="dxa"/>
            <w:vAlign w:val="center"/>
          </w:tcPr>
          <w:p w14:paraId="7B228B8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0类区□</w:t>
            </w:r>
          </w:p>
        </w:tc>
        <w:tc>
          <w:tcPr>
            <w:tcW w:w="1015" w:type="dxa"/>
            <w:gridSpan w:val="2"/>
            <w:vAlign w:val="center"/>
          </w:tcPr>
          <w:p w14:paraId="4B93500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1类区</w:t>
            </w:r>
            <w:r>
              <w:rPr>
                <w:rFonts w:hint="default" w:ascii="Times New Roman" w:hAnsi="Times New Roman" w:eastAsia="MS Gothic" w:cs="Times New Roman"/>
                <w:color w:val="auto"/>
                <w:kern w:val="0"/>
                <w:sz w:val="21"/>
                <w:szCs w:val="21"/>
                <w:lang w:val="en-US" w:eastAsia="zh-CN" w:bidi="ar"/>
              </w:rPr>
              <w:t>□</w:t>
            </w:r>
          </w:p>
        </w:tc>
        <w:tc>
          <w:tcPr>
            <w:tcW w:w="1017" w:type="dxa"/>
            <w:gridSpan w:val="2"/>
            <w:vAlign w:val="center"/>
          </w:tcPr>
          <w:p w14:paraId="409C542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2类区</w:t>
            </w:r>
            <w:r>
              <w:rPr>
                <w:rFonts w:hint="default" w:ascii="Times New Roman" w:hAnsi="Times New Roman" w:eastAsia="MS Gothic" w:cs="Times New Roman"/>
                <w:color w:val="auto"/>
                <w:kern w:val="0"/>
                <w:sz w:val="21"/>
                <w:szCs w:val="21"/>
                <w:lang w:val="en-US" w:eastAsia="zh-CN" w:bidi="ar"/>
              </w:rPr>
              <w:t>☑</w:t>
            </w:r>
          </w:p>
        </w:tc>
        <w:tc>
          <w:tcPr>
            <w:tcW w:w="1015" w:type="dxa"/>
            <w:vAlign w:val="center"/>
          </w:tcPr>
          <w:p w14:paraId="26E84C5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3类区</w:t>
            </w:r>
            <w:r>
              <w:rPr>
                <w:rFonts w:hint="default" w:ascii="Times New Roman" w:hAnsi="Times New Roman" w:cs="Times New Roman"/>
                <w:color w:val="auto"/>
                <w:kern w:val="0"/>
                <w:sz w:val="21"/>
                <w:szCs w:val="21"/>
                <w:lang w:val="en-US" w:eastAsia="zh-CN" w:bidi="ar"/>
              </w:rPr>
              <w:t>☑</w:t>
            </w:r>
          </w:p>
        </w:tc>
        <w:tc>
          <w:tcPr>
            <w:tcW w:w="1015" w:type="dxa"/>
            <w:gridSpan w:val="3"/>
            <w:vAlign w:val="center"/>
          </w:tcPr>
          <w:p w14:paraId="45B138F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4a类区</w:t>
            </w:r>
            <w:r>
              <w:rPr>
                <w:rFonts w:hint="default" w:ascii="Times New Roman" w:hAnsi="Times New Roman" w:eastAsia="MS Gothic" w:cs="Times New Roman"/>
                <w:color w:val="auto"/>
                <w:kern w:val="0"/>
                <w:sz w:val="21"/>
                <w:szCs w:val="21"/>
                <w:lang w:val="en-US" w:eastAsia="zh-CN" w:bidi="ar"/>
              </w:rPr>
              <w:t>☑</w:t>
            </w:r>
          </w:p>
        </w:tc>
        <w:tc>
          <w:tcPr>
            <w:tcW w:w="1019" w:type="dxa"/>
            <w:vAlign w:val="center"/>
          </w:tcPr>
          <w:p w14:paraId="5A40310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4b类区□</w:t>
            </w:r>
          </w:p>
        </w:tc>
      </w:tr>
      <w:tr w14:paraId="1D298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4" w:type="dxa"/>
            <w:vMerge w:val="continue"/>
            <w:vAlign w:val="center"/>
          </w:tcPr>
          <w:p w14:paraId="119F38C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1738" w:type="dxa"/>
            <w:vAlign w:val="center"/>
          </w:tcPr>
          <w:p w14:paraId="0605D0C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评价年度</w:t>
            </w:r>
          </w:p>
        </w:tc>
        <w:tc>
          <w:tcPr>
            <w:tcW w:w="1523" w:type="dxa"/>
            <w:gridSpan w:val="2"/>
            <w:vAlign w:val="center"/>
          </w:tcPr>
          <w:p w14:paraId="33D882D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初期□</w:t>
            </w:r>
          </w:p>
        </w:tc>
        <w:tc>
          <w:tcPr>
            <w:tcW w:w="1524" w:type="dxa"/>
            <w:gridSpan w:val="3"/>
            <w:vAlign w:val="center"/>
          </w:tcPr>
          <w:p w14:paraId="00CAA1B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近期</w:t>
            </w:r>
            <w:r>
              <w:rPr>
                <w:rFonts w:hint="default" w:ascii="Times New Roman" w:hAnsi="Times New Roman" w:eastAsia="MS Gothic" w:cs="Times New Roman"/>
                <w:color w:val="auto"/>
                <w:kern w:val="0"/>
                <w:sz w:val="21"/>
                <w:szCs w:val="21"/>
                <w:lang w:val="en-US" w:eastAsia="zh-CN" w:bidi="ar"/>
              </w:rPr>
              <w:t>☑</w:t>
            </w:r>
          </w:p>
        </w:tc>
        <w:tc>
          <w:tcPr>
            <w:tcW w:w="1523" w:type="dxa"/>
            <w:gridSpan w:val="3"/>
            <w:vAlign w:val="center"/>
          </w:tcPr>
          <w:p w14:paraId="7DFD926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中期</w:t>
            </w:r>
            <w:r>
              <w:rPr>
                <w:rFonts w:hint="default" w:ascii="Times New Roman" w:hAnsi="Times New Roman" w:eastAsia="MS Gothic" w:cs="Times New Roman"/>
                <w:color w:val="auto"/>
                <w:kern w:val="0"/>
                <w:sz w:val="21"/>
                <w:szCs w:val="21"/>
                <w:lang w:val="en-US" w:eastAsia="zh-CN" w:bidi="ar"/>
              </w:rPr>
              <w:t>☑</w:t>
            </w:r>
          </w:p>
        </w:tc>
        <w:tc>
          <w:tcPr>
            <w:tcW w:w="1526" w:type="dxa"/>
            <w:gridSpan w:val="2"/>
            <w:vAlign w:val="center"/>
          </w:tcPr>
          <w:p w14:paraId="7C353A2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远期</w:t>
            </w:r>
            <w:r>
              <w:rPr>
                <w:rFonts w:hint="default" w:ascii="Times New Roman" w:hAnsi="Times New Roman" w:eastAsia="MS Gothic" w:cs="Times New Roman"/>
                <w:color w:val="auto"/>
                <w:kern w:val="0"/>
                <w:sz w:val="21"/>
                <w:szCs w:val="21"/>
                <w:lang w:val="en-US" w:eastAsia="zh-CN" w:bidi="ar"/>
              </w:rPr>
              <w:t>☑</w:t>
            </w:r>
          </w:p>
        </w:tc>
      </w:tr>
      <w:tr w14:paraId="6AA7C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4" w:type="dxa"/>
            <w:vMerge w:val="continue"/>
            <w:vAlign w:val="center"/>
          </w:tcPr>
          <w:p w14:paraId="769FEAB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1738" w:type="dxa"/>
            <w:vAlign w:val="center"/>
          </w:tcPr>
          <w:p w14:paraId="4C093D0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现状调查方法</w:t>
            </w:r>
          </w:p>
        </w:tc>
        <w:tc>
          <w:tcPr>
            <w:tcW w:w="6096" w:type="dxa"/>
            <w:gridSpan w:val="10"/>
            <w:vAlign w:val="center"/>
          </w:tcPr>
          <w:p w14:paraId="77529FF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现场实测法</w:t>
            </w:r>
            <w:r>
              <w:rPr>
                <w:rFonts w:hint="default" w:ascii="Times New Roman" w:hAnsi="Times New Roman" w:eastAsia="MS Gothic"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现场实测加模型计算法□ 收集资料□</w:t>
            </w:r>
          </w:p>
        </w:tc>
      </w:tr>
      <w:tr w14:paraId="3252F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4" w:type="dxa"/>
            <w:vMerge w:val="continue"/>
            <w:vAlign w:val="center"/>
          </w:tcPr>
          <w:p w14:paraId="1A5E307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1738" w:type="dxa"/>
            <w:vAlign w:val="center"/>
          </w:tcPr>
          <w:p w14:paraId="44430BC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现状评价</w:t>
            </w:r>
          </w:p>
        </w:tc>
        <w:tc>
          <w:tcPr>
            <w:tcW w:w="3047" w:type="dxa"/>
            <w:gridSpan w:val="5"/>
            <w:vAlign w:val="center"/>
          </w:tcPr>
          <w:p w14:paraId="080DC99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达标百分比</w:t>
            </w:r>
          </w:p>
        </w:tc>
        <w:tc>
          <w:tcPr>
            <w:tcW w:w="3049" w:type="dxa"/>
            <w:gridSpan w:val="5"/>
            <w:vAlign w:val="center"/>
          </w:tcPr>
          <w:p w14:paraId="484FFFF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r>
      <w:tr w14:paraId="41BB1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4" w:type="dxa"/>
            <w:vAlign w:val="center"/>
          </w:tcPr>
          <w:p w14:paraId="1155953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噪声源调查</w:t>
            </w:r>
          </w:p>
        </w:tc>
        <w:tc>
          <w:tcPr>
            <w:tcW w:w="1738" w:type="dxa"/>
            <w:vAlign w:val="center"/>
          </w:tcPr>
          <w:p w14:paraId="165C552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噪声源调查方法</w:t>
            </w:r>
          </w:p>
        </w:tc>
        <w:tc>
          <w:tcPr>
            <w:tcW w:w="6096" w:type="dxa"/>
            <w:gridSpan w:val="10"/>
            <w:vAlign w:val="center"/>
          </w:tcPr>
          <w:p w14:paraId="53C1DFB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现场实测□   已有资料□   研究成果</w:t>
            </w:r>
            <w:r>
              <w:rPr>
                <w:rFonts w:hint="default" w:ascii="Times New Roman" w:hAnsi="Times New Roman" w:eastAsia="MS Gothic" w:cs="Times New Roman"/>
                <w:color w:val="auto"/>
                <w:kern w:val="0"/>
                <w:sz w:val="21"/>
                <w:szCs w:val="21"/>
                <w:lang w:val="en-US" w:eastAsia="zh-CN" w:bidi="ar"/>
              </w:rPr>
              <w:t>☑</w:t>
            </w:r>
          </w:p>
        </w:tc>
      </w:tr>
      <w:tr w14:paraId="03DB9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4" w:type="dxa"/>
            <w:vMerge w:val="restart"/>
            <w:vAlign w:val="center"/>
          </w:tcPr>
          <w:p w14:paraId="2A4B1E1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声环境影响预测与评价</w:t>
            </w:r>
          </w:p>
        </w:tc>
        <w:tc>
          <w:tcPr>
            <w:tcW w:w="1738" w:type="dxa"/>
            <w:vAlign w:val="center"/>
          </w:tcPr>
          <w:p w14:paraId="5C51873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预测模型</w:t>
            </w:r>
          </w:p>
        </w:tc>
        <w:tc>
          <w:tcPr>
            <w:tcW w:w="6096" w:type="dxa"/>
            <w:gridSpan w:val="10"/>
            <w:vAlign w:val="center"/>
          </w:tcPr>
          <w:p w14:paraId="26EFB30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导则推荐模型</w:t>
            </w:r>
            <w:r>
              <w:rPr>
                <w:rFonts w:hint="default" w:ascii="Times New Roman" w:hAnsi="Times New Roman" w:eastAsia="MS Gothic"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其他□</w:t>
            </w:r>
          </w:p>
        </w:tc>
      </w:tr>
      <w:tr w14:paraId="5DA7F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4" w:type="dxa"/>
            <w:vMerge w:val="continue"/>
            <w:vAlign w:val="center"/>
          </w:tcPr>
          <w:p w14:paraId="6EE84DC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1738" w:type="dxa"/>
            <w:vAlign w:val="center"/>
          </w:tcPr>
          <w:p w14:paraId="5BDFBB2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预测范围</w:t>
            </w:r>
          </w:p>
        </w:tc>
        <w:tc>
          <w:tcPr>
            <w:tcW w:w="6096" w:type="dxa"/>
            <w:gridSpan w:val="10"/>
            <w:vAlign w:val="center"/>
          </w:tcPr>
          <w:p w14:paraId="2C62EDD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200m</w:t>
            </w:r>
            <w:r>
              <w:rPr>
                <w:rFonts w:hint="default" w:ascii="Times New Roman" w:hAnsi="Times New Roman" w:eastAsia="MS Gothic"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 xml:space="preserve">大于200m□ </w:t>
            </w:r>
            <w:r>
              <w:rPr>
                <w:rFonts w:hint="default" w:ascii="Times New Roman" w:hAnsi="Times New Roman"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小于200m□</w:t>
            </w:r>
          </w:p>
        </w:tc>
      </w:tr>
      <w:tr w14:paraId="1D578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4" w:type="dxa"/>
            <w:vMerge w:val="continue"/>
            <w:vAlign w:val="center"/>
          </w:tcPr>
          <w:p w14:paraId="0C890D3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1738" w:type="dxa"/>
            <w:vAlign w:val="center"/>
          </w:tcPr>
          <w:p w14:paraId="4D44DA6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预测因子</w:t>
            </w:r>
          </w:p>
        </w:tc>
        <w:tc>
          <w:tcPr>
            <w:tcW w:w="6096" w:type="dxa"/>
            <w:gridSpan w:val="10"/>
            <w:vAlign w:val="center"/>
          </w:tcPr>
          <w:p w14:paraId="07D5631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等效连续 A 声级</w:t>
            </w:r>
            <w:r>
              <w:rPr>
                <w:rFonts w:hint="default" w:ascii="Times New Roman" w:hAnsi="Times New Roman" w:eastAsia="MS Gothic"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最大 A 声级□ 计权等效连续感觉噪声级□</w:t>
            </w:r>
          </w:p>
        </w:tc>
      </w:tr>
      <w:tr w14:paraId="308B9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4" w:type="dxa"/>
            <w:vMerge w:val="continue"/>
            <w:vAlign w:val="center"/>
          </w:tcPr>
          <w:p w14:paraId="31F8896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1738" w:type="dxa"/>
            <w:vAlign w:val="center"/>
          </w:tcPr>
          <w:p w14:paraId="322C8F6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厂界噪声贡献值</w:t>
            </w:r>
          </w:p>
        </w:tc>
        <w:tc>
          <w:tcPr>
            <w:tcW w:w="6096" w:type="dxa"/>
            <w:gridSpan w:val="10"/>
            <w:vAlign w:val="center"/>
          </w:tcPr>
          <w:p w14:paraId="1112624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达标</w:t>
            </w:r>
            <w:r>
              <w:rPr>
                <w:rFonts w:hint="default" w:ascii="Times New Roman" w:hAnsi="Times New Roman" w:eastAsia="MS Gothic"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不达标□</w:t>
            </w:r>
          </w:p>
        </w:tc>
      </w:tr>
      <w:tr w14:paraId="16719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4" w:type="dxa"/>
            <w:vMerge w:val="continue"/>
            <w:vAlign w:val="center"/>
          </w:tcPr>
          <w:p w14:paraId="637945C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1738" w:type="dxa"/>
            <w:vAlign w:val="center"/>
          </w:tcPr>
          <w:p w14:paraId="595D4D4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声环境保护目标处噪声值</w:t>
            </w:r>
          </w:p>
        </w:tc>
        <w:tc>
          <w:tcPr>
            <w:tcW w:w="6096" w:type="dxa"/>
            <w:gridSpan w:val="10"/>
            <w:vAlign w:val="center"/>
          </w:tcPr>
          <w:p w14:paraId="660A0FC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达标□    不达标</w:t>
            </w:r>
            <w:r>
              <w:rPr>
                <w:rFonts w:hint="default" w:ascii="Times New Roman" w:hAnsi="Times New Roman" w:eastAsia="MS Gothic" w:cs="Times New Roman"/>
                <w:color w:val="auto"/>
                <w:kern w:val="0"/>
                <w:sz w:val="21"/>
                <w:szCs w:val="21"/>
                <w:lang w:val="en-US" w:eastAsia="zh-CN" w:bidi="ar"/>
              </w:rPr>
              <w:t>☑</w:t>
            </w:r>
          </w:p>
        </w:tc>
      </w:tr>
      <w:tr w14:paraId="2FCFD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4" w:type="dxa"/>
            <w:vMerge w:val="restart"/>
            <w:vAlign w:val="center"/>
          </w:tcPr>
          <w:p w14:paraId="593E6F9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环境监测计划</w:t>
            </w:r>
          </w:p>
        </w:tc>
        <w:tc>
          <w:tcPr>
            <w:tcW w:w="1738" w:type="dxa"/>
            <w:vAlign w:val="center"/>
          </w:tcPr>
          <w:p w14:paraId="58BDB4A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排放监测</w:t>
            </w:r>
          </w:p>
        </w:tc>
        <w:tc>
          <w:tcPr>
            <w:tcW w:w="6096" w:type="dxa"/>
            <w:gridSpan w:val="10"/>
            <w:vAlign w:val="center"/>
          </w:tcPr>
          <w:p w14:paraId="0822A66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厂界监测□ 固定位置监测□ 自动监测□ 手动监测</w:t>
            </w:r>
            <w:r>
              <w:rPr>
                <w:rFonts w:hint="default" w:ascii="Times New Roman" w:hAnsi="Times New Roman" w:eastAsia="MS Gothic"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无监测□</w:t>
            </w:r>
          </w:p>
        </w:tc>
      </w:tr>
      <w:tr w14:paraId="7C5F0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4" w:type="dxa"/>
            <w:vMerge w:val="continue"/>
            <w:vAlign w:val="center"/>
          </w:tcPr>
          <w:p w14:paraId="0761368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1738" w:type="dxa"/>
            <w:vAlign w:val="center"/>
          </w:tcPr>
          <w:p w14:paraId="366D6B7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声环境保护目标处噪声监测</w:t>
            </w:r>
          </w:p>
        </w:tc>
        <w:tc>
          <w:tcPr>
            <w:tcW w:w="2032" w:type="dxa"/>
            <w:gridSpan w:val="4"/>
            <w:vAlign w:val="center"/>
          </w:tcPr>
          <w:p w14:paraId="4502312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监测因子：（等效连续A声级）</w:t>
            </w:r>
          </w:p>
        </w:tc>
        <w:tc>
          <w:tcPr>
            <w:tcW w:w="2032" w:type="dxa"/>
            <w:gridSpan w:val="3"/>
            <w:vAlign w:val="center"/>
          </w:tcPr>
          <w:p w14:paraId="18E25CA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监测点位数（</w:t>
            </w:r>
            <w:r>
              <w:rPr>
                <w:rFonts w:hint="default" w:ascii="Times New Roman" w:hAnsi="Times New Roman" w:cs="Times New Roman"/>
                <w:color w:val="auto"/>
                <w:kern w:val="0"/>
                <w:sz w:val="21"/>
                <w:szCs w:val="21"/>
                <w:lang w:val="en-US" w:eastAsia="zh-CN" w:bidi="ar"/>
              </w:rPr>
              <w:t>3</w:t>
            </w:r>
            <w:r>
              <w:rPr>
                <w:rFonts w:hint="default" w:ascii="Times New Roman" w:hAnsi="Times New Roman" w:eastAsia="宋体" w:cs="Times New Roman"/>
                <w:color w:val="auto"/>
                <w:kern w:val="0"/>
                <w:sz w:val="21"/>
                <w:szCs w:val="21"/>
                <w:lang w:val="en-US" w:eastAsia="zh-CN" w:bidi="ar"/>
              </w:rPr>
              <w:t>）</w:t>
            </w:r>
          </w:p>
        </w:tc>
        <w:tc>
          <w:tcPr>
            <w:tcW w:w="2032" w:type="dxa"/>
            <w:gridSpan w:val="3"/>
            <w:vAlign w:val="center"/>
          </w:tcPr>
          <w:p w14:paraId="103B358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无监测□</w:t>
            </w:r>
          </w:p>
        </w:tc>
      </w:tr>
      <w:tr w14:paraId="752CF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4" w:type="dxa"/>
            <w:vAlign w:val="center"/>
          </w:tcPr>
          <w:p w14:paraId="46DED55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评价结论</w:t>
            </w:r>
          </w:p>
        </w:tc>
        <w:tc>
          <w:tcPr>
            <w:tcW w:w="1738" w:type="dxa"/>
            <w:vAlign w:val="center"/>
          </w:tcPr>
          <w:p w14:paraId="64121A5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环境影响</w:t>
            </w:r>
          </w:p>
        </w:tc>
        <w:tc>
          <w:tcPr>
            <w:tcW w:w="6096" w:type="dxa"/>
            <w:gridSpan w:val="10"/>
            <w:vAlign w:val="center"/>
          </w:tcPr>
          <w:p w14:paraId="04613EE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可行</w:t>
            </w:r>
            <w:r>
              <w:rPr>
                <w:rFonts w:hint="default" w:ascii="Times New Roman" w:hAnsi="Times New Roman" w:eastAsia="MS Gothic"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不可行□</w:t>
            </w:r>
          </w:p>
        </w:tc>
      </w:tr>
      <w:tr w14:paraId="25D66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28" w:type="dxa"/>
            <w:gridSpan w:val="12"/>
            <w:vAlign w:val="center"/>
          </w:tcPr>
          <w:p w14:paraId="5990995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注：“□”为勾选项，可√；“（）”为内容填写项。</w:t>
            </w:r>
          </w:p>
        </w:tc>
      </w:tr>
    </w:tbl>
    <w:p w14:paraId="387E6564">
      <w:pPr>
        <w:pStyle w:val="3"/>
        <w:keepNext/>
        <w:keepLines/>
        <w:pageBreakBefore w:val="0"/>
        <w:widowControl w:val="0"/>
        <w:numPr>
          <w:ilvl w:val="1"/>
          <w:numId w:val="0"/>
        </w:numPr>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rPr>
      </w:pPr>
      <w:bookmarkStart w:id="1274" w:name="_Toc2450"/>
      <w:bookmarkStart w:id="1275" w:name="_Toc14959"/>
      <w:bookmarkStart w:id="1276" w:name="_Toc19897"/>
      <w:bookmarkStart w:id="1277" w:name="_Toc14924"/>
      <w:bookmarkStart w:id="1278" w:name="_Toc14973"/>
      <w:bookmarkStart w:id="1279" w:name="_Toc24332"/>
      <w:bookmarkStart w:id="1280" w:name="_Toc482529116"/>
      <w:bookmarkStart w:id="1281" w:name="_Toc28486"/>
      <w:bookmarkStart w:id="1282" w:name="_Toc22184"/>
      <w:bookmarkStart w:id="1283" w:name="_Toc22844"/>
      <w:bookmarkStart w:id="1284" w:name="_Toc17325"/>
      <w:bookmarkStart w:id="1285" w:name="_Toc11327"/>
      <w:bookmarkStart w:id="1286" w:name="_Toc32060"/>
      <w:bookmarkStart w:id="1287" w:name="_Toc17224"/>
      <w:bookmarkStart w:id="1288" w:name="_Toc18315"/>
      <w:bookmarkStart w:id="1289" w:name="_Toc20478"/>
      <w:bookmarkStart w:id="1290" w:name="_Toc2962"/>
      <w:bookmarkStart w:id="1291" w:name="_Toc14339"/>
      <w:bookmarkStart w:id="1292" w:name="_Toc26293"/>
      <w:bookmarkStart w:id="1293" w:name="_Toc11724"/>
      <w:bookmarkStart w:id="1294" w:name="_Toc25796"/>
      <w:bookmarkStart w:id="1295" w:name="_Toc8311"/>
      <w:bookmarkStart w:id="1296" w:name="_Toc27375"/>
      <w:r>
        <w:rPr>
          <w:rFonts w:hint="default" w:ascii="Times New Roman" w:hAnsi="Times New Roman" w:cs="Times New Roman"/>
          <w:color w:val="auto"/>
          <w:lang w:val="en-US" w:eastAsia="zh-CN"/>
        </w:rPr>
        <w:t xml:space="preserve">5.4 </w:t>
      </w:r>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r>
        <w:rPr>
          <w:rFonts w:hint="default" w:ascii="Times New Roman" w:hAnsi="Times New Roman" w:cs="Times New Roman"/>
          <w:color w:val="auto"/>
          <w:lang w:val="en-US" w:eastAsia="zh-CN"/>
        </w:rPr>
        <w:t>地表水环境影响预测与评价</w:t>
      </w:r>
      <w:bookmarkEnd w:id="1288"/>
      <w:bookmarkEnd w:id="1289"/>
      <w:bookmarkEnd w:id="1290"/>
      <w:bookmarkEnd w:id="1291"/>
      <w:bookmarkEnd w:id="1292"/>
      <w:bookmarkEnd w:id="1293"/>
      <w:bookmarkEnd w:id="1294"/>
      <w:bookmarkEnd w:id="1295"/>
      <w:bookmarkEnd w:id="1296"/>
    </w:p>
    <w:p w14:paraId="349F276E">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5.4.1 施工期</w:t>
      </w:r>
    </w:p>
    <w:p w14:paraId="4A13F059">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5.4.1.1 施工废水影响分析</w:t>
      </w:r>
    </w:p>
    <w:p w14:paraId="1D89E974">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eastAsia" w:cs="Times New Roman"/>
          <w:color w:val="auto"/>
          <w:kern w:val="0"/>
          <w:sz w:val="24"/>
          <w:szCs w:val="24"/>
          <w:lang w:val="en-US" w:eastAsia="zh-CN" w:bidi="ar"/>
        </w:rPr>
        <w:t>①</w:t>
      </w:r>
      <w:r>
        <w:rPr>
          <w:rFonts w:hint="default" w:ascii="Times New Roman" w:hAnsi="Times New Roman" w:eastAsia="宋体" w:cs="Times New Roman"/>
          <w:color w:val="auto"/>
          <w:kern w:val="0"/>
          <w:sz w:val="24"/>
          <w:szCs w:val="24"/>
          <w:lang w:val="en-US" w:eastAsia="zh-CN" w:bidi="ar"/>
        </w:rPr>
        <w:t>隧道施工废水</w:t>
      </w:r>
    </w:p>
    <w:p w14:paraId="67A1C9B4">
      <w:pPr>
        <w:keepNext w:val="0"/>
        <w:keepLines w:val="0"/>
        <w:widowControl/>
        <w:suppressLineNumbers w:val="0"/>
        <w:jc w:val="left"/>
        <w:rPr>
          <w:rFonts w:hint="eastAsia" w:cs="Times New Roman"/>
          <w:color w:val="auto"/>
          <w:kern w:val="0"/>
          <w:sz w:val="24"/>
          <w:szCs w:val="24"/>
          <w:lang w:val="en-US" w:eastAsia="zh-CN" w:bidi="ar"/>
        </w:rPr>
      </w:pPr>
      <w:r>
        <w:rPr>
          <w:rFonts w:hint="eastAsia" w:cs="Times New Roman"/>
          <w:color w:val="auto"/>
          <w:kern w:val="0"/>
          <w:sz w:val="24"/>
          <w:szCs w:val="24"/>
          <w:lang w:val="en-US" w:eastAsia="zh-CN" w:bidi="ar"/>
        </w:rPr>
        <w:t>隧道施工工序包括岩石打孔、松动爆破、碎石清理、隧道壁修整、衬砌和锚固。其中在岩石打孔、隧道壁修整、衬砌和锚固过程中，有施工废水的产生。隧道施工废水由地下涌水和施工浆液混合后形成，径流中含有炸药爆炸后的残余或残留物，出水一般呈浑浊态，实验证明，由于隧道涌水含有水泥成分，其中所含 CaO、SiO</w:t>
      </w:r>
      <w:r>
        <w:rPr>
          <w:rFonts w:hint="eastAsia" w:cs="Times New Roman"/>
          <w:color w:val="auto"/>
          <w:kern w:val="0"/>
          <w:sz w:val="24"/>
          <w:szCs w:val="24"/>
          <w:vertAlign w:val="subscript"/>
          <w:lang w:val="en-US" w:eastAsia="zh-CN" w:bidi="ar"/>
        </w:rPr>
        <w:t>2</w:t>
      </w:r>
      <w:r>
        <w:rPr>
          <w:rFonts w:hint="eastAsia" w:cs="Times New Roman"/>
          <w:color w:val="auto"/>
          <w:kern w:val="0"/>
          <w:sz w:val="24"/>
          <w:szCs w:val="24"/>
          <w:lang w:val="en-US" w:eastAsia="zh-CN" w:bidi="ar"/>
        </w:rPr>
        <w:t>等具有混凝效果，在静止态会很快沉淀，且沉淀后出水效果良好。</w:t>
      </w:r>
    </w:p>
    <w:p w14:paraId="6B47B9A7">
      <w:pPr>
        <w:keepNext w:val="0"/>
        <w:keepLines w:val="0"/>
        <w:widowControl/>
        <w:suppressLineNumbers w:val="0"/>
        <w:jc w:val="left"/>
        <w:rPr>
          <w:rFonts w:hint="default" w:cs="Times New Roman"/>
          <w:color w:val="auto"/>
          <w:kern w:val="0"/>
          <w:sz w:val="24"/>
          <w:szCs w:val="24"/>
          <w:lang w:val="en-US" w:eastAsia="zh-CN" w:bidi="ar"/>
        </w:rPr>
      </w:pPr>
      <w:r>
        <w:rPr>
          <w:rFonts w:hint="eastAsia" w:cs="Times New Roman"/>
          <w:color w:val="auto"/>
          <w:kern w:val="0"/>
          <w:sz w:val="24"/>
          <w:szCs w:val="24"/>
          <w:lang w:val="en-US" w:eastAsia="zh-CN" w:bidi="ar"/>
        </w:rPr>
        <w:t>根据项目全线各隧道地质详勘报告，隧道段无地下水出露。经钻孔得知勘探深度范围内未见地下水，地下水类型主要为第四系、第三系孔隙水、基岩裂隙水及构造裂隙水。第四系孔隙水主要为潜水，其赋存在冲积平原碎石土、岩体空隙中，其含水量较弱，且受气候、降水变化影响较明显。遂址区地下水未出露，受气候、降水影响，隧道区水文地质条件简单，可不考虑地表水、地下水的影响。因此本项目隧道涌水量很小，施工过程中采取顺坡施工，在隧道开挖面底两侧设置排水边沟和机械排水管路。每隔500米设一个集水、排水泵站，将水分级提升排出洞外。</w:t>
      </w:r>
    </w:p>
    <w:p w14:paraId="64C77860">
      <w:pPr>
        <w:keepNext w:val="0"/>
        <w:keepLines w:val="0"/>
        <w:widowControl/>
        <w:suppressLineNumbers w:val="0"/>
        <w:jc w:val="left"/>
        <w:rPr>
          <w:rFonts w:hint="eastAsia" w:cs="Times New Roman"/>
          <w:color w:val="auto"/>
          <w:kern w:val="0"/>
          <w:sz w:val="24"/>
          <w:szCs w:val="24"/>
          <w:lang w:val="en-US" w:eastAsia="zh-CN" w:bidi="ar"/>
        </w:rPr>
      </w:pPr>
      <w:r>
        <w:rPr>
          <w:rFonts w:hint="eastAsia" w:cs="Times New Roman"/>
          <w:color w:val="auto"/>
          <w:kern w:val="0"/>
          <w:sz w:val="24"/>
          <w:szCs w:val="24"/>
          <w:lang w:val="en-US" w:eastAsia="zh-CN" w:bidi="ar"/>
        </w:rPr>
        <w:t>隧道施工废水经设置的排水沟收集至附近的沉淀池进行沉淀处理后，回用于隧道开挖、混凝土养护及洒水降尘等施工生产用水，不外排。</w:t>
      </w:r>
    </w:p>
    <w:p w14:paraId="1483BF3F">
      <w:pPr>
        <w:keepNext w:val="0"/>
        <w:keepLines w:val="0"/>
        <w:widowControl/>
        <w:suppressLineNumbers w:val="0"/>
        <w:jc w:val="left"/>
        <w:rPr>
          <w:rFonts w:hint="eastAsia" w:cs="Times New Roman"/>
          <w:color w:val="auto"/>
          <w:kern w:val="0"/>
          <w:sz w:val="24"/>
          <w:szCs w:val="24"/>
          <w:lang w:val="en-US" w:eastAsia="zh-CN" w:bidi="ar"/>
        </w:rPr>
      </w:pPr>
      <w:r>
        <w:rPr>
          <w:rFonts w:hint="eastAsia" w:cs="Times New Roman"/>
          <w:color w:val="auto"/>
          <w:kern w:val="0"/>
          <w:sz w:val="24"/>
          <w:szCs w:val="24"/>
          <w:lang w:val="en-US" w:eastAsia="zh-CN" w:bidi="ar"/>
        </w:rPr>
        <w:t>在落实隧道施工废水处理要求后，拟建公路施工期隧道施工废水不会对沿线地表水体的水环境质量和水生生态环境造成明显影响。</w:t>
      </w:r>
    </w:p>
    <w:p w14:paraId="000AFAD8">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eastAsia" w:cs="Times New Roman"/>
          <w:color w:val="auto"/>
          <w:kern w:val="0"/>
          <w:sz w:val="24"/>
          <w:szCs w:val="24"/>
          <w:lang w:val="en-US" w:eastAsia="zh-CN" w:bidi="ar"/>
        </w:rPr>
        <w:t>②施工站场废水</w:t>
      </w:r>
    </w:p>
    <w:p w14:paraId="291BE4F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预制构件场和</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站用于制作桥涵所需的各种规格的预制构件及路面工程基层水泥稳定碎石的</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在搅拌混凝土的生产过程及制作预制构件时会有废水产生，其中又以混凝土转筒和料罐的冲洗废水为主要的表现形式。混凝土生产废水的排放具有悬浮物浓度高、水量小、间歇集中排放等特点。混凝土养护废水、砂石料冲洗废水和水泥混凝土拌合废水经沉淀、中和处理后，循环用于下一轮混凝土制备用水，少量剩余的用于施工场地洒水防尘，不向外排放，不会对周围水体产生影响。</w:t>
      </w:r>
    </w:p>
    <w:p w14:paraId="2B9278B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车辆、机械设备冲洗，施工机械跑、冒、滴、漏的污油及露天机械受雨水冲刷等将产生少量含油污水。施工场地内设置隔油池、沉淀池，生产废水收集经隔油、沉淀处理后全部回用于地表喷洒抑尘，不外排。</w:t>
      </w:r>
    </w:p>
    <w:p w14:paraId="3D9CDDEB">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5.4.1.</w:t>
      </w:r>
      <w:r>
        <w:rPr>
          <w:rFonts w:hint="eastAsia" w:cs="Times New Roman"/>
          <w:color w:val="auto"/>
          <w:lang w:val="en-US" w:eastAsia="zh-CN"/>
        </w:rPr>
        <w:t>2</w:t>
      </w:r>
      <w:r>
        <w:rPr>
          <w:rFonts w:hint="default" w:ascii="Times New Roman" w:hAnsi="Times New Roman" w:cs="Times New Roman"/>
          <w:color w:val="auto"/>
          <w:lang w:val="en-US" w:eastAsia="zh-CN"/>
        </w:rPr>
        <w:t xml:space="preserve"> 施工生活污水影响分析</w:t>
      </w:r>
    </w:p>
    <w:p w14:paraId="5B679A8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施工人员均来自当地，施工人员临时生活设施依托项目周边民房。施工期废水的影响会随着施工期的结束而结束，对周围环境影响较小。</w:t>
      </w:r>
    </w:p>
    <w:p w14:paraId="6D8D27F0">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5.4.2 运营期</w:t>
      </w:r>
    </w:p>
    <w:p w14:paraId="0050B60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kern w:val="0"/>
          <w:sz w:val="24"/>
          <w:szCs w:val="24"/>
          <w:lang w:val="en-US" w:eastAsia="zh-CN" w:bidi="ar"/>
        </w:rPr>
        <w:t>本项目线路不经过地表水体，</w:t>
      </w:r>
      <w:r>
        <w:rPr>
          <w:rFonts w:hint="default" w:ascii="Times New Roman" w:hAnsi="Times New Roman" w:eastAsia="宋体" w:cs="Times New Roman"/>
          <w:color w:val="auto"/>
          <w:kern w:val="0"/>
          <w:sz w:val="24"/>
          <w:szCs w:val="24"/>
          <w:lang w:val="en-US" w:eastAsia="zh-CN" w:bidi="ar"/>
        </w:rPr>
        <w:t>运营期水环境污染源主要设置收费站1处</w:t>
      </w:r>
      <w:r>
        <w:rPr>
          <w:rFonts w:hint="default" w:ascii="Times New Roman" w:hAnsi="Times New Roman" w:cs="Times New Roman"/>
          <w:color w:val="auto"/>
          <w:kern w:val="0"/>
          <w:sz w:val="24"/>
          <w:szCs w:val="24"/>
          <w:lang w:val="en-US" w:eastAsia="zh-CN" w:bidi="ar"/>
        </w:rPr>
        <w:t>（隧道管理站合建）</w:t>
      </w:r>
      <w:r>
        <w:rPr>
          <w:rFonts w:hint="default" w:ascii="Times New Roman" w:hAnsi="Times New Roman" w:eastAsia="宋体" w:cs="Times New Roman"/>
          <w:color w:val="auto"/>
          <w:kern w:val="0"/>
          <w:sz w:val="24"/>
          <w:szCs w:val="24"/>
          <w:lang w:val="en-US" w:eastAsia="zh-CN" w:bidi="ar"/>
        </w:rPr>
        <w:t>运行产生的生活污水以及降雨冲刷路面产生的路面径流污水等。</w:t>
      </w:r>
    </w:p>
    <w:p w14:paraId="3893097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kern w:val="0"/>
          <w:sz w:val="24"/>
          <w:highlight w:val="none"/>
          <w:lang w:val="en-US" w:eastAsia="zh-CN"/>
        </w:rPr>
      </w:pPr>
      <w:r>
        <w:rPr>
          <w:rFonts w:hint="default" w:ascii="Times New Roman" w:hAnsi="Times New Roman" w:eastAsia="宋体" w:cs="Times New Roman"/>
          <w:b w:val="0"/>
          <w:bCs w:val="0"/>
          <w:color w:val="auto"/>
          <w:kern w:val="0"/>
          <w:sz w:val="24"/>
          <w:highlight w:val="none"/>
          <w:lang w:eastAsia="zh-CN"/>
        </w:rPr>
        <w:t>（</w:t>
      </w:r>
      <w:r>
        <w:rPr>
          <w:rFonts w:hint="default" w:ascii="Times New Roman" w:hAnsi="Times New Roman" w:eastAsia="宋体" w:cs="Times New Roman"/>
          <w:b w:val="0"/>
          <w:bCs w:val="0"/>
          <w:color w:val="auto"/>
          <w:kern w:val="0"/>
          <w:sz w:val="24"/>
          <w:highlight w:val="none"/>
          <w:lang w:val="en-US" w:eastAsia="zh-CN"/>
        </w:rPr>
        <w:t>1</w:t>
      </w:r>
      <w:r>
        <w:rPr>
          <w:rFonts w:hint="default" w:ascii="Times New Roman" w:hAnsi="Times New Roman" w:eastAsia="宋体" w:cs="Times New Roman"/>
          <w:b w:val="0"/>
          <w:bCs w:val="0"/>
          <w:color w:val="auto"/>
          <w:kern w:val="0"/>
          <w:sz w:val="24"/>
          <w:highlight w:val="none"/>
          <w:lang w:eastAsia="zh-CN"/>
        </w:rPr>
        <w:t>）</w:t>
      </w:r>
      <w:r>
        <w:rPr>
          <w:rFonts w:hint="default" w:ascii="Times New Roman" w:hAnsi="Times New Roman" w:eastAsia="宋体" w:cs="Times New Roman"/>
          <w:b w:val="0"/>
          <w:bCs w:val="0"/>
          <w:color w:val="auto"/>
          <w:kern w:val="0"/>
          <w:sz w:val="24"/>
          <w:highlight w:val="none"/>
          <w:lang w:val="en-US" w:eastAsia="zh-CN"/>
        </w:rPr>
        <w:t>收费站（与隧道管理站合建）水环境影响分析</w:t>
      </w:r>
    </w:p>
    <w:p w14:paraId="67694B8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lang w:eastAsia="zh-CN"/>
        </w:rPr>
      </w:pPr>
      <w:r>
        <w:rPr>
          <w:rFonts w:hint="default" w:ascii="Times New Roman" w:hAnsi="Times New Roman" w:eastAsia="宋体" w:cs="Times New Roman"/>
          <w:b w:val="0"/>
          <w:bCs w:val="0"/>
          <w:color w:val="auto"/>
          <w:kern w:val="0"/>
          <w:sz w:val="24"/>
          <w:highlight w:val="none"/>
          <w:lang w:val="en-US" w:eastAsia="zh-CN"/>
        </w:rPr>
        <w:t>本项目设置收费站（与隧道管理站合建）1处，其固定工作人员为15人；流动人员约每天最大量100人。收费站1处（与隧道管理站合建）产生的污水量为</w:t>
      </w:r>
      <w:r>
        <w:rPr>
          <w:rFonts w:hint="default" w:ascii="Times New Roman" w:hAnsi="Times New Roman" w:eastAsia="宋体" w:cs="Times New Roman"/>
          <w:color w:val="auto"/>
          <w:sz w:val="24"/>
          <w:szCs w:val="24"/>
          <w:lang w:val="en-US" w:eastAsia="zh-CN"/>
        </w:rPr>
        <w:t>2.4</w:t>
      </w:r>
      <w:r>
        <w:rPr>
          <w:rFonts w:hint="default" w:ascii="Times New Roman" w:hAnsi="Times New Roman" w:eastAsia="宋体" w:cs="Times New Roman"/>
          <w:bCs/>
          <w:color w:val="auto"/>
          <w:sz w:val="24"/>
        </w:rPr>
        <w:t>m</w:t>
      </w:r>
      <w:r>
        <w:rPr>
          <w:rFonts w:hint="default" w:ascii="Times New Roman" w:hAnsi="Times New Roman" w:eastAsia="宋体" w:cs="Times New Roman"/>
          <w:bCs/>
          <w:color w:val="auto"/>
          <w:sz w:val="24"/>
          <w:vertAlign w:val="superscript"/>
        </w:rPr>
        <w:t>3</w:t>
      </w:r>
      <w:r>
        <w:rPr>
          <w:rFonts w:hint="default" w:ascii="Times New Roman" w:hAnsi="Times New Roman" w:eastAsia="宋体" w:cs="Times New Roman"/>
          <w:bCs/>
          <w:color w:val="auto"/>
          <w:sz w:val="24"/>
        </w:rPr>
        <w:t>/d（</w:t>
      </w:r>
      <w:r>
        <w:rPr>
          <w:rFonts w:hint="default" w:ascii="Times New Roman" w:hAnsi="Times New Roman" w:eastAsia="宋体" w:cs="Times New Roman"/>
          <w:bCs/>
          <w:color w:val="auto"/>
          <w:sz w:val="24"/>
          <w:lang w:val="en-US" w:eastAsia="zh-CN"/>
        </w:rPr>
        <w:t>876</w:t>
      </w:r>
      <w:r>
        <w:rPr>
          <w:rFonts w:hint="default" w:ascii="Times New Roman" w:hAnsi="Times New Roman" w:eastAsia="宋体" w:cs="Times New Roman"/>
          <w:bCs/>
          <w:color w:val="auto"/>
          <w:sz w:val="24"/>
        </w:rPr>
        <w:t>m</w:t>
      </w:r>
      <w:r>
        <w:rPr>
          <w:rFonts w:hint="default" w:ascii="Times New Roman" w:hAnsi="Times New Roman" w:eastAsia="宋体" w:cs="Times New Roman"/>
          <w:bCs/>
          <w:color w:val="auto"/>
          <w:sz w:val="24"/>
          <w:vertAlign w:val="superscript"/>
        </w:rPr>
        <w:t>3</w:t>
      </w:r>
      <w:r>
        <w:rPr>
          <w:rFonts w:hint="default" w:ascii="Times New Roman" w:hAnsi="Times New Roman" w:eastAsia="宋体" w:cs="Times New Roman"/>
          <w:bCs/>
          <w:color w:val="auto"/>
          <w:sz w:val="24"/>
        </w:rPr>
        <w:t>/a）</w:t>
      </w:r>
      <w:r>
        <w:rPr>
          <w:rFonts w:hint="default" w:ascii="Times New Roman" w:hAnsi="Times New Roman" w:eastAsia="宋体" w:cs="Times New Roman"/>
          <w:bCs/>
          <w:color w:val="auto"/>
          <w:sz w:val="24"/>
          <w:lang w:eastAsia="zh-CN"/>
        </w:rPr>
        <w:t>，生活污水属于水质较为简单，易处理废水。因此，</w:t>
      </w:r>
      <w:r>
        <w:rPr>
          <w:rFonts w:hint="default" w:ascii="Times New Roman" w:hAnsi="Times New Roman" w:eastAsia="宋体" w:cs="Times New Roman"/>
          <w:bCs/>
          <w:color w:val="auto"/>
          <w:sz w:val="24"/>
          <w:lang w:val="en-US" w:eastAsia="zh-CN"/>
        </w:rPr>
        <w:t>项目</w:t>
      </w:r>
      <w:r>
        <w:rPr>
          <w:rFonts w:hint="default" w:ascii="Times New Roman" w:hAnsi="Times New Roman" w:eastAsia="宋体" w:cs="Times New Roman"/>
          <w:bCs/>
          <w:color w:val="auto"/>
          <w:sz w:val="24"/>
          <w:lang w:eastAsia="zh-CN"/>
        </w:rPr>
        <w:t>在站内设置地埋式一体化污水处理设施处理，达到《农村生活污水处理排放标准》（DB65 4275-2019）A级标准后用于站区及周围绿化、降尘等；</w:t>
      </w:r>
      <w:r>
        <w:rPr>
          <w:rFonts w:hint="default" w:ascii="Times New Roman" w:hAnsi="Times New Roman" w:eastAsia="宋体" w:cs="Times New Roman"/>
          <w:bCs/>
          <w:color w:val="auto"/>
          <w:sz w:val="24"/>
          <w:lang w:val="en-US" w:eastAsia="zh-CN"/>
        </w:rPr>
        <w:t>站内在地埋式一体化污水处理设施附近配置一座收集池（容积为：400m</w:t>
      </w:r>
      <w:r>
        <w:rPr>
          <w:rFonts w:hint="default" w:ascii="Times New Roman" w:hAnsi="Times New Roman" w:eastAsia="宋体" w:cs="Times New Roman"/>
          <w:bCs/>
          <w:color w:val="auto"/>
          <w:sz w:val="24"/>
          <w:vertAlign w:val="superscript"/>
          <w:lang w:val="en-US" w:eastAsia="zh-CN"/>
        </w:rPr>
        <w:t>3</w:t>
      </w:r>
      <w:r>
        <w:rPr>
          <w:rFonts w:hint="default" w:ascii="Times New Roman" w:hAnsi="Times New Roman" w:eastAsia="宋体" w:cs="Times New Roman"/>
          <w:bCs/>
          <w:color w:val="auto"/>
          <w:sz w:val="24"/>
          <w:lang w:val="en-US" w:eastAsia="zh-CN"/>
        </w:rPr>
        <w:t>），用于存放冬季处理后的水，待来年绿化期后进行绿化灌溉。项目运营期产生的生活污水</w:t>
      </w:r>
      <w:r>
        <w:rPr>
          <w:rFonts w:hint="default" w:ascii="Times New Roman" w:hAnsi="Times New Roman" w:eastAsia="宋体" w:cs="Times New Roman"/>
          <w:bCs/>
          <w:color w:val="auto"/>
          <w:sz w:val="24"/>
          <w:lang w:eastAsia="zh-CN"/>
        </w:rPr>
        <w:t>不外排，</w:t>
      </w:r>
      <w:r>
        <w:rPr>
          <w:rFonts w:hint="default" w:ascii="Times New Roman" w:hAnsi="Times New Roman" w:eastAsia="宋体" w:cs="Times New Roman"/>
          <w:bCs/>
          <w:color w:val="auto"/>
          <w:sz w:val="24"/>
          <w:lang w:val="en-US" w:eastAsia="zh-CN"/>
        </w:rPr>
        <w:t>对外环境不造成</w:t>
      </w:r>
      <w:r>
        <w:rPr>
          <w:rFonts w:hint="default" w:ascii="Times New Roman" w:hAnsi="Times New Roman" w:eastAsia="宋体" w:cs="Times New Roman"/>
          <w:bCs/>
          <w:color w:val="auto"/>
          <w:sz w:val="24"/>
          <w:lang w:eastAsia="zh-CN"/>
        </w:rPr>
        <w:t>影响。</w:t>
      </w:r>
    </w:p>
    <w:p w14:paraId="21E5CA8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kern w:val="0"/>
          <w:sz w:val="24"/>
          <w:highlight w:val="none"/>
          <w:lang w:val="en-US" w:eastAsia="zh-CN"/>
        </w:rPr>
      </w:pPr>
      <w:r>
        <w:rPr>
          <w:rFonts w:hint="default" w:ascii="Times New Roman" w:hAnsi="Times New Roman" w:eastAsia="宋体" w:cs="Times New Roman"/>
          <w:b w:val="0"/>
          <w:bCs w:val="0"/>
          <w:color w:val="auto"/>
          <w:kern w:val="0"/>
          <w:sz w:val="24"/>
          <w:highlight w:val="none"/>
          <w:lang w:val="en-US" w:eastAsia="zh-CN"/>
        </w:rPr>
        <w:t>（2）路面径流</w:t>
      </w:r>
    </w:p>
    <w:p w14:paraId="29FF21B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kern w:val="0"/>
          <w:sz w:val="24"/>
          <w:szCs w:val="24"/>
          <w:highlight w:val="none"/>
          <w:lang w:val="en-US" w:eastAsia="zh-CN" w:bidi="ar-SA"/>
        </w:rPr>
      </w:pPr>
      <w:r>
        <w:rPr>
          <w:rFonts w:hint="default" w:ascii="Times New Roman" w:hAnsi="Times New Roman" w:eastAsia="宋体" w:cs="Times New Roman"/>
          <w:b w:val="0"/>
          <w:bCs w:val="0"/>
          <w:color w:val="auto"/>
          <w:kern w:val="0"/>
          <w:sz w:val="24"/>
          <w:szCs w:val="24"/>
          <w:highlight w:val="none"/>
          <w:lang w:val="en-US" w:eastAsia="zh-CN" w:bidi="ar-SA"/>
        </w:rPr>
        <w:t>本项目运营期主要的水污染源是路面径流。路面径流污染物主要是SS、石油类和有机物，污染物浓度受限于多种因素，如车流量、车辆类型、降雨强度、灰尘沉降量和前期干旱时间等，因此具有一定程度的不确定性。根据国内对南方地区路面径流污染情况试验有关资料，路面径流中污染物浓变值详见表</w:t>
      </w:r>
      <w:r>
        <w:rPr>
          <w:rFonts w:hint="eastAsia" w:cs="Times New Roman"/>
          <w:b w:val="0"/>
          <w:bCs w:val="0"/>
          <w:color w:val="auto"/>
          <w:kern w:val="0"/>
          <w:sz w:val="24"/>
          <w:szCs w:val="24"/>
          <w:highlight w:val="none"/>
          <w:lang w:val="en-US" w:eastAsia="zh-CN" w:bidi="ar-SA"/>
        </w:rPr>
        <w:t>5.4-1</w:t>
      </w:r>
      <w:r>
        <w:rPr>
          <w:rFonts w:hint="default" w:ascii="Times New Roman" w:hAnsi="Times New Roman" w:eastAsia="宋体" w:cs="Times New Roman"/>
          <w:b w:val="0"/>
          <w:bCs w:val="0"/>
          <w:color w:val="auto"/>
          <w:kern w:val="0"/>
          <w:sz w:val="24"/>
          <w:szCs w:val="24"/>
          <w:highlight w:val="none"/>
          <w:lang w:val="en-US" w:eastAsia="zh-CN" w:bidi="ar-SA"/>
        </w:rPr>
        <w:t>。</w:t>
      </w:r>
    </w:p>
    <w:p w14:paraId="15E6487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rPr>
      </w:pPr>
      <w:r>
        <w:rPr>
          <w:rFonts w:hint="default" w:ascii="Times New Roman" w:hAnsi="Times New Roman" w:eastAsia="宋体" w:cs="Times New Roman"/>
          <w:b/>
          <w:bCs/>
          <w:color w:val="auto"/>
          <w:kern w:val="0"/>
          <w:sz w:val="21"/>
          <w:szCs w:val="21"/>
          <w:lang w:val="en-US" w:eastAsia="zh-CN" w:bidi="ar"/>
        </w:rPr>
        <w:t>表</w:t>
      </w:r>
      <w:r>
        <w:rPr>
          <w:rFonts w:hint="eastAsia" w:cs="Times New Roman"/>
          <w:b/>
          <w:bCs/>
          <w:color w:val="auto"/>
          <w:kern w:val="0"/>
          <w:sz w:val="21"/>
          <w:szCs w:val="21"/>
          <w:lang w:val="en-US" w:eastAsia="zh-CN" w:bidi="ar"/>
        </w:rPr>
        <w:t>5.4-1</w:t>
      </w:r>
      <w:r>
        <w:rPr>
          <w:rFonts w:hint="default" w:ascii="Times New Roman" w:hAnsi="Times New Roman" w:eastAsia="宋体" w:cs="Times New Roman"/>
          <w:b/>
          <w:bCs/>
          <w:color w:val="auto"/>
          <w:kern w:val="0"/>
          <w:sz w:val="21"/>
          <w:szCs w:val="21"/>
          <w:lang w:val="en-US" w:eastAsia="zh-CN" w:bidi="ar"/>
        </w:rPr>
        <w:t xml:space="preserve">    路面径流污染物浓度表</w:t>
      </w:r>
    </w:p>
    <w:tbl>
      <w:tblPr>
        <w:tblStyle w:val="3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31"/>
        <w:gridCol w:w="1869"/>
        <w:gridCol w:w="1733"/>
        <w:gridCol w:w="1595"/>
        <w:gridCol w:w="1097"/>
      </w:tblGrid>
      <w:tr w14:paraId="1E391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8" w:type="pct"/>
            <w:tcBorders>
              <w:tl2br w:val="nil"/>
              <w:tr2bl w:val="nil"/>
            </w:tcBorders>
            <w:noWrap w:val="0"/>
            <w:vAlign w:val="center"/>
          </w:tcPr>
          <w:p w14:paraId="7D907D5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项目</w:t>
            </w:r>
          </w:p>
        </w:tc>
        <w:tc>
          <w:tcPr>
            <w:tcW w:w="1096" w:type="pct"/>
            <w:tcBorders>
              <w:tl2br w:val="nil"/>
              <w:tr2bl w:val="nil"/>
            </w:tcBorders>
            <w:noWrap w:val="0"/>
            <w:vAlign w:val="center"/>
          </w:tcPr>
          <w:p w14:paraId="26180C7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5-20分钟</w:t>
            </w:r>
          </w:p>
        </w:tc>
        <w:tc>
          <w:tcPr>
            <w:tcW w:w="1016" w:type="pct"/>
            <w:tcBorders>
              <w:tl2br w:val="nil"/>
              <w:tr2bl w:val="nil"/>
            </w:tcBorders>
            <w:noWrap w:val="0"/>
            <w:vAlign w:val="center"/>
          </w:tcPr>
          <w:p w14:paraId="39E3EE0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20-40分钟</w:t>
            </w:r>
          </w:p>
        </w:tc>
        <w:tc>
          <w:tcPr>
            <w:tcW w:w="935" w:type="pct"/>
            <w:tcBorders>
              <w:tl2br w:val="nil"/>
              <w:tr2bl w:val="nil"/>
            </w:tcBorders>
            <w:noWrap w:val="0"/>
            <w:vAlign w:val="center"/>
          </w:tcPr>
          <w:p w14:paraId="2530085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40-60分钟</w:t>
            </w:r>
          </w:p>
        </w:tc>
        <w:tc>
          <w:tcPr>
            <w:tcW w:w="643" w:type="pct"/>
            <w:tcBorders>
              <w:tl2br w:val="nil"/>
              <w:tr2bl w:val="nil"/>
            </w:tcBorders>
            <w:noWrap w:val="0"/>
            <w:vAlign w:val="center"/>
          </w:tcPr>
          <w:p w14:paraId="4DA10A8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平均值</w:t>
            </w:r>
          </w:p>
        </w:tc>
      </w:tr>
      <w:tr w14:paraId="2290E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8" w:type="pct"/>
            <w:tcBorders>
              <w:tl2br w:val="nil"/>
              <w:tr2bl w:val="nil"/>
            </w:tcBorders>
            <w:noWrap w:val="0"/>
            <w:vAlign w:val="center"/>
          </w:tcPr>
          <w:p w14:paraId="04A2F9E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SS（mg/L）</w:t>
            </w:r>
          </w:p>
        </w:tc>
        <w:tc>
          <w:tcPr>
            <w:tcW w:w="1096" w:type="pct"/>
            <w:tcBorders>
              <w:tl2br w:val="nil"/>
              <w:tr2bl w:val="nil"/>
            </w:tcBorders>
            <w:noWrap w:val="0"/>
            <w:vAlign w:val="center"/>
          </w:tcPr>
          <w:p w14:paraId="1C15672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231.42-158.22</w:t>
            </w:r>
          </w:p>
        </w:tc>
        <w:tc>
          <w:tcPr>
            <w:tcW w:w="1016" w:type="pct"/>
            <w:tcBorders>
              <w:tl2br w:val="nil"/>
              <w:tr2bl w:val="nil"/>
            </w:tcBorders>
            <w:noWrap w:val="0"/>
            <w:vAlign w:val="center"/>
          </w:tcPr>
          <w:p w14:paraId="3A54B5A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158.22-90.36</w:t>
            </w:r>
          </w:p>
        </w:tc>
        <w:tc>
          <w:tcPr>
            <w:tcW w:w="935" w:type="pct"/>
            <w:tcBorders>
              <w:tl2br w:val="nil"/>
              <w:tr2bl w:val="nil"/>
            </w:tcBorders>
            <w:noWrap w:val="0"/>
            <w:vAlign w:val="center"/>
          </w:tcPr>
          <w:p w14:paraId="5D664DA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90.36-18.71</w:t>
            </w:r>
          </w:p>
        </w:tc>
        <w:tc>
          <w:tcPr>
            <w:tcW w:w="643" w:type="pct"/>
            <w:tcBorders>
              <w:tl2br w:val="nil"/>
              <w:tr2bl w:val="nil"/>
            </w:tcBorders>
            <w:noWrap w:val="0"/>
            <w:vAlign w:val="center"/>
          </w:tcPr>
          <w:p w14:paraId="103B568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100</w:t>
            </w:r>
          </w:p>
        </w:tc>
      </w:tr>
      <w:tr w14:paraId="6582A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8" w:type="pct"/>
            <w:tcBorders>
              <w:tl2br w:val="nil"/>
              <w:tr2bl w:val="nil"/>
            </w:tcBorders>
            <w:noWrap w:val="0"/>
            <w:vAlign w:val="center"/>
          </w:tcPr>
          <w:p w14:paraId="5578E6B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BOD</w:t>
            </w:r>
            <w:r>
              <w:rPr>
                <w:rFonts w:hint="default" w:ascii="Times New Roman" w:hAnsi="Times New Roman" w:eastAsia="宋体" w:cs="Times New Roman"/>
                <w:color w:val="auto"/>
                <w:kern w:val="0"/>
                <w:sz w:val="21"/>
                <w:szCs w:val="21"/>
                <w:vertAlign w:val="subscript"/>
                <w:lang w:val="en-US" w:eastAsia="zh-CN" w:bidi="ar"/>
              </w:rPr>
              <w:t>5</w:t>
            </w:r>
            <w:r>
              <w:rPr>
                <w:rFonts w:hint="default" w:ascii="Times New Roman" w:hAnsi="Times New Roman" w:eastAsia="宋体" w:cs="Times New Roman"/>
                <w:color w:val="auto"/>
                <w:kern w:val="0"/>
                <w:sz w:val="21"/>
                <w:szCs w:val="21"/>
                <w:lang w:val="en-US" w:eastAsia="zh-CN" w:bidi="ar"/>
              </w:rPr>
              <w:t>（mg/L）</w:t>
            </w:r>
          </w:p>
        </w:tc>
        <w:tc>
          <w:tcPr>
            <w:tcW w:w="1096" w:type="pct"/>
            <w:tcBorders>
              <w:tl2br w:val="nil"/>
              <w:tr2bl w:val="nil"/>
            </w:tcBorders>
            <w:noWrap w:val="0"/>
            <w:vAlign w:val="center"/>
          </w:tcPr>
          <w:p w14:paraId="5534A55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7.34-7.30</w:t>
            </w:r>
          </w:p>
        </w:tc>
        <w:tc>
          <w:tcPr>
            <w:tcW w:w="1016" w:type="pct"/>
            <w:tcBorders>
              <w:tl2br w:val="nil"/>
              <w:tr2bl w:val="nil"/>
            </w:tcBorders>
            <w:noWrap w:val="0"/>
            <w:vAlign w:val="center"/>
          </w:tcPr>
          <w:p w14:paraId="7D109A3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7.30-4.15</w:t>
            </w:r>
          </w:p>
        </w:tc>
        <w:tc>
          <w:tcPr>
            <w:tcW w:w="935" w:type="pct"/>
            <w:tcBorders>
              <w:tl2br w:val="nil"/>
              <w:tr2bl w:val="nil"/>
            </w:tcBorders>
            <w:noWrap w:val="0"/>
            <w:vAlign w:val="center"/>
          </w:tcPr>
          <w:p w14:paraId="389ACE8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4.15-1.26</w:t>
            </w:r>
          </w:p>
        </w:tc>
        <w:tc>
          <w:tcPr>
            <w:tcW w:w="643" w:type="pct"/>
            <w:tcBorders>
              <w:tl2br w:val="nil"/>
              <w:tr2bl w:val="nil"/>
            </w:tcBorders>
            <w:noWrap w:val="0"/>
            <w:vAlign w:val="center"/>
          </w:tcPr>
          <w:p w14:paraId="1640C24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5.08</w:t>
            </w:r>
          </w:p>
        </w:tc>
      </w:tr>
      <w:tr w14:paraId="37DEE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8" w:type="pct"/>
            <w:tcBorders>
              <w:tl2br w:val="nil"/>
              <w:tr2bl w:val="nil"/>
            </w:tcBorders>
            <w:noWrap w:val="0"/>
            <w:vAlign w:val="center"/>
          </w:tcPr>
          <w:p w14:paraId="0CAF912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石油类（mg/L）</w:t>
            </w:r>
          </w:p>
        </w:tc>
        <w:tc>
          <w:tcPr>
            <w:tcW w:w="1096" w:type="pct"/>
            <w:tcBorders>
              <w:tl2br w:val="nil"/>
              <w:tr2bl w:val="nil"/>
            </w:tcBorders>
            <w:noWrap w:val="0"/>
            <w:vAlign w:val="center"/>
          </w:tcPr>
          <w:p w14:paraId="15580E4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22.30-19.74</w:t>
            </w:r>
          </w:p>
        </w:tc>
        <w:tc>
          <w:tcPr>
            <w:tcW w:w="1016" w:type="pct"/>
            <w:tcBorders>
              <w:tl2br w:val="nil"/>
              <w:tr2bl w:val="nil"/>
            </w:tcBorders>
            <w:noWrap w:val="0"/>
            <w:vAlign w:val="center"/>
          </w:tcPr>
          <w:p w14:paraId="1EA9A20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19.74-3.12</w:t>
            </w:r>
          </w:p>
        </w:tc>
        <w:tc>
          <w:tcPr>
            <w:tcW w:w="935" w:type="pct"/>
            <w:tcBorders>
              <w:tl2br w:val="nil"/>
              <w:tr2bl w:val="nil"/>
            </w:tcBorders>
            <w:noWrap w:val="0"/>
            <w:vAlign w:val="center"/>
          </w:tcPr>
          <w:p w14:paraId="15655B4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3.12-0.21</w:t>
            </w:r>
          </w:p>
        </w:tc>
        <w:tc>
          <w:tcPr>
            <w:tcW w:w="643" w:type="pct"/>
            <w:tcBorders>
              <w:tl2br w:val="nil"/>
              <w:tr2bl w:val="nil"/>
            </w:tcBorders>
            <w:noWrap w:val="0"/>
            <w:vAlign w:val="center"/>
          </w:tcPr>
          <w:p w14:paraId="6BD972C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11.25</w:t>
            </w:r>
          </w:p>
        </w:tc>
      </w:tr>
    </w:tbl>
    <w:p w14:paraId="278BCDD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kern w:val="0"/>
          <w:sz w:val="24"/>
          <w:szCs w:val="24"/>
          <w:highlight w:val="none"/>
          <w:lang w:val="en-US" w:eastAsia="zh-CN" w:bidi="ar-SA"/>
        </w:rPr>
      </w:pPr>
      <w:r>
        <w:rPr>
          <w:rFonts w:hint="default" w:ascii="Times New Roman" w:hAnsi="Times New Roman" w:eastAsia="宋体" w:cs="Times New Roman"/>
          <w:b w:val="0"/>
          <w:bCs w:val="0"/>
          <w:color w:val="auto"/>
          <w:kern w:val="0"/>
          <w:sz w:val="24"/>
          <w:szCs w:val="24"/>
          <w:highlight w:val="none"/>
          <w:lang w:val="en-US" w:eastAsia="zh-CN" w:bidi="ar-SA"/>
        </w:rPr>
        <w:t>根据上表分析，在路面污染负荷比较一致的情况下，降雨初期到形成路面径流的20min内，雨水径流中的SS和石油类物质的浓度比较高，含量分别可达158.5~231.4mgL、19.74~22.30mg；20min后，其浓度随降雨历时的延长下降速度较快；降雨历时40min后，路面基本被冲洗干净，污染物含量较低，本项目工程量较短，且随着降雨历时增加，道路表面径流污染物浓度迅速下降，加之道路表面径流是短期和暂时的，因而对周边环境影响很小。</w:t>
      </w:r>
    </w:p>
    <w:p w14:paraId="33C4DD25">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5.4.3 地表水环境影响评价结论</w:t>
      </w:r>
    </w:p>
    <w:p w14:paraId="7060BB9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运营期收费站</w:t>
      </w:r>
      <w:r>
        <w:rPr>
          <w:rFonts w:hint="eastAsia" w:cs="Times New Roman"/>
          <w:color w:val="auto"/>
          <w:kern w:val="0"/>
          <w:sz w:val="24"/>
          <w:szCs w:val="24"/>
          <w:lang w:val="en-US" w:eastAsia="zh-CN" w:bidi="ar"/>
        </w:rPr>
        <w:t>（隧道管理站）</w:t>
      </w:r>
      <w:r>
        <w:rPr>
          <w:rFonts w:hint="default" w:ascii="Times New Roman" w:hAnsi="Times New Roman" w:eastAsia="宋体" w:cs="Times New Roman"/>
          <w:color w:val="auto"/>
          <w:kern w:val="0"/>
          <w:sz w:val="24"/>
          <w:szCs w:val="24"/>
          <w:lang w:val="en-US" w:eastAsia="zh-CN" w:bidi="ar"/>
        </w:rPr>
        <w:t>生活污水经过处理后</w:t>
      </w:r>
      <w:r>
        <w:rPr>
          <w:rFonts w:hint="eastAsia" w:cs="Times New Roman"/>
          <w:color w:val="auto"/>
          <w:kern w:val="0"/>
          <w:sz w:val="24"/>
          <w:szCs w:val="24"/>
          <w:lang w:val="en-US" w:eastAsia="zh-CN" w:bidi="ar"/>
        </w:rPr>
        <w:t>用于站区内绿化</w:t>
      </w:r>
      <w:r>
        <w:rPr>
          <w:rFonts w:hint="default" w:ascii="Times New Roman" w:hAnsi="Times New Roman" w:eastAsia="宋体" w:cs="Times New Roman"/>
          <w:color w:val="auto"/>
          <w:kern w:val="0"/>
          <w:sz w:val="24"/>
          <w:szCs w:val="24"/>
          <w:lang w:val="en-US" w:eastAsia="zh-CN" w:bidi="ar"/>
        </w:rPr>
        <w:t>，污水均不外排，对周围水环境影响较小。</w:t>
      </w:r>
    </w:p>
    <w:p w14:paraId="0004181F">
      <w:pPr>
        <w:keepNext w:val="0"/>
        <w:keepLines w:val="0"/>
        <w:widowControl/>
        <w:suppressLineNumbers w:val="0"/>
        <w:jc w:val="left"/>
        <w:rPr>
          <w:rFonts w:hint="default" w:ascii="Times New Roman" w:hAnsi="Times New Roman" w:cs="Times New Roman"/>
          <w:color w:val="auto"/>
        </w:rPr>
        <w:sectPr>
          <w:pgSz w:w="11906" w:h="16838"/>
          <w:pgMar w:top="1440" w:right="1797" w:bottom="1440" w:left="1797" w:header="851" w:footer="1026" w:gutter="0"/>
          <w:pgBorders>
            <w:top w:val="none" w:sz="0" w:space="0"/>
            <w:left w:val="none" w:sz="0" w:space="0"/>
            <w:bottom w:val="none" w:sz="0" w:space="0"/>
            <w:right w:val="none" w:sz="0" w:space="0"/>
          </w:pgBorders>
          <w:pgNumType w:fmt="decimal"/>
          <w:cols w:space="720" w:num="1"/>
          <w:docGrid w:type="linesAndChars" w:linePitch="312" w:charSpace="0"/>
        </w:sectPr>
      </w:pPr>
    </w:p>
    <w:p w14:paraId="26D748B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表5.4-</w:t>
      </w:r>
      <w:r>
        <w:rPr>
          <w:rFonts w:hint="eastAsia" w:cs="Times New Roman"/>
          <w:b/>
          <w:bCs/>
          <w:color w:val="auto"/>
          <w:kern w:val="0"/>
          <w:sz w:val="21"/>
          <w:szCs w:val="21"/>
          <w:lang w:val="en-US" w:eastAsia="zh-CN" w:bidi="ar"/>
        </w:rPr>
        <w:t>2</w:t>
      </w:r>
      <w:r>
        <w:rPr>
          <w:rFonts w:hint="default" w:ascii="Times New Roman" w:hAnsi="Times New Roman" w:eastAsia="宋体" w:cs="Times New Roman"/>
          <w:b/>
          <w:bCs/>
          <w:color w:val="auto"/>
          <w:kern w:val="0"/>
          <w:sz w:val="21"/>
          <w:szCs w:val="21"/>
          <w:lang w:val="en-US" w:eastAsia="zh-CN" w:bidi="ar"/>
        </w:rPr>
        <w:t xml:space="preserve"> 地表水环境影响评价自查表</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1"/>
        <w:gridCol w:w="1644"/>
        <w:gridCol w:w="390"/>
        <w:gridCol w:w="135"/>
        <w:gridCol w:w="1752"/>
        <w:gridCol w:w="903"/>
        <w:gridCol w:w="59"/>
        <w:gridCol w:w="1315"/>
        <w:gridCol w:w="66"/>
        <w:gridCol w:w="1740"/>
        <w:gridCol w:w="471"/>
        <w:gridCol w:w="761"/>
        <w:gridCol w:w="1516"/>
        <w:gridCol w:w="451"/>
        <w:gridCol w:w="1830"/>
      </w:tblGrid>
      <w:tr w14:paraId="2D4D4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85" w:type="dxa"/>
            <w:gridSpan w:val="2"/>
            <w:vAlign w:val="center"/>
          </w:tcPr>
          <w:p w14:paraId="00CF2887">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工作内容</w:t>
            </w:r>
          </w:p>
        </w:tc>
        <w:tc>
          <w:tcPr>
            <w:tcW w:w="11389" w:type="dxa"/>
            <w:gridSpan w:val="13"/>
            <w:vAlign w:val="center"/>
          </w:tcPr>
          <w:p w14:paraId="2E71E3D4">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自查项目</w:t>
            </w:r>
          </w:p>
        </w:tc>
      </w:tr>
      <w:tr w14:paraId="6CEAB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restart"/>
            <w:vAlign w:val="center"/>
          </w:tcPr>
          <w:p w14:paraId="5C24A204">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影响识别</w:t>
            </w:r>
          </w:p>
        </w:tc>
        <w:tc>
          <w:tcPr>
            <w:tcW w:w="1644" w:type="dxa"/>
            <w:vAlign w:val="center"/>
          </w:tcPr>
          <w:p w14:paraId="7A1A8334">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影响类型</w:t>
            </w:r>
          </w:p>
        </w:tc>
        <w:tc>
          <w:tcPr>
            <w:tcW w:w="11389" w:type="dxa"/>
            <w:gridSpan w:val="13"/>
            <w:vAlign w:val="center"/>
          </w:tcPr>
          <w:p w14:paraId="234094CF">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水污染影响型</w:t>
            </w:r>
            <w:r>
              <w:rPr>
                <w:rFonts w:hint="eastAsia" w:eastAsia="MS UI Gothic"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；水文要素影响型</w:t>
            </w:r>
            <w:r>
              <w:rPr>
                <w:rFonts w:hint="default" w:ascii="Times New Roman" w:hAnsi="Times New Roman" w:cs="Times New Roman"/>
                <w:color w:val="auto"/>
                <w:kern w:val="0"/>
                <w:sz w:val="21"/>
                <w:szCs w:val="21"/>
                <w:lang w:val="en-US" w:eastAsia="zh-CN" w:bidi="ar"/>
              </w:rPr>
              <w:t>□</w:t>
            </w:r>
          </w:p>
        </w:tc>
      </w:tr>
      <w:tr w14:paraId="5E861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431C21FD">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Align w:val="center"/>
          </w:tcPr>
          <w:p w14:paraId="451A7A9F">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水环境保护目标</w:t>
            </w:r>
          </w:p>
        </w:tc>
        <w:tc>
          <w:tcPr>
            <w:tcW w:w="11389" w:type="dxa"/>
            <w:gridSpan w:val="13"/>
            <w:vAlign w:val="center"/>
          </w:tcPr>
          <w:p w14:paraId="7D3DA28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饮用水水源保护区</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；饮用水取水口</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；涉水的自然保护区</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；重要湿地</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；重点保护与珍稀水生生物的栖息地</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；重要水生生物的自然产卵场及索饵场、越冬场和洄游通道、天然渔场等渔业水体</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；涉水的风景名胜区</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；其他</w:t>
            </w:r>
            <w:r>
              <w:rPr>
                <w:rFonts w:hint="eastAsia" w:eastAsia="MS UI Gothic" w:cs="Times New Roman"/>
                <w:color w:val="auto"/>
                <w:kern w:val="0"/>
                <w:sz w:val="21"/>
                <w:szCs w:val="21"/>
                <w:lang w:val="en-US" w:eastAsia="zh-CN" w:bidi="ar"/>
              </w:rPr>
              <w:t>□</w:t>
            </w:r>
          </w:p>
        </w:tc>
      </w:tr>
      <w:tr w14:paraId="2D8B8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13072018">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Merge w:val="restart"/>
            <w:vAlign w:val="center"/>
          </w:tcPr>
          <w:p w14:paraId="06C977AE">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影响途径</w:t>
            </w:r>
          </w:p>
        </w:tc>
        <w:tc>
          <w:tcPr>
            <w:tcW w:w="6360" w:type="dxa"/>
            <w:gridSpan w:val="8"/>
            <w:vAlign w:val="center"/>
          </w:tcPr>
          <w:p w14:paraId="3B095E16">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水污染影响型</w:t>
            </w:r>
          </w:p>
        </w:tc>
        <w:tc>
          <w:tcPr>
            <w:tcW w:w="5029" w:type="dxa"/>
            <w:gridSpan w:val="5"/>
            <w:vAlign w:val="center"/>
          </w:tcPr>
          <w:p w14:paraId="1FE3FBC1">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水文要素影响型</w:t>
            </w:r>
          </w:p>
        </w:tc>
      </w:tr>
      <w:tr w14:paraId="75430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1587A3F8">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Merge w:val="continue"/>
            <w:vAlign w:val="center"/>
          </w:tcPr>
          <w:p w14:paraId="5952A9A2">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6360" w:type="dxa"/>
            <w:gridSpan w:val="8"/>
            <w:vAlign w:val="center"/>
          </w:tcPr>
          <w:p w14:paraId="1A1DC19C">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直接排放</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；间接排放</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；其他</w:t>
            </w:r>
            <w:r>
              <w:rPr>
                <w:rFonts w:hint="default" w:ascii="Times New Roman" w:hAnsi="Times New Roman" w:cs="Times New Roman"/>
                <w:color w:val="auto"/>
                <w:kern w:val="0"/>
                <w:sz w:val="21"/>
                <w:szCs w:val="21"/>
                <w:lang w:val="en-US" w:eastAsia="zh-CN" w:bidi="ar"/>
              </w:rPr>
              <w:t>□</w:t>
            </w:r>
          </w:p>
        </w:tc>
        <w:tc>
          <w:tcPr>
            <w:tcW w:w="5029" w:type="dxa"/>
            <w:gridSpan w:val="5"/>
            <w:vAlign w:val="center"/>
          </w:tcPr>
          <w:p w14:paraId="3FF88B67">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水温</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；径流</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；水域面积</w:t>
            </w:r>
            <w:r>
              <w:rPr>
                <w:rFonts w:hint="default" w:ascii="Times New Roman" w:hAnsi="Times New Roman" w:cs="Times New Roman"/>
                <w:color w:val="auto"/>
                <w:kern w:val="0"/>
                <w:sz w:val="21"/>
                <w:szCs w:val="21"/>
                <w:lang w:val="en-US" w:eastAsia="zh-CN" w:bidi="ar"/>
              </w:rPr>
              <w:t>□</w:t>
            </w:r>
          </w:p>
        </w:tc>
      </w:tr>
      <w:tr w14:paraId="070E2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4AB59C46">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Align w:val="center"/>
          </w:tcPr>
          <w:p w14:paraId="56989FBE">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影响因子</w:t>
            </w:r>
          </w:p>
        </w:tc>
        <w:tc>
          <w:tcPr>
            <w:tcW w:w="6360" w:type="dxa"/>
            <w:gridSpan w:val="8"/>
            <w:vAlign w:val="center"/>
          </w:tcPr>
          <w:p w14:paraId="48D66F18">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持久性污染物</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；有毒有害污染物</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；非持久性污染物</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；pH值</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；热污染</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；富营养化</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；其他</w:t>
            </w:r>
            <w:r>
              <w:rPr>
                <w:rFonts w:hint="default" w:ascii="Times New Roman" w:hAnsi="Times New Roman" w:cs="Times New Roman"/>
                <w:color w:val="auto"/>
                <w:kern w:val="0"/>
                <w:sz w:val="21"/>
                <w:szCs w:val="21"/>
                <w:lang w:val="en-US" w:eastAsia="zh-CN" w:bidi="ar"/>
              </w:rPr>
              <w:t>□</w:t>
            </w:r>
          </w:p>
        </w:tc>
        <w:tc>
          <w:tcPr>
            <w:tcW w:w="5029" w:type="dxa"/>
            <w:gridSpan w:val="5"/>
            <w:vAlign w:val="center"/>
          </w:tcPr>
          <w:p w14:paraId="6A678BC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水温</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；水位(水深)</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；流速</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；流量</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；其他</w:t>
            </w:r>
            <w:r>
              <w:rPr>
                <w:rFonts w:hint="default" w:ascii="Times New Roman" w:hAnsi="Times New Roman" w:cs="Times New Roman"/>
                <w:color w:val="auto"/>
                <w:kern w:val="0"/>
                <w:sz w:val="21"/>
                <w:szCs w:val="21"/>
                <w:lang w:val="en-US" w:eastAsia="zh-CN" w:bidi="ar"/>
              </w:rPr>
              <w:t>□</w:t>
            </w:r>
          </w:p>
        </w:tc>
      </w:tr>
      <w:tr w14:paraId="11D54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85" w:type="dxa"/>
            <w:gridSpan w:val="2"/>
            <w:vMerge w:val="restart"/>
            <w:vAlign w:val="center"/>
          </w:tcPr>
          <w:p w14:paraId="06518D14">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评价等级</w:t>
            </w:r>
          </w:p>
        </w:tc>
        <w:tc>
          <w:tcPr>
            <w:tcW w:w="6360" w:type="dxa"/>
            <w:gridSpan w:val="8"/>
            <w:vAlign w:val="center"/>
          </w:tcPr>
          <w:p w14:paraId="232905A6">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水污染影响型</w:t>
            </w:r>
          </w:p>
        </w:tc>
        <w:tc>
          <w:tcPr>
            <w:tcW w:w="5029" w:type="dxa"/>
            <w:gridSpan w:val="5"/>
            <w:vAlign w:val="center"/>
          </w:tcPr>
          <w:p w14:paraId="7A0FEEC5">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水文要素影响型</w:t>
            </w:r>
          </w:p>
        </w:tc>
      </w:tr>
      <w:tr w14:paraId="2D897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85" w:type="dxa"/>
            <w:gridSpan w:val="2"/>
            <w:vMerge w:val="continue"/>
            <w:vAlign w:val="center"/>
          </w:tcPr>
          <w:p w14:paraId="446CB601">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6360" w:type="dxa"/>
            <w:gridSpan w:val="8"/>
            <w:vAlign w:val="center"/>
          </w:tcPr>
          <w:p w14:paraId="02D3A1EB">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一级□；二级□；三级A□ ；三级B</w:t>
            </w:r>
            <w:r>
              <w:rPr>
                <w:rFonts w:hint="default" w:ascii="Times New Roman" w:hAnsi="Times New Roman" w:eastAsia="MS UI Gothic" w:cs="Times New Roman"/>
                <w:color w:val="auto"/>
                <w:kern w:val="0"/>
                <w:sz w:val="21"/>
                <w:szCs w:val="21"/>
                <w:lang w:val="en-US" w:eastAsia="zh-CN" w:bidi="ar"/>
              </w:rPr>
              <w:t>☑</w:t>
            </w:r>
          </w:p>
        </w:tc>
        <w:tc>
          <w:tcPr>
            <w:tcW w:w="5029" w:type="dxa"/>
            <w:gridSpan w:val="5"/>
            <w:vAlign w:val="center"/>
          </w:tcPr>
          <w:p w14:paraId="38BA9DB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一级</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；二级</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；三级</w:t>
            </w:r>
            <w:r>
              <w:rPr>
                <w:rFonts w:hint="default" w:ascii="Times New Roman" w:hAnsi="Times New Roman" w:cs="Times New Roman"/>
                <w:color w:val="auto"/>
                <w:kern w:val="0"/>
                <w:sz w:val="21"/>
                <w:szCs w:val="21"/>
                <w:lang w:val="en-US" w:eastAsia="zh-CN" w:bidi="ar"/>
              </w:rPr>
              <w:t>□</w:t>
            </w:r>
          </w:p>
        </w:tc>
      </w:tr>
      <w:tr w14:paraId="3EE71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restart"/>
            <w:vAlign w:val="center"/>
          </w:tcPr>
          <w:p w14:paraId="47BB76FB">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现状调查</w:t>
            </w:r>
          </w:p>
        </w:tc>
        <w:tc>
          <w:tcPr>
            <w:tcW w:w="1644" w:type="dxa"/>
            <w:vMerge w:val="restart"/>
            <w:vAlign w:val="center"/>
          </w:tcPr>
          <w:p w14:paraId="4509BA0F">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区域污染源</w:t>
            </w:r>
          </w:p>
        </w:tc>
        <w:tc>
          <w:tcPr>
            <w:tcW w:w="6360" w:type="dxa"/>
            <w:gridSpan w:val="8"/>
            <w:vAlign w:val="center"/>
          </w:tcPr>
          <w:p w14:paraId="7D13652C">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调查项目</w:t>
            </w:r>
          </w:p>
        </w:tc>
        <w:tc>
          <w:tcPr>
            <w:tcW w:w="5029" w:type="dxa"/>
            <w:gridSpan w:val="5"/>
            <w:vAlign w:val="center"/>
          </w:tcPr>
          <w:p w14:paraId="266080AC">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数据来源</w:t>
            </w:r>
          </w:p>
        </w:tc>
      </w:tr>
      <w:tr w14:paraId="4E912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32639565">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Merge w:val="continue"/>
            <w:vAlign w:val="center"/>
          </w:tcPr>
          <w:p w14:paraId="52FBB53B">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3180" w:type="dxa"/>
            <w:gridSpan w:val="4"/>
            <w:vAlign w:val="center"/>
          </w:tcPr>
          <w:p w14:paraId="4A909586">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已建</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；在建</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；拟建</w:t>
            </w:r>
            <w:r>
              <w:rPr>
                <w:rFonts w:hint="eastAsia" w:eastAsia="MS UI Gothic"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；其他</w:t>
            </w:r>
            <w:r>
              <w:rPr>
                <w:rFonts w:hint="default" w:ascii="Times New Roman" w:hAnsi="Times New Roman" w:cs="Times New Roman"/>
                <w:color w:val="auto"/>
                <w:kern w:val="0"/>
                <w:sz w:val="21"/>
                <w:szCs w:val="21"/>
                <w:lang w:val="en-US" w:eastAsia="zh-CN" w:bidi="ar"/>
              </w:rPr>
              <w:t>□</w:t>
            </w:r>
          </w:p>
        </w:tc>
        <w:tc>
          <w:tcPr>
            <w:tcW w:w="3180" w:type="dxa"/>
            <w:gridSpan w:val="4"/>
            <w:vAlign w:val="center"/>
          </w:tcPr>
          <w:p w14:paraId="6FA77993">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拟替代的污染源</w:t>
            </w:r>
            <w:r>
              <w:rPr>
                <w:rFonts w:hint="default" w:ascii="Times New Roman" w:hAnsi="Times New Roman" w:cs="Times New Roman"/>
                <w:color w:val="auto"/>
                <w:kern w:val="0"/>
                <w:sz w:val="21"/>
                <w:szCs w:val="21"/>
                <w:lang w:val="en-US" w:eastAsia="zh-CN" w:bidi="ar"/>
              </w:rPr>
              <w:t>□</w:t>
            </w:r>
          </w:p>
        </w:tc>
        <w:tc>
          <w:tcPr>
            <w:tcW w:w="5029" w:type="dxa"/>
            <w:gridSpan w:val="5"/>
            <w:vAlign w:val="center"/>
          </w:tcPr>
          <w:p w14:paraId="2A0F688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排污许可证</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；环评</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；环保验收</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；既有实测</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；现场监测</w:t>
            </w:r>
            <w:r>
              <w:rPr>
                <w:rFonts w:hint="default" w:ascii="Times New Roman" w:hAnsi="Times New Roman" w:eastAsia="Wingdings 2"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；入河排放口数据</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；其他</w:t>
            </w:r>
            <w:r>
              <w:rPr>
                <w:rFonts w:hint="default" w:ascii="Times New Roman" w:hAnsi="Times New Roman" w:cs="Times New Roman"/>
                <w:color w:val="auto"/>
                <w:kern w:val="0"/>
                <w:sz w:val="21"/>
                <w:szCs w:val="21"/>
                <w:lang w:val="en-US" w:eastAsia="zh-CN" w:bidi="ar"/>
              </w:rPr>
              <w:t>□</w:t>
            </w:r>
          </w:p>
        </w:tc>
      </w:tr>
      <w:tr w14:paraId="687E8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31D7E498">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Merge w:val="restart"/>
            <w:vAlign w:val="center"/>
          </w:tcPr>
          <w:p w14:paraId="11587B1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受影响水体水环境质量</w:t>
            </w:r>
          </w:p>
        </w:tc>
        <w:tc>
          <w:tcPr>
            <w:tcW w:w="6360" w:type="dxa"/>
            <w:gridSpan w:val="8"/>
            <w:vAlign w:val="center"/>
          </w:tcPr>
          <w:p w14:paraId="789A3384">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调查时期</w:t>
            </w:r>
          </w:p>
        </w:tc>
        <w:tc>
          <w:tcPr>
            <w:tcW w:w="5029" w:type="dxa"/>
            <w:gridSpan w:val="5"/>
            <w:vAlign w:val="center"/>
          </w:tcPr>
          <w:p w14:paraId="5C320131">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数据来源</w:t>
            </w:r>
          </w:p>
        </w:tc>
      </w:tr>
      <w:tr w14:paraId="6E348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4E34E053">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Merge w:val="continue"/>
            <w:vAlign w:val="center"/>
          </w:tcPr>
          <w:p w14:paraId="17734CC0">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6360" w:type="dxa"/>
            <w:gridSpan w:val="8"/>
            <w:vAlign w:val="center"/>
          </w:tcPr>
          <w:p w14:paraId="64D256A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丰水期</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；平水期</w:t>
            </w:r>
            <w:r>
              <w:rPr>
                <w:rFonts w:hint="default" w:ascii="Times New Roman" w:hAnsi="Times New Roman" w:eastAsia="Wingdings 2"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；枯水期</w:t>
            </w:r>
            <w:r>
              <w:rPr>
                <w:rFonts w:hint="default" w:ascii="Times New Roman" w:hAnsi="Times New Roman" w:eastAsia="Wingdings 2"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；冰封期</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春</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；夏季</w:t>
            </w:r>
            <w:r>
              <w:rPr>
                <w:rFonts w:hint="eastAsia"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；秋季</w:t>
            </w:r>
            <w:r>
              <w:rPr>
                <w:rFonts w:hint="default" w:ascii="Times New Roman" w:hAnsi="Times New Roman" w:eastAsia="MS UI Gothic"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；冬季</w:t>
            </w:r>
            <w:r>
              <w:rPr>
                <w:rFonts w:hint="default" w:ascii="Times New Roman" w:hAnsi="Times New Roman" w:cs="Times New Roman"/>
                <w:color w:val="auto"/>
                <w:kern w:val="0"/>
                <w:sz w:val="21"/>
                <w:szCs w:val="21"/>
                <w:lang w:val="en-US" w:eastAsia="zh-CN" w:bidi="ar"/>
              </w:rPr>
              <w:t>□</w:t>
            </w:r>
          </w:p>
        </w:tc>
        <w:tc>
          <w:tcPr>
            <w:tcW w:w="5029" w:type="dxa"/>
            <w:gridSpan w:val="5"/>
            <w:vAlign w:val="center"/>
          </w:tcPr>
          <w:p w14:paraId="21898AB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生态环境保护主管部门</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；补充监测</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；其他</w:t>
            </w:r>
            <w:r>
              <w:rPr>
                <w:rFonts w:hint="default" w:ascii="Times New Roman" w:hAnsi="Times New Roman" w:cs="Times New Roman"/>
                <w:color w:val="auto"/>
                <w:kern w:val="0"/>
                <w:sz w:val="21"/>
                <w:szCs w:val="21"/>
                <w:lang w:val="en-US" w:eastAsia="zh-CN" w:bidi="ar"/>
              </w:rPr>
              <w:t>□</w:t>
            </w:r>
          </w:p>
        </w:tc>
      </w:tr>
      <w:tr w14:paraId="36B6B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28EA6CCF">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Align w:val="center"/>
          </w:tcPr>
          <w:p w14:paraId="13F8C576">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区域水资源开发利用状况</w:t>
            </w:r>
          </w:p>
        </w:tc>
        <w:tc>
          <w:tcPr>
            <w:tcW w:w="11389" w:type="dxa"/>
            <w:gridSpan w:val="13"/>
            <w:vAlign w:val="center"/>
          </w:tcPr>
          <w:p w14:paraId="5F64CC4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未开发</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；开发量40%以下</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；开发量40%以上</w:t>
            </w:r>
            <w:r>
              <w:rPr>
                <w:rFonts w:hint="default" w:ascii="Times New Roman" w:hAnsi="Times New Roman" w:cs="Times New Roman"/>
                <w:color w:val="auto"/>
                <w:kern w:val="0"/>
                <w:sz w:val="21"/>
                <w:szCs w:val="21"/>
                <w:lang w:val="en-US" w:eastAsia="zh-CN" w:bidi="ar"/>
              </w:rPr>
              <w:t>□</w:t>
            </w:r>
          </w:p>
        </w:tc>
      </w:tr>
      <w:tr w14:paraId="1EF7A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41A76D3F">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Merge w:val="restart"/>
            <w:vAlign w:val="center"/>
          </w:tcPr>
          <w:p w14:paraId="309791EA">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水文情势调查</w:t>
            </w:r>
          </w:p>
        </w:tc>
        <w:tc>
          <w:tcPr>
            <w:tcW w:w="6360" w:type="dxa"/>
            <w:gridSpan w:val="8"/>
            <w:vAlign w:val="center"/>
          </w:tcPr>
          <w:p w14:paraId="7432A5CB">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调查时期</w:t>
            </w:r>
          </w:p>
        </w:tc>
        <w:tc>
          <w:tcPr>
            <w:tcW w:w="5029" w:type="dxa"/>
            <w:gridSpan w:val="5"/>
            <w:vAlign w:val="center"/>
          </w:tcPr>
          <w:p w14:paraId="1FAA5BF5">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数据来源</w:t>
            </w:r>
          </w:p>
        </w:tc>
      </w:tr>
      <w:tr w14:paraId="50F01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04057012">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Merge w:val="continue"/>
            <w:vAlign w:val="center"/>
          </w:tcPr>
          <w:p w14:paraId="7A538D60">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6360" w:type="dxa"/>
            <w:gridSpan w:val="8"/>
            <w:vAlign w:val="center"/>
          </w:tcPr>
          <w:p w14:paraId="1F06247E">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丰水期</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；平水期</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；枯水期(冰封期</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；春季</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；夏季</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；秋季</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；冬季</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w:t>
            </w:r>
          </w:p>
        </w:tc>
        <w:tc>
          <w:tcPr>
            <w:tcW w:w="5029" w:type="dxa"/>
            <w:gridSpan w:val="5"/>
            <w:vAlign w:val="center"/>
          </w:tcPr>
          <w:p w14:paraId="0E4FD9E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水行政主管部门</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；补充监测</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；其他</w:t>
            </w:r>
            <w:r>
              <w:rPr>
                <w:rFonts w:hint="default" w:ascii="Times New Roman" w:hAnsi="Times New Roman" w:cs="Times New Roman"/>
                <w:color w:val="auto"/>
                <w:kern w:val="0"/>
                <w:sz w:val="21"/>
                <w:szCs w:val="21"/>
                <w:lang w:val="en-US" w:eastAsia="zh-CN" w:bidi="ar"/>
              </w:rPr>
              <w:t>□</w:t>
            </w:r>
          </w:p>
        </w:tc>
      </w:tr>
      <w:tr w14:paraId="4BE8E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4B80B051">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Merge w:val="restart"/>
            <w:vAlign w:val="center"/>
          </w:tcPr>
          <w:p w14:paraId="2B5BE2F8">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补充监测</w:t>
            </w:r>
          </w:p>
        </w:tc>
        <w:tc>
          <w:tcPr>
            <w:tcW w:w="4620" w:type="dxa"/>
            <w:gridSpan w:val="7"/>
            <w:vAlign w:val="center"/>
          </w:tcPr>
          <w:p w14:paraId="734B2559">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监测时期</w:t>
            </w:r>
          </w:p>
        </w:tc>
        <w:tc>
          <w:tcPr>
            <w:tcW w:w="2972" w:type="dxa"/>
            <w:gridSpan w:val="3"/>
            <w:vAlign w:val="center"/>
          </w:tcPr>
          <w:p w14:paraId="23A9224C">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监测因子</w:t>
            </w:r>
          </w:p>
        </w:tc>
        <w:tc>
          <w:tcPr>
            <w:tcW w:w="3797" w:type="dxa"/>
            <w:gridSpan w:val="3"/>
            <w:vAlign w:val="center"/>
          </w:tcPr>
          <w:p w14:paraId="6159A040">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监测断面或点位</w:t>
            </w:r>
          </w:p>
        </w:tc>
      </w:tr>
      <w:tr w14:paraId="63C38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2008E389">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Merge w:val="continue"/>
            <w:vAlign w:val="center"/>
          </w:tcPr>
          <w:p w14:paraId="313B89CC">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4620" w:type="dxa"/>
            <w:gridSpan w:val="7"/>
            <w:vAlign w:val="center"/>
          </w:tcPr>
          <w:p w14:paraId="1386784C">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丰水期</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；平水期</w:t>
            </w:r>
            <w:r>
              <w:rPr>
                <w:rFonts w:hint="default" w:ascii="Times New Roman" w:hAnsi="Times New Roman" w:eastAsia="Wingdings 2"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；枯水期</w:t>
            </w:r>
            <w:r>
              <w:rPr>
                <w:rFonts w:hint="default" w:ascii="Times New Roman" w:hAnsi="Times New Roman" w:eastAsia="Wingdings 2"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；(冰封期</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；春季</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；夏季</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；秋季</w:t>
            </w:r>
            <w:r>
              <w:rPr>
                <w:rFonts w:hint="default" w:ascii="Times New Roman" w:hAnsi="Times New Roman" w:eastAsia="MS UI Gothic"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；冬季</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w:t>
            </w:r>
          </w:p>
        </w:tc>
        <w:tc>
          <w:tcPr>
            <w:tcW w:w="2972" w:type="dxa"/>
            <w:gridSpan w:val="3"/>
            <w:vAlign w:val="center"/>
          </w:tcPr>
          <w:p w14:paraId="7EA5691E">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    )</w:t>
            </w:r>
          </w:p>
        </w:tc>
        <w:tc>
          <w:tcPr>
            <w:tcW w:w="3797" w:type="dxa"/>
            <w:gridSpan w:val="3"/>
            <w:vAlign w:val="center"/>
          </w:tcPr>
          <w:p w14:paraId="0A33959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监测断面或点位个数(   )个</w:t>
            </w:r>
          </w:p>
        </w:tc>
      </w:tr>
      <w:tr w14:paraId="082A0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restart"/>
            <w:vAlign w:val="center"/>
          </w:tcPr>
          <w:p w14:paraId="021AC273">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现状评价</w:t>
            </w:r>
          </w:p>
        </w:tc>
        <w:tc>
          <w:tcPr>
            <w:tcW w:w="1644" w:type="dxa"/>
            <w:vAlign w:val="center"/>
          </w:tcPr>
          <w:p w14:paraId="1444BA11">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评价范围</w:t>
            </w:r>
          </w:p>
        </w:tc>
        <w:tc>
          <w:tcPr>
            <w:tcW w:w="11389" w:type="dxa"/>
            <w:gridSpan w:val="13"/>
            <w:vAlign w:val="center"/>
          </w:tcPr>
          <w:p w14:paraId="73F3BFC8">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河流：长度(</w:t>
            </w:r>
            <w:r>
              <w:rPr>
                <w:rFonts w:hint="default" w:ascii="Times New Roman" w:hAnsi="Times New Roman"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)km ；湖库、河口及近岸海域：面积(</w:t>
            </w:r>
            <w:r>
              <w:rPr>
                <w:rFonts w:hint="default" w:ascii="Times New Roman" w:hAnsi="Times New Roman"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 xml:space="preserve"> )km</w:t>
            </w:r>
            <w:r>
              <w:rPr>
                <w:rFonts w:hint="default" w:ascii="Times New Roman" w:hAnsi="Times New Roman" w:eastAsia="宋体" w:cs="Times New Roman"/>
                <w:color w:val="auto"/>
                <w:kern w:val="0"/>
                <w:sz w:val="21"/>
                <w:szCs w:val="21"/>
                <w:vertAlign w:val="superscript"/>
                <w:lang w:val="en-US" w:eastAsia="zh-CN" w:bidi="ar"/>
              </w:rPr>
              <w:t>2</w:t>
            </w:r>
          </w:p>
        </w:tc>
      </w:tr>
      <w:tr w14:paraId="7B753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24866B71">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Align w:val="center"/>
          </w:tcPr>
          <w:p w14:paraId="692A6F34">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评价因子</w:t>
            </w:r>
          </w:p>
        </w:tc>
        <w:tc>
          <w:tcPr>
            <w:tcW w:w="11389" w:type="dxa"/>
            <w:gridSpan w:val="13"/>
            <w:vAlign w:val="center"/>
          </w:tcPr>
          <w:p w14:paraId="7744BD57">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w:t>
            </w:r>
          </w:p>
        </w:tc>
      </w:tr>
      <w:tr w14:paraId="5F575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785CE08A">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Align w:val="center"/>
          </w:tcPr>
          <w:p w14:paraId="35B1D586">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评价标准</w:t>
            </w:r>
          </w:p>
        </w:tc>
        <w:tc>
          <w:tcPr>
            <w:tcW w:w="11389" w:type="dxa"/>
            <w:gridSpan w:val="13"/>
            <w:vAlign w:val="center"/>
          </w:tcPr>
          <w:p w14:paraId="16E447C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河流、湖库、河口：Ⅰ类</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 xml:space="preserve">；Ⅱ类 </w:t>
            </w:r>
            <w:r>
              <w:rPr>
                <w:rFonts w:hint="default" w:ascii="Times New Roman" w:hAnsi="Times New Roman" w:eastAsia="Wingdings 2" w:cs="Times New Roman"/>
                <w:color w:val="auto"/>
                <w:kern w:val="0"/>
                <w:sz w:val="21"/>
                <w:szCs w:val="21"/>
                <w:lang w:val="en-US" w:eastAsia="zh-CN" w:bidi="ar"/>
              </w:rPr>
              <w:sym w:font="Wingdings 2" w:char="00A3"/>
            </w:r>
            <w:r>
              <w:rPr>
                <w:rFonts w:hint="default" w:ascii="Times New Roman" w:hAnsi="Times New Roman" w:eastAsia="Wingdings 2"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；Ⅲ类</w:t>
            </w:r>
            <w:r>
              <w:rPr>
                <w:rFonts w:hint="eastAsia"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；Ⅳ类</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；Ⅴ类</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 xml:space="preserve"> 近岸海域：第一类</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；第二类</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；第三类</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；第四类</w:t>
            </w:r>
            <w:r>
              <w:rPr>
                <w:rFonts w:hint="default" w:ascii="Times New Roman" w:hAnsi="Times New Roman" w:cs="Times New Roman"/>
                <w:color w:val="auto"/>
                <w:kern w:val="0"/>
                <w:sz w:val="21"/>
                <w:szCs w:val="21"/>
                <w:lang w:val="en-US" w:eastAsia="zh-CN" w:bidi="ar"/>
              </w:rPr>
              <w:t>□</w:t>
            </w:r>
          </w:p>
          <w:p w14:paraId="65E531DF">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 xml:space="preserve">规划年评价标准( </w:t>
            </w:r>
            <w:r>
              <w:rPr>
                <w:rFonts w:hint="default" w:ascii="Times New Roman" w:hAnsi="Times New Roman"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w:t>
            </w:r>
          </w:p>
        </w:tc>
      </w:tr>
      <w:tr w14:paraId="17C62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11D09EAC">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Align w:val="center"/>
          </w:tcPr>
          <w:p w14:paraId="5259A3AC">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评价时期</w:t>
            </w:r>
          </w:p>
        </w:tc>
        <w:tc>
          <w:tcPr>
            <w:tcW w:w="11389" w:type="dxa"/>
            <w:gridSpan w:val="13"/>
            <w:vAlign w:val="center"/>
          </w:tcPr>
          <w:p w14:paraId="5ED5249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丰水期</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；平水期</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；枯水期</w:t>
            </w:r>
            <w:r>
              <w:rPr>
                <w:rFonts w:hint="default" w:ascii="Times New Roman" w:hAnsi="Times New Roman" w:eastAsia="Wingdings 2"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；(冰封期</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；春季</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；夏季</w:t>
            </w:r>
            <w:r>
              <w:rPr>
                <w:rFonts w:hint="eastAsia"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；秋季</w:t>
            </w:r>
            <w:r>
              <w:rPr>
                <w:rFonts w:hint="default" w:ascii="Times New Roman" w:hAnsi="Times New Roman" w:eastAsia="MS UI Gothic"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；冬季</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w:t>
            </w:r>
          </w:p>
        </w:tc>
      </w:tr>
      <w:tr w14:paraId="5E427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4D31D252">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Align w:val="center"/>
          </w:tcPr>
          <w:p w14:paraId="088AA887">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评价结论</w:t>
            </w:r>
          </w:p>
        </w:tc>
        <w:tc>
          <w:tcPr>
            <w:tcW w:w="9559" w:type="dxa"/>
            <w:gridSpan w:val="12"/>
            <w:vAlign w:val="center"/>
          </w:tcPr>
          <w:p w14:paraId="43D305B8">
            <w:pPr>
              <w:pageBreakBefore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b w:val="0"/>
                <w:bCs w:val="0"/>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水环境功能区或水功能区、近岸海域环境功能区水质达标状况：达</w:t>
            </w:r>
            <w:r>
              <w:rPr>
                <w:rFonts w:hint="default" w:ascii="Times New Roman" w:hAnsi="Times New Roman" w:eastAsia="宋体" w:cs="Times New Roman"/>
                <w:b w:val="0"/>
                <w:bCs w:val="0"/>
                <w:color w:val="auto"/>
                <w:kern w:val="0"/>
                <w:sz w:val="21"/>
                <w:szCs w:val="21"/>
                <w:lang w:val="en-US" w:eastAsia="zh-CN" w:bidi="ar"/>
              </w:rPr>
              <w:t>标□；</w:t>
            </w:r>
          </w:p>
          <w:p w14:paraId="27A28619">
            <w:pPr>
              <w:pStyle w:val="5"/>
              <w:pageBreakBefore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b w:val="0"/>
                <w:bCs w:val="0"/>
                <w:color w:val="auto"/>
                <w:kern w:val="0"/>
                <w:sz w:val="21"/>
                <w:szCs w:val="21"/>
                <w:lang w:val="en-US" w:eastAsia="zh-CN" w:bidi="ar"/>
              </w:rPr>
            </w:pPr>
            <w:r>
              <w:rPr>
                <w:rFonts w:hint="default" w:ascii="Times New Roman" w:hAnsi="Times New Roman" w:eastAsia="宋体" w:cs="Times New Roman"/>
                <w:b w:val="0"/>
                <w:bCs w:val="0"/>
                <w:color w:val="auto"/>
                <w:kern w:val="0"/>
                <w:sz w:val="21"/>
                <w:szCs w:val="21"/>
                <w:lang w:val="en-US" w:eastAsia="zh-CN" w:bidi="ar"/>
              </w:rPr>
              <w:t>不达标 □ 水环境控制单元或断面水质达 标状况：达标□；不达标□</w:t>
            </w:r>
            <w:r>
              <w:rPr>
                <w:rFonts w:hint="default" w:ascii="Times New Roman" w:hAnsi="Times New Roman" w:cs="Times New Roman"/>
                <w:b w:val="0"/>
                <w:bCs w:val="0"/>
                <w:color w:val="auto"/>
                <w:kern w:val="0"/>
                <w:sz w:val="21"/>
                <w:szCs w:val="21"/>
                <w:lang w:val="en-US" w:eastAsia="zh-CN" w:bidi="ar"/>
              </w:rPr>
              <w:t>；</w:t>
            </w:r>
          </w:p>
          <w:p w14:paraId="71F4627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b w:val="0"/>
                <w:bCs w:val="0"/>
                <w:color w:val="auto"/>
                <w:sz w:val="21"/>
                <w:szCs w:val="21"/>
              </w:rPr>
            </w:pPr>
            <w:r>
              <w:rPr>
                <w:rFonts w:hint="default" w:ascii="Times New Roman" w:hAnsi="Times New Roman" w:eastAsia="宋体" w:cs="Times New Roman"/>
                <w:b w:val="0"/>
                <w:bCs w:val="0"/>
                <w:color w:val="auto"/>
                <w:kern w:val="0"/>
                <w:sz w:val="21"/>
                <w:szCs w:val="21"/>
                <w:lang w:val="en-US" w:eastAsia="zh-CN" w:bidi="ar"/>
              </w:rPr>
              <w:t>水环境保护目标质量状况：达标</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b w:val="0"/>
                <w:bCs w:val="0"/>
                <w:color w:val="auto"/>
                <w:kern w:val="0"/>
                <w:sz w:val="21"/>
                <w:szCs w:val="21"/>
                <w:lang w:val="en-US" w:eastAsia="zh-CN" w:bidi="ar"/>
              </w:rPr>
              <w:t>；不达标</w:t>
            </w:r>
            <w:r>
              <w:rPr>
                <w:rFonts w:hint="default" w:ascii="Times New Roman" w:hAnsi="Times New Roman" w:cs="Times New Roman"/>
                <w:color w:val="auto"/>
                <w:kern w:val="0"/>
                <w:sz w:val="21"/>
                <w:szCs w:val="21"/>
                <w:lang w:val="en-US" w:eastAsia="zh-CN" w:bidi="ar"/>
              </w:rPr>
              <w:t>□</w:t>
            </w:r>
          </w:p>
          <w:p w14:paraId="3C5B981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bCs w:val="0"/>
                <w:color w:val="auto"/>
                <w:kern w:val="0"/>
                <w:sz w:val="21"/>
                <w:szCs w:val="21"/>
                <w:lang w:val="en-US" w:eastAsia="zh-CN" w:bidi="ar"/>
              </w:rPr>
              <w:t>对照断面、控制断面等代表性断面的水质状况：达标</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b w:val="0"/>
                <w:bCs w:val="0"/>
                <w:color w:val="auto"/>
                <w:kern w:val="0"/>
                <w:sz w:val="21"/>
                <w:szCs w:val="21"/>
                <w:lang w:val="en-US" w:eastAsia="zh-CN" w:bidi="ar"/>
              </w:rPr>
              <w:t>；不达标</w:t>
            </w:r>
            <w:r>
              <w:rPr>
                <w:rFonts w:hint="default" w:ascii="Times New Roman" w:hAnsi="Times New Roman" w:cs="Times New Roman"/>
                <w:b w:val="0"/>
                <w:bCs w:val="0"/>
                <w:color w:val="auto"/>
                <w:kern w:val="0"/>
                <w:sz w:val="21"/>
                <w:szCs w:val="21"/>
                <w:lang w:val="en-US" w:eastAsia="zh-CN" w:bidi="ar"/>
              </w:rPr>
              <w:t xml:space="preserve">□ </w:t>
            </w:r>
            <w:r>
              <w:rPr>
                <w:rFonts w:hint="default" w:ascii="Times New Roman" w:hAnsi="Times New Roman" w:eastAsia="宋体" w:cs="Times New Roman"/>
                <w:b w:val="0"/>
                <w:bCs w:val="0"/>
                <w:color w:val="auto"/>
                <w:kern w:val="0"/>
                <w:sz w:val="21"/>
                <w:szCs w:val="21"/>
                <w:lang w:val="en-US" w:eastAsia="zh-CN" w:bidi="ar"/>
              </w:rPr>
              <w:t>底泥污染评价</w:t>
            </w:r>
            <w:r>
              <w:rPr>
                <w:rFonts w:hint="default" w:ascii="Times New Roman" w:hAnsi="Times New Roman" w:cs="Times New Roman"/>
                <w:color w:val="auto"/>
                <w:kern w:val="0"/>
                <w:sz w:val="21"/>
                <w:szCs w:val="21"/>
                <w:lang w:val="en-US" w:eastAsia="zh-CN" w:bidi="ar"/>
              </w:rPr>
              <w:t>□</w:t>
            </w:r>
          </w:p>
          <w:p w14:paraId="2379C34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水资源与开发利用程度及其水文情势评价</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 xml:space="preserve"> 水环境质量回顾评价</w:t>
            </w:r>
            <w:r>
              <w:rPr>
                <w:rFonts w:hint="default" w:ascii="Times New Roman" w:hAnsi="Times New Roman" w:cs="Times New Roman"/>
                <w:color w:val="auto"/>
                <w:kern w:val="0"/>
                <w:sz w:val="21"/>
                <w:szCs w:val="21"/>
                <w:lang w:val="en-US" w:eastAsia="zh-CN" w:bidi="ar"/>
              </w:rPr>
              <w:t>□</w:t>
            </w:r>
          </w:p>
          <w:p w14:paraId="23BC1814">
            <w:pPr>
              <w:pageBreakBefore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
              </w:rPr>
              <w:t>流域 (区域) 水资源 (包括水能资源) 与开发利用总体状况、生态流量管理要求与现状满足程度、建设项目占用水域空间的水流状况与河湖演变状况 □</w:t>
            </w:r>
          </w:p>
        </w:tc>
        <w:tc>
          <w:tcPr>
            <w:tcW w:w="1830" w:type="dxa"/>
            <w:vAlign w:val="center"/>
          </w:tcPr>
          <w:p w14:paraId="67FB050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达标区□</w:t>
            </w:r>
          </w:p>
          <w:p w14:paraId="176DDF7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不达标区</w:t>
            </w:r>
            <w:r>
              <w:rPr>
                <w:rFonts w:hint="default" w:ascii="Times New Roman" w:hAnsi="Times New Roman" w:cs="Times New Roman"/>
                <w:color w:val="auto"/>
                <w:kern w:val="0"/>
                <w:sz w:val="21"/>
                <w:szCs w:val="21"/>
                <w:lang w:val="en-US" w:eastAsia="zh-CN" w:bidi="ar"/>
              </w:rPr>
              <w:t>□</w:t>
            </w:r>
          </w:p>
        </w:tc>
      </w:tr>
      <w:tr w14:paraId="23C72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restart"/>
            <w:vAlign w:val="center"/>
          </w:tcPr>
          <w:p w14:paraId="5B69A210">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影响预测</w:t>
            </w:r>
          </w:p>
        </w:tc>
        <w:tc>
          <w:tcPr>
            <w:tcW w:w="1644" w:type="dxa"/>
            <w:vAlign w:val="center"/>
          </w:tcPr>
          <w:p w14:paraId="37B2B5E4">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预测范围</w:t>
            </w:r>
          </w:p>
        </w:tc>
        <w:tc>
          <w:tcPr>
            <w:tcW w:w="11389" w:type="dxa"/>
            <w:gridSpan w:val="13"/>
            <w:vAlign w:val="center"/>
          </w:tcPr>
          <w:p w14:paraId="64CCF7DB">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 xml:space="preserve">河流：长度( </w:t>
            </w:r>
            <w:r>
              <w:rPr>
                <w:rFonts w:hint="default" w:ascii="Times New Roman" w:hAnsi="Times New Roman"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)km ；湖库、河口及近岸海域：面积(</w:t>
            </w:r>
            <w:r>
              <w:rPr>
                <w:rFonts w:hint="default" w:ascii="Times New Roman" w:hAnsi="Times New Roman"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 xml:space="preserve"> ) km</w:t>
            </w:r>
            <w:r>
              <w:rPr>
                <w:rFonts w:hint="default" w:ascii="Times New Roman" w:hAnsi="Times New Roman" w:eastAsia="宋体" w:cs="Times New Roman"/>
                <w:color w:val="auto"/>
                <w:kern w:val="0"/>
                <w:sz w:val="21"/>
                <w:szCs w:val="21"/>
                <w:vertAlign w:val="superscript"/>
                <w:lang w:val="en-US" w:eastAsia="zh-CN" w:bidi="ar"/>
              </w:rPr>
              <w:t>2</w:t>
            </w:r>
          </w:p>
        </w:tc>
      </w:tr>
      <w:tr w14:paraId="3C75D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45E4EAE4">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Align w:val="center"/>
          </w:tcPr>
          <w:p w14:paraId="499E4E2D">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预测因子</w:t>
            </w:r>
          </w:p>
        </w:tc>
        <w:tc>
          <w:tcPr>
            <w:tcW w:w="11389" w:type="dxa"/>
            <w:gridSpan w:val="13"/>
            <w:vAlign w:val="center"/>
          </w:tcPr>
          <w:p w14:paraId="446D9E77">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   )</w:t>
            </w:r>
          </w:p>
        </w:tc>
      </w:tr>
      <w:tr w14:paraId="5E56F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2F7F4BE3">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Merge w:val="restart"/>
            <w:vAlign w:val="center"/>
          </w:tcPr>
          <w:p w14:paraId="3B4D4068">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预测时期</w:t>
            </w:r>
          </w:p>
        </w:tc>
        <w:tc>
          <w:tcPr>
            <w:tcW w:w="11389" w:type="dxa"/>
            <w:gridSpan w:val="13"/>
            <w:vAlign w:val="center"/>
          </w:tcPr>
          <w:p w14:paraId="1E620C31">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丰水期</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；平水期□；枯水期□；冰封期□</w:t>
            </w:r>
          </w:p>
        </w:tc>
      </w:tr>
      <w:tr w14:paraId="33797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7DBC6628">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Merge w:val="continue"/>
            <w:vAlign w:val="center"/>
          </w:tcPr>
          <w:p w14:paraId="1C02482E">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389" w:type="dxa"/>
            <w:gridSpan w:val="13"/>
            <w:vAlign w:val="center"/>
          </w:tcPr>
          <w:p w14:paraId="48B0DEC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春季</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 xml:space="preserve"> ；夏季</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 xml:space="preserve"> ；秋季 □ ；冬季 □设计水文条件□</w:t>
            </w:r>
          </w:p>
        </w:tc>
      </w:tr>
      <w:tr w14:paraId="524A7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06A21720">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Align w:val="center"/>
          </w:tcPr>
          <w:p w14:paraId="06BA65A2">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预测情景</w:t>
            </w:r>
          </w:p>
        </w:tc>
        <w:tc>
          <w:tcPr>
            <w:tcW w:w="11389" w:type="dxa"/>
            <w:gridSpan w:val="13"/>
            <w:vAlign w:val="center"/>
          </w:tcPr>
          <w:p w14:paraId="7275D8C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建设期</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 xml:space="preserve"> ；生产运行期</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 xml:space="preserve"> ；服务期满后</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 xml:space="preserve"> 正常工况</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 xml:space="preserve"> ；非正常工况</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 xml:space="preserve"> 污染控制和减缓措施方案</w:t>
            </w:r>
            <w:r>
              <w:rPr>
                <w:rFonts w:hint="default" w:ascii="Times New Roman" w:hAnsi="Times New Roman" w:cs="Times New Roman"/>
                <w:color w:val="auto"/>
                <w:kern w:val="0"/>
                <w:sz w:val="21"/>
                <w:szCs w:val="21"/>
                <w:lang w:val="en-US" w:eastAsia="zh-CN" w:bidi="ar"/>
              </w:rPr>
              <w:t>□</w:t>
            </w:r>
          </w:p>
          <w:p w14:paraId="7FDD8EA2">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区(流)域环境质量改善目标要求情景</w:t>
            </w:r>
            <w:r>
              <w:rPr>
                <w:rFonts w:hint="default" w:ascii="Times New Roman" w:hAnsi="Times New Roman" w:cs="Times New Roman"/>
                <w:color w:val="auto"/>
                <w:kern w:val="0"/>
                <w:sz w:val="21"/>
                <w:szCs w:val="21"/>
                <w:lang w:val="en-US" w:eastAsia="zh-CN" w:bidi="ar"/>
              </w:rPr>
              <w:t>□</w:t>
            </w:r>
          </w:p>
        </w:tc>
      </w:tr>
      <w:tr w14:paraId="34F61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503EAA11">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Align w:val="center"/>
          </w:tcPr>
          <w:p w14:paraId="7C93EC7B">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预测方法</w:t>
            </w:r>
          </w:p>
        </w:tc>
        <w:tc>
          <w:tcPr>
            <w:tcW w:w="11389" w:type="dxa"/>
            <w:gridSpan w:val="13"/>
            <w:vAlign w:val="center"/>
          </w:tcPr>
          <w:p w14:paraId="15790704">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数值解</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 xml:space="preserve"> ：解析解</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 xml:space="preserve"> ；其他</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 xml:space="preserve"> 导则推荐模式</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 xml:space="preserve"> ：其他</w:t>
            </w:r>
            <w:r>
              <w:rPr>
                <w:rFonts w:hint="default" w:ascii="Times New Roman" w:hAnsi="Times New Roman" w:cs="Times New Roman"/>
                <w:color w:val="auto"/>
                <w:kern w:val="0"/>
                <w:sz w:val="21"/>
                <w:szCs w:val="21"/>
                <w:lang w:val="en-US" w:eastAsia="zh-CN" w:bidi="ar"/>
              </w:rPr>
              <w:t>□</w:t>
            </w:r>
          </w:p>
        </w:tc>
      </w:tr>
      <w:tr w14:paraId="042C3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restart"/>
            <w:vAlign w:val="center"/>
          </w:tcPr>
          <w:p w14:paraId="7FF738C9">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影响评价</w:t>
            </w:r>
          </w:p>
        </w:tc>
        <w:tc>
          <w:tcPr>
            <w:tcW w:w="2169" w:type="dxa"/>
            <w:gridSpan w:val="3"/>
            <w:vAlign w:val="center"/>
          </w:tcPr>
          <w:p w14:paraId="276C239D">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水污染控制和水环境影响减缓措施有效性评价</w:t>
            </w:r>
          </w:p>
        </w:tc>
        <w:tc>
          <w:tcPr>
            <w:tcW w:w="10864" w:type="dxa"/>
            <w:gridSpan w:val="11"/>
            <w:vAlign w:val="center"/>
          </w:tcPr>
          <w:p w14:paraId="49E68BD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区(流)域水环境质量改善目标</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；替代削减源</w:t>
            </w:r>
            <w:r>
              <w:rPr>
                <w:rFonts w:hint="default" w:ascii="Times New Roman" w:hAnsi="Times New Roman" w:cs="Times New Roman"/>
                <w:color w:val="auto"/>
                <w:kern w:val="0"/>
                <w:sz w:val="21"/>
                <w:szCs w:val="21"/>
                <w:lang w:val="en-US" w:eastAsia="zh-CN" w:bidi="ar"/>
              </w:rPr>
              <w:t>□</w:t>
            </w:r>
          </w:p>
        </w:tc>
      </w:tr>
      <w:tr w14:paraId="10F8A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03CEE322">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Align w:val="center"/>
          </w:tcPr>
          <w:p w14:paraId="449BE28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水环境影响评价</w:t>
            </w:r>
          </w:p>
        </w:tc>
        <w:tc>
          <w:tcPr>
            <w:tcW w:w="11389" w:type="dxa"/>
            <w:gridSpan w:val="13"/>
            <w:vAlign w:val="center"/>
          </w:tcPr>
          <w:p w14:paraId="405048F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排放口混合区外满足水环境管理要求</w:t>
            </w:r>
            <w:r>
              <w:rPr>
                <w:rFonts w:hint="default" w:ascii="Times New Roman" w:hAnsi="Times New Roman" w:cs="Times New Roman"/>
                <w:color w:val="auto"/>
                <w:kern w:val="0"/>
                <w:sz w:val="21"/>
                <w:szCs w:val="21"/>
                <w:lang w:val="en-US" w:eastAsia="zh-CN" w:bidi="ar"/>
              </w:rPr>
              <w:t>□</w:t>
            </w:r>
          </w:p>
          <w:p w14:paraId="0FB1FFD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水环境功能区或水功能区、近岸海域环境功能区水质达标 □ 满足水环境保护目标水域水环境质量要求</w:t>
            </w:r>
            <w:r>
              <w:rPr>
                <w:rFonts w:hint="default" w:ascii="Times New Roman" w:hAnsi="Times New Roman" w:cs="Times New Roman"/>
                <w:color w:val="auto"/>
                <w:kern w:val="0"/>
                <w:sz w:val="21"/>
                <w:szCs w:val="21"/>
                <w:lang w:val="en-US" w:eastAsia="zh-CN" w:bidi="ar"/>
              </w:rPr>
              <w:t>□</w:t>
            </w:r>
          </w:p>
          <w:p w14:paraId="06BA0F8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水环境控制单元或断面水质达标</w:t>
            </w:r>
            <w:r>
              <w:rPr>
                <w:rFonts w:hint="default" w:ascii="Times New Roman" w:hAnsi="Times New Roman" w:cs="Times New Roman"/>
                <w:color w:val="auto"/>
                <w:kern w:val="0"/>
                <w:sz w:val="21"/>
                <w:szCs w:val="21"/>
                <w:lang w:val="en-US" w:eastAsia="zh-CN" w:bidi="ar"/>
              </w:rPr>
              <w:t>□</w:t>
            </w:r>
          </w:p>
          <w:p w14:paraId="6B2C89E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满足重点水污染物排放总量控制指标要求，重点行业建设项目，主要污染物排放满足等量或减量替代要求</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 xml:space="preserve"> 满足区(流)域水环境质量改善目标要求</w:t>
            </w:r>
            <w:r>
              <w:rPr>
                <w:rFonts w:hint="default" w:ascii="Times New Roman" w:hAnsi="Times New Roman" w:cs="Times New Roman"/>
                <w:color w:val="auto"/>
                <w:kern w:val="0"/>
                <w:sz w:val="21"/>
                <w:szCs w:val="21"/>
                <w:lang w:val="en-US" w:eastAsia="zh-CN" w:bidi="ar"/>
              </w:rPr>
              <w:t>□</w:t>
            </w:r>
          </w:p>
          <w:p w14:paraId="36F9716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水文要素影响型建设项目同时应包括水文情势变化评价、主要水文特征值影响评价、生态流量符合性评价</w:t>
            </w:r>
            <w:r>
              <w:rPr>
                <w:rFonts w:hint="default" w:ascii="Times New Roman" w:hAnsi="Times New Roman" w:cs="Times New Roman"/>
                <w:color w:val="auto"/>
                <w:kern w:val="0"/>
                <w:sz w:val="21"/>
                <w:szCs w:val="21"/>
                <w:lang w:val="en-US" w:eastAsia="zh-CN" w:bidi="ar"/>
              </w:rPr>
              <w:t>□</w:t>
            </w:r>
          </w:p>
          <w:p w14:paraId="7F30F8F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对于新设或调整入河(湖库、近岸海域)排放口的建设项目，应包括排放口设置的环境合理性评价 □</w:t>
            </w:r>
          </w:p>
          <w:p w14:paraId="7E9DB66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满足生态保护红线、水环境质量底线、资源利用上线和环境准入清单管理要求 □</w:t>
            </w:r>
          </w:p>
        </w:tc>
      </w:tr>
      <w:tr w14:paraId="5ECEB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05184F1B">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Merge w:val="restart"/>
            <w:vAlign w:val="center"/>
          </w:tcPr>
          <w:p w14:paraId="69B0C97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污染源排放量核算</w:t>
            </w:r>
          </w:p>
        </w:tc>
        <w:tc>
          <w:tcPr>
            <w:tcW w:w="4620" w:type="dxa"/>
            <w:gridSpan w:val="7"/>
            <w:vAlign w:val="center"/>
          </w:tcPr>
          <w:p w14:paraId="4F66B9FD">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污染物名称</w:t>
            </w:r>
          </w:p>
        </w:tc>
        <w:tc>
          <w:tcPr>
            <w:tcW w:w="2972" w:type="dxa"/>
            <w:gridSpan w:val="3"/>
            <w:vAlign w:val="center"/>
          </w:tcPr>
          <w:p w14:paraId="011B91A3">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排放量/(t/a )</w:t>
            </w:r>
          </w:p>
        </w:tc>
        <w:tc>
          <w:tcPr>
            <w:tcW w:w="3797" w:type="dxa"/>
            <w:gridSpan w:val="3"/>
            <w:vAlign w:val="center"/>
          </w:tcPr>
          <w:p w14:paraId="6C024E8B">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排放浓度/ (mg/L)</w:t>
            </w:r>
          </w:p>
        </w:tc>
      </w:tr>
      <w:tr w14:paraId="47D00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3317CBF3">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Merge w:val="continue"/>
            <w:vAlign w:val="center"/>
          </w:tcPr>
          <w:p w14:paraId="4DE818BE">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4620" w:type="dxa"/>
            <w:gridSpan w:val="7"/>
            <w:vAlign w:val="center"/>
          </w:tcPr>
          <w:p w14:paraId="3DF4522C">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(BOD</w:t>
            </w:r>
            <w:r>
              <w:rPr>
                <w:rFonts w:hint="default" w:ascii="Times New Roman" w:hAnsi="Times New Roman" w:eastAsia="宋体" w:cs="Times New Roman"/>
                <w:color w:val="auto"/>
                <w:kern w:val="0"/>
                <w:sz w:val="21"/>
                <w:szCs w:val="21"/>
                <w:vertAlign w:val="subscript"/>
                <w:lang w:val="en-US" w:eastAsia="zh-CN" w:bidi="ar"/>
              </w:rPr>
              <w:t>5</w:t>
            </w:r>
            <w:r>
              <w:rPr>
                <w:rFonts w:hint="default" w:ascii="Times New Roman" w:hAnsi="Times New Roman" w:eastAsia="宋体" w:cs="Times New Roman"/>
                <w:color w:val="auto"/>
                <w:kern w:val="0"/>
                <w:sz w:val="21"/>
                <w:szCs w:val="21"/>
                <w:lang w:val="en-US" w:eastAsia="zh-CN" w:bidi="ar"/>
              </w:rPr>
              <w:t>、COD、氨氮、SS、石油类、动植物油)</w:t>
            </w:r>
          </w:p>
        </w:tc>
        <w:tc>
          <w:tcPr>
            <w:tcW w:w="2972" w:type="dxa"/>
            <w:gridSpan w:val="3"/>
            <w:vAlign w:val="center"/>
          </w:tcPr>
          <w:p w14:paraId="23094931">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(不外排)</w:t>
            </w:r>
          </w:p>
        </w:tc>
        <w:tc>
          <w:tcPr>
            <w:tcW w:w="3797" w:type="dxa"/>
            <w:gridSpan w:val="3"/>
            <w:vAlign w:val="center"/>
          </w:tcPr>
          <w:p w14:paraId="20643E3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    )</w:t>
            </w:r>
          </w:p>
        </w:tc>
      </w:tr>
      <w:tr w14:paraId="780E5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38392BD1">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Merge w:val="restart"/>
            <w:vAlign w:val="center"/>
          </w:tcPr>
          <w:p w14:paraId="7C6838CC">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替代源排放情况</w:t>
            </w:r>
          </w:p>
        </w:tc>
        <w:tc>
          <w:tcPr>
            <w:tcW w:w="2277" w:type="dxa"/>
            <w:gridSpan w:val="3"/>
            <w:vAlign w:val="center"/>
          </w:tcPr>
          <w:p w14:paraId="1D91E2C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污染源名称</w:t>
            </w:r>
          </w:p>
        </w:tc>
        <w:tc>
          <w:tcPr>
            <w:tcW w:w="2277" w:type="dxa"/>
            <w:gridSpan w:val="3"/>
            <w:vAlign w:val="center"/>
          </w:tcPr>
          <w:p w14:paraId="127F86BA">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排污许可证编号</w:t>
            </w:r>
          </w:p>
        </w:tc>
        <w:tc>
          <w:tcPr>
            <w:tcW w:w="2277" w:type="dxa"/>
            <w:gridSpan w:val="3"/>
            <w:vAlign w:val="center"/>
          </w:tcPr>
          <w:p w14:paraId="700BC680">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污染物名称</w:t>
            </w:r>
          </w:p>
        </w:tc>
        <w:tc>
          <w:tcPr>
            <w:tcW w:w="2277" w:type="dxa"/>
            <w:gridSpan w:val="2"/>
            <w:vAlign w:val="center"/>
          </w:tcPr>
          <w:p w14:paraId="5427C13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排放量/(t/a)</w:t>
            </w:r>
          </w:p>
        </w:tc>
        <w:tc>
          <w:tcPr>
            <w:tcW w:w="2281" w:type="dxa"/>
            <w:gridSpan w:val="2"/>
            <w:vAlign w:val="center"/>
          </w:tcPr>
          <w:p w14:paraId="55C9BC0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排放浓度/(mg/L)</w:t>
            </w:r>
          </w:p>
        </w:tc>
      </w:tr>
      <w:tr w14:paraId="15A4C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533EA1BD">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Merge w:val="continue"/>
            <w:vAlign w:val="center"/>
          </w:tcPr>
          <w:p w14:paraId="7414DD21">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2277" w:type="dxa"/>
            <w:gridSpan w:val="3"/>
            <w:vAlign w:val="center"/>
          </w:tcPr>
          <w:p w14:paraId="375076FF">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   ）</w:t>
            </w:r>
          </w:p>
        </w:tc>
        <w:tc>
          <w:tcPr>
            <w:tcW w:w="2277" w:type="dxa"/>
            <w:gridSpan w:val="3"/>
            <w:vAlign w:val="center"/>
          </w:tcPr>
          <w:p w14:paraId="36C6C8FF">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   ）</w:t>
            </w:r>
          </w:p>
        </w:tc>
        <w:tc>
          <w:tcPr>
            <w:tcW w:w="2277" w:type="dxa"/>
            <w:gridSpan w:val="3"/>
            <w:vAlign w:val="center"/>
          </w:tcPr>
          <w:p w14:paraId="4BD2B478">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   ）</w:t>
            </w:r>
          </w:p>
        </w:tc>
        <w:tc>
          <w:tcPr>
            <w:tcW w:w="2277" w:type="dxa"/>
            <w:gridSpan w:val="2"/>
            <w:vAlign w:val="center"/>
          </w:tcPr>
          <w:p w14:paraId="2F1B85D2">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   ）</w:t>
            </w:r>
          </w:p>
        </w:tc>
        <w:tc>
          <w:tcPr>
            <w:tcW w:w="2281" w:type="dxa"/>
            <w:gridSpan w:val="2"/>
            <w:vAlign w:val="center"/>
          </w:tcPr>
          <w:p w14:paraId="63264849">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   ）</w:t>
            </w:r>
          </w:p>
        </w:tc>
      </w:tr>
      <w:tr w14:paraId="56E9C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58D79C8C">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Align w:val="center"/>
          </w:tcPr>
          <w:p w14:paraId="34B94C1F">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生态流量确定</w:t>
            </w:r>
          </w:p>
        </w:tc>
        <w:tc>
          <w:tcPr>
            <w:tcW w:w="11389" w:type="dxa"/>
            <w:gridSpan w:val="13"/>
            <w:vAlign w:val="center"/>
          </w:tcPr>
          <w:p w14:paraId="1DCD6AE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生态流量：一般水期(    )m</w:t>
            </w:r>
            <w:r>
              <w:rPr>
                <w:rFonts w:hint="default" w:ascii="Times New Roman" w:hAnsi="Times New Roman" w:eastAsia="宋体" w:cs="Times New Roman"/>
                <w:color w:val="auto"/>
                <w:kern w:val="0"/>
                <w:sz w:val="21"/>
                <w:szCs w:val="21"/>
                <w:vertAlign w:val="superscript"/>
                <w:lang w:val="en-US" w:eastAsia="zh-CN" w:bidi="ar"/>
              </w:rPr>
              <w:t>3</w:t>
            </w:r>
            <w:r>
              <w:rPr>
                <w:rFonts w:hint="default" w:ascii="Times New Roman" w:hAnsi="Times New Roman" w:eastAsia="宋体" w:cs="Times New Roman"/>
                <w:color w:val="auto"/>
                <w:kern w:val="0"/>
                <w:sz w:val="21"/>
                <w:szCs w:val="21"/>
                <w:lang w:val="en-US" w:eastAsia="zh-CN" w:bidi="ar"/>
              </w:rPr>
              <w:t>/s；鱼类繁殖期(   )m</w:t>
            </w:r>
            <w:r>
              <w:rPr>
                <w:rFonts w:hint="default" w:ascii="Times New Roman" w:hAnsi="Times New Roman" w:eastAsia="宋体" w:cs="Times New Roman"/>
                <w:color w:val="auto"/>
                <w:kern w:val="0"/>
                <w:sz w:val="21"/>
                <w:szCs w:val="21"/>
                <w:vertAlign w:val="superscript"/>
                <w:lang w:val="en-US" w:eastAsia="zh-CN" w:bidi="ar"/>
              </w:rPr>
              <w:t>3</w:t>
            </w:r>
            <w:r>
              <w:rPr>
                <w:rFonts w:hint="default" w:ascii="Times New Roman" w:hAnsi="Times New Roman" w:eastAsia="宋体" w:cs="Times New Roman"/>
                <w:color w:val="auto"/>
                <w:kern w:val="0"/>
                <w:sz w:val="21"/>
                <w:szCs w:val="21"/>
                <w:lang w:val="en-US" w:eastAsia="zh-CN" w:bidi="ar"/>
              </w:rPr>
              <w:t>/s；其他(    )m</w:t>
            </w:r>
            <w:r>
              <w:rPr>
                <w:rFonts w:hint="default" w:ascii="Times New Roman" w:hAnsi="Times New Roman" w:eastAsia="宋体" w:cs="Times New Roman"/>
                <w:color w:val="auto"/>
                <w:kern w:val="0"/>
                <w:sz w:val="21"/>
                <w:szCs w:val="21"/>
                <w:vertAlign w:val="superscript"/>
                <w:lang w:val="en-US" w:eastAsia="zh-CN" w:bidi="ar"/>
              </w:rPr>
              <w:t>3</w:t>
            </w:r>
            <w:r>
              <w:rPr>
                <w:rFonts w:hint="default" w:ascii="Times New Roman" w:hAnsi="Times New Roman" w:eastAsia="宋体" w:cs="Times New Roman"/>
                <w:color w:val="auto"/>
                <w:kern w:val="0"/>
                <w:sz w:val="21"/>
                <w:szCs w:val="21"/>
                <w:lang w:val="en-US" w:eastAsia="zh-CN" w:bidi="ar"/>
              </w:rPr>
              <w:t>/s</w:t>
            </w:r>
          </w:p>
          <w:p w14:paraId="1A6FB59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 xml:space="preserve">生态水位：一般水期( </w:t>
            </w:r>
            <w:r>
              <w:rPr>
                <w:rFonts w:hint="default" w:ascii="Times New Roman" w:hAnsi="Times New Roman"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 m；鱼类繁殖期(</w:t>
            </w:r>
            <w:r>
              <w:rPr>
                <w:rFonts w:hint="default" w:ascii="Times New Roman" w:hAnsi="Times New Roman"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 xml:space="preserve"> )m；其他(</w:t>
            </w:r>
            <w:r>
              <w:rPr>
                <w:rFonts w:hint="default" w:ascii="Times New Roman" w:hAnsi="Times New Roman"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 xml:space="preserve"> )m</w:t>
            </w:r>
          </w:p>
        </w:tc>
      </w:tr>
      <w:tr w14:paraId="67E76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3985A737">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44" w:type="dxa"/>
            <w:vAlign w:val="center"/>
          </w:tcPr>
          <w:p w14:paraId="6B6104A6">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环保措施</w:t>
            </w:r>
          </w:p>
        </w:tc>
        <w:tc>
          <w:tcPr>
            <w:tcW w:w="11389" w:type="dxa"/>
            <w:gridSpan w:val="13"/>
            <w:vAlign w:val="center"/>
          </w:tcPr>
          <w:p w14:paraId="3330C27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污水处理设施</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；水文减缓设施</w:t>
            </w:r>
            <w:r>
              <w:rPr>
                <w:rFonts w:hint="default" w:ascii="Times New Roman" w:hAnsi="Times New Roman" w:eastAsia="Wingdings 2" w:cs="Times New Roman"/>
                <w:color w:val="auto"/>
                <w:kern w:val="0"/>
                <w:sz w:val="21"/>
                <w:szCs w:val="21"/>
                <w:lang w:val="en-US" w:eastAsia="zh-CN" w:bidi="ar"/>
              </w:rPr>
              <w:sym w:font="Wingdings 2" w:char="00A3"/>
            </w:r>
            <w:r>
              <w:rPr>
                <w:rFonts w:hint="default" w:ascii="Times New Roman" w:hAnsi="Times New Roman" w:eastAsia="宋体" w:cs="Times New Roman"/>
                <w:color w:val="auto"/>
                <w:kern w:val="0"/>
                <w:sz w:val="21"/>
                <w:szCs w:val="21"/>
                <w:lang w:val="en-US" w:eastAsia="zh-CN" w:bidi="ar"/>
              </w:rPr>
              <w:t>；生态流量保障设施</w:t>
            </w:r>
            <w:r>
              <w:rPr>
                <w:rFonts w:hint="default" w:ascii="Times New Roman" w:hAnsi="Times New Roman" w:eastAsia="Wingdings 2" w:cs="Times New Roman"/>
                <w:color w:val="auto"/>
                <w:kern w:val="0"/>
                <w:sz w:val="21"/>
                <w:szCs w:val="21"/>
                <w:lang w:val="en-US" w:eastAsia="zh-CN" w:bidi="ar"/>
              </w:rPr>
              <w:sym w:font="Wingdings 2" w:char="00A3"/>
            </w:r>
            <w:r>
              <w:rPr>
                <w:rFonts w:hint="default" w:ascii="Times New Roman" w:hAnsi="Times New Roman" w:eastAsia="宋体" w:cs="Times New Roman"/>
                <w:color w:val="auto"/>
                <w:kern w:val="0"/>
                <w:sz w:val="21"/>
                <w:szCs w:val="21"/>
                <w:lang w:val="en-US" w:eastAsia="zh-CN" w:bidi="ar"/>
              </w:rPr>
              <w:t>；区域削减</w:t>
            </w:r>
            <w:r>
              <w:rPr>
                <w:rFonts w:hint="default" w:ascii="Times New Roman" w:hAnsi="Times New Roman" w:eastAsia="Wingdings 2" w:cs="Times New Roman"/>
                <w:color w:val="auto"/>
                <w:kern w:val="0"/>
                <w:sz w:val="21"/>
                <w:szCs w:val="21"/>
                <w:lang w:val="en-US" w:eastAsia="zh-CN" w:bidi="ar"/>
              </w:rPr>
              <w:sym w:font="Wingdings 2" w:char="00A3"/>
            </w:r>
            <w:r>
              <w:rPr>
                <w:rFonts w:hint="default" w:ascii="Times New Roman" w:hAnsi="Times New Roman" w:eastAsia="宋体" w:cs="Times New Roman"/>
                <w:color w:val="auto"/>
                <w:kern w:val="0"/>
                <w:sz w:val="21"/>
                <w:szCs w:val="21"/>
                <w:lang w:val="en-US" w:eastAsia="zh-CN" w:bidi="ar"/>
              </w:rPr>
              <w:t>；依托其他工程措施</w:t>
            </w:r>
            <w:r>
              <w:rPr>
                <w:rFonts w:hint="default" w:ascii="Times New Roman" w:hAnsi="Times New Roman" w:eastAsia="Wingdings 2"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；其他</w:t>
            </w:r>
            <w:r>
              <w:rPr>
                <w:rFonts w:hint="default" w:ascii="Times New Roman" w:hAnsi="Times New Roman" w:eastAsia="Wingdings 2" w:cs="Times New Roman"/>
                <w:color w:val="auto"/>
                <w:kern w:val="0"/>
                <w:sz w:val="21"/>
                <w:szCs w:val="21"/>
                <w:lang w:val="en-US" w:eastAsia="zh-CN" w:bidi="ar"/>
              </w:rPr>
              <w:sym w:font="Wingdings 2" w:char="00A3"/>
            </w:r>
          </w:p>
        </w:tc>
      </w:tr>
      <w:tr w14:paraId="6D380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restart"/>
            <w:vAlign w:val="center"/>
          </w:tcPr>
          <w:p w14:paraId="2C32117B">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防治措施</w:t>
            </w:r>
          </w:p>
        </w:tc>
        <w:tc>
          <w:tcPr>
            <w:tcW w:w="2034" w:type="dxa"/>
            <w:gridSpan w:val="2"/>
            <w:vMerge w:val="restart"/>
            <w:vAlign w:val="center"/>
          </w:tcPr>
          <w:p w14:paraId="1B3D876A">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监测计划</w:t>
            </w:r>
          </w:p>
        </w:tc>
        <w:tc>
          <w:tcPr>
            <w:tcW w:w="2849" w:type="dxa"/>
            <w:gridSpan w:val="4"/>
            <w:vAlign w:val="center"/>
          </w:tcPr>
          <w:p w14:paraId="11C60F70">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4353" w:type="dxa"/>
            <w:gridSpan w:val="5"/>
            <w:vAlign w:val="center"/>
          </w:tcPr>
          <w:p w14:paraId="4B26A5E4">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环境质量</w:t>
            </w:r>
          </w:p>
        </w:tc>
        <w:tc>
          <w:tcPr>
            <w:tcW w:w="3797" w:type="dxa"/>
            <w:gridSpan w:val="3"/>
            <w:vAlign w:val="center"/>
          </w:tcPr>
          <w:p w14:paraId="6B47C0FF">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污染源</w:t>
            </w:r>
          </w:p>
        </w:tc>
      </w:tr>
      <w:tr w14:paraId="741C1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08920848">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2034" w:type="dxa"/>
            <w:gridSpan w:val="2"/>
            <w:vMerge w:val="continue"/>
            <w:vAlign w:val="center"/>
          </w:tcPr>
          <w:p w14:paraId="164D4CB9">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2849" w:type="dxa"/>
            <w:gridSpan w:val="4"/>
            <w:vAlign w:val="center"/>
          </w:tcPr>
          <w:p w14:paraId="693C1B81">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监测方式</w:t>
            </w:r>
          </w:p>
        </w:tc>
        <w:tc>
          <w:tcPr>
            <w:tcW w:w="4353" w:type="dxa"/>
            <w:gridSpan w:val="5"/>
            <w:vAlign w:val="center"/>
          </w:tcPr>
          <w:p w14:paraId="1C45A537">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手动</w:t>
            </w:r>
            <w:r>
              <w:rPr>
                <w:rFonts w:hint="default" w:ascii="Times New Roman" w:hAnsi="Times New Roman" w:eastAsia="MS UI Gothic"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；自动</w:t>
            </w:r>
            <w:r>
              <w:rPr>
                <w:rFonts w:hint="default" w:ascii="Times New Roman" w:hAnsi="Times New Roman" w:eastAsia="Wingdings 2" w:cs="Times New Roman"/>
                <w:color w:val="auto"/>
                <w:kern w:val="0"/>
                <w:sz w:val="21"/>
                <w:szCs w:val="21"/>
                <w:lang w:val="en-US" w:eastAsia="zh-CN" w:bidi="ar"/>
              </w:rPr>
              <w:sym w:font="Wingdings 2" w:char="00A3"/>
            </w:r>
            <w:r>
              <w:rPr>
                <w:rFonts w:hint="default" w:ascii="Times New Roman" w:hAnsi="Times New Roman" w:eastAsia="宋体" w:cs="Times New Roman"/>
                <w:color w:val="auto"/>
                <w:kern w:val="0"/>
                <w:sz w:val="21"/>
                <w:szCs w:val="21"/>
                <w:lang w:val="en-US" w:eastAsia="zh-CN" w:bidi="ar"/>
              </w:rPr>
              <w:t>；无监测</w:t>
            </w:r>
            <w:r>
              <w:rPr>
                <w:rFonts w:hint="default" w:ascii="Times New Roman" w:hAnsi="Times New Roman" w:eastAsia="Wingdings 2" w:cs="Times New Roman"/>
                <w:color w:val="auto"/>
                <w:kern w:val="0"/>
                <w:sz w:val="21"/>
                <w:szCs w:val="21"/>
                <w:lang w:val="en-US" w:eastAsia="zh-CN" w:bidi="ar"/>
              </w:rPr>
              <w:sym w:font="Wingdings 2" w:char="00A3"/>
            </w:r>
          </w:p>
        </w:tc>
        <w:tc>
          <w:tcPr>
            <w:tcW w:w="3797" w:type="dxa"/>
            <w:gridSpan w:val="3"/>
            <w:vAlign w:val="center"/>
          </w:tcPr>
          <w:p w14:paraId="5B3803D3">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手动</w:t>
            </w:r>
            <w:r>
              <w:rPr>
                <w:rFonts w:hint="default" w:ascii="Times New Roman" w:hAnsi="Times New Roman" w:eastAsia="Wingdings 2" w:cs="Times New Roman"/>
                <w:color w:val="auto"/>
                <w:kern w:val="0"/>
                <w:sz w:val="21"/>
                <w:szCs w:val="21"/>
                <w:lang w:val="en-US" w:eastAsia="zh-CN" w:bidi="ar"/>
              </w:rPr>
              <w:sym w:font="Wingdings 2" w:char="00A3"/>
            </w:r>
            <w:r>
              <w:rPr>
                <w:rFonts w:hint="default" w:ascii="Times New Roman" w:hAnsi="Times New Roman" w:eastAsia="宋体" w:cs="Times New Roman"/>
                <w:color w:val="auto"/>
                <w:kern w:val="0"/>
                <w:sz w:val="21"/>
                <w:szCs w:val="21"/>
                <w:lang w:val="en-US" w:eastAsia="zh-CN" w:bidi="ar"/>
              </w:rPr>
              <w:t>；自动</w:t>
            </w:r>
            <w:r>
              <w:rPr>
                <w:rFonts w:hint="default" w:ascii="Times New Roman" w:hAnsi="Times New Roman" w:eastAsia="Wingdings 2" w:cs="Times New Roman"/>
                <w:color w:val="auto"/>
                <w:kern w:val="0"/>
                <w:sz w:val="21"/>
                <w:szCs w:val="21"/>
                <w:lang w:val="en-US" w:eastAsia="zh-CN" w:bidi="ar"/>
              </w:rPr>
              <w:sym w:font="Wingdings 2" w:char="00A3"/>
            </w:r>
            <w:r>
              <w:rPr>
                <w:rFonts w:hint="default" w:ascii="Times New Roman" w:hAnsi="Times New Roman" w:eastAsia="宋体" w:cs="Times New Roman"/>
                <w:color w:val="auto"/>
                <w:kern w:val="0"/>
                <w:sz w:val="21"/>
                <w:szCs w:val="21"/>
                <w:lang w:val="en-US" w:eastAsia="zh-CN" w:bidi="ar"/>
              </w:rPr>
              <w:t>；无监测</w:t>
            </w:r>
            <w:r>
              <w:rPr>
                <w:rFonts w:hint="default" w:ascii="Times New Roman" w:hAnsi="Times New Roman" w:eastAsia="Wingdings 2" w:cs="Times New Roman"/>
                <w:color w:val="auto"/>
                <w:kern w:val="0"/>
                <w:sz w:val="21"/>
                <w:szCs w:val="21"/>
                <w:lang w:val="en-US" w:eastAsia="zh-CN" w:bidi="ar"/>
              </w:rPr>
              <w:sym w:font="Wingdings 2" w:char="00A3"/>
            </w:r>
          </w:p>
        </w:tc>
      </w:tr>
      <w:tr w14:paraId="3AA00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140EACCC">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2034" w:type="dxa"/>
            <w:gridSpan w:val="2"/>
            <w:vMerge w:val="continue"/>
            <w:vAlign w:val="center"/>
          </w:tcPr>
          <w:p w14:paraId="49126601">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2849" w:type="dxa"/>
            <w:gridSpan w:val="4"/>
            <w:vAlign w:val="center"/>
          </w:tcPr>
          <w:p w14:paraId="3BD644A8">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监测点位</w:t>
            </w:r>
          </w:p>
        </w:tc>
        <w:tc>
          <w:tcPr>
            <w:tcW w:w="4353" w:type="dxa"/>
            <w:gridSpan w:val="5"/>
            <w:vAlign w:val="center"/>
          </w:tcPr>
          <w:p w14:paraId="1280D56E">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w:t>
            </w:r>
            <w:r>
              <w:rPr>
                <w:rFonts w:hint="default" w:ascii="Times New Roman" w:hAnsi="Times New Roman"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w:t>
            </w:r>
          </w:p>
        </w:tc>
        <w:tc>
          <w:tcPr>
            <w:tcW w:w="3797" w:type="dxa"/>
            <w:gridSpan w:val="3"/>
            <w:vAlign w:val="center"/>
          </w:tcPr>
          <w:p w14:paraId="43E8CEA6">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w:t>
            </w:r>
            <w:r>
              <w:rPr>
                <w:rFonts w:hint="default" w:ascii="Times New Roman" w:hAnsi="Times New Roman"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 xml:space="preserve"> )</w:t>
            </w:r>
          </w:p>
        </w:tc>
      </w:tr>
      <w:tr w14:paraId="1E0AE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608039EF">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2034" w:type="dxa"/>
            <w:gridSpan w:val="2"/>
            <w:vMerge w:val="continue"/>
            <w:vAlign w:val="center"/>
          </w:tcPr>
          <w:p w14:paraId="14E0C8D3">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2849" w:type="dxa"/>
            <w:gridSpan w:val="4"/>
            <w:vAlign w:val="center"/>
          </w:tcPr>
          <w:p w14:paraId="0E875DFB">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监测因子</w:t>
            </w:r>
          </w:p>
        </w:tc>
        <w:tc>
          <w:tcPr>
            <w:tcW w:w="4353" w:type="dxa"/>
            <w:gridSpan w:val="5"/>
            <w:vAlign w:val="center"/>
          </w:tcPr>
          <w:p w14:paraId="65BA9AF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w:t>
            </w:r>
            <w:r>
              <w:rPr>
                <w:rFonts w:hint="default" w:ascii="Times New Roman" w:hAnsi="Times New Roman"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w:t>
            </w:r>
          </w:p>
        </w:tc>
        <w:tc>
          <w:tcPr>
            <w:tcW w:w="3797" w:type="dxa"/>
            <w:gridSpan w:val="3"/>
            <w:vAlign w:val="center"/>
          </w:tcPr>
          <w:p w14:paraId="0799C493">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w:t>
            </w:r>
            <w:r>
              <w:rPr>
                <w:rFonts w:hint="default" w:ascii="Times New Roman" w:hAnsi="Times New Roman"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 xml:space="preserve"> )</w:t>
            </w:r>
          </w:p>
        </w:tc>
      </w:tr>
      <w:tr w14:paraId="596A6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1" w:type="dxa"/>
            <w:vMerge w:val="continue"/>
            <w:vAlign w:val="center"/>
          </w:tcPr>
          <w:p w14:paraId="480516CE">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2034" w:type="dxa"/>
            <w:gridSpan w:val="2"/>
            <w:vAlign w:val="center"/>
          </w:tcPr>
          <w:p w14:paraId="135342D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污染物排放清单</w:t>
            </w:r>
          </w:p>
        </w:tc>
        <w:tc>
          <w:tcPr>
            <w:tcW w:w="10999" w:type="dxa"/>
            <w:gridSpan w:val="12"/>
            <w:vAlign w:val="center"/>
          </w:tcPr>
          <w:p w14:paraId="470837D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Wingdings 2" w:cs="Times New Roman"/>
                <w:color w:val="auto"/>
                <w:kern w:val="0"/>
                <w:sz w:val="21"/>
                <w:szCs w:val="21"/>
                <w:lang w:val="en-US" w:eastAsia="zh-CN" w:bidi="ar"/>
              </w:rPr>
              <w:sym w:font="Wingdings 2" w:char="00A3"/>
            </w:r>
          </w:p>
        </w:tc>
      </w:tr>
      <w:tr w14:paraId="1E154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75" w:type="dxa"/>
            <w:gridSpan w:val="3"/>
            <w:vAlign w:val="center"/>
          </w:tcPr>
          <w:p w14:paraId="62A13225">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评价结论</w:t>
            </w:r>
          </w:p>
        </w:tc>
        <w:tc>
          <w:tcPr>
            <w:tcW w:w="10999" w:type="dxa"/>
            <w:gridSpan w:val="12"/>
            <w:vAlign w:val="center"/>
          </w:tcPr>
          <w:p w14:paraId="0A0C31D1">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可以接受</w:t>
            </w:r>
            <w:r>
              <w:rPr>
                <w:rFonts w:hint="default" w:ascii="Times New Roman" w:hAnsi="Times New Roman" w:eastAsia="MS UI Gothic"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；不可以接受</w:t>
            </w:r>
            <w:r>
              <w:rPr>
                <w:rFonts w:hint="default" w:ascii="Times New Roman" w:hAnsi="Times New Roman" w:eastAsia="Wingdings 2" w:cs="Times New Roman"/>
                <w:color w:val="auto"/>
                <w:kern w:val="0"/>
                <w:sz w:val="21"/>
                <w:szCs w:val="21"/>
                <w:lang w:val="en-US" w:eastAsia="zh-CN" w:bidi="ar"/>
              </w:rPr>
              <w:t>□</w:t>
            </w:r>
          </w:p>
        </w:tc>
      </w:tr>
      <w:tr w14:paraId="7E0BF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74" w:type="dxa"/>
            <w:gridSpan w:val="15"/>
            <w:vAlign w:val="center"/>
          </w:tcPr>
          <w:p w14:paraId="07ACF9C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注：“□”为勾选项，可√ ；“ (   ) ”为内容填写项；“备注”为其他补充内容。</w:t>
            </w:r>
          </w:p>
        </w:tc>
      </w:tr>
    </w:tbl>
    <w:p w14:paraId="071CFFFD">
      <w:pPr>
        <w:bidi w:val="0"/>
        <w:rPr>
          <w:rFonts w:hint="default" w:ascii="Times New Roman" w:hAnsi="Times New Roman" w:cs="Times New Roman"/>
          <w:color w:val="auto"/>
          <w:lang w:val="en-US" w:eastAsia="zh-CN"/>
        </w:rPr>
      </w:pPr>
    </w:p>
    <w:p w14:paraId="5016966B">
      <w:pPr>
        <w:rPr>
          <w:rFonts w:hint="default" w:ascii="Times New Roman" w:hAnsi="Times New Roman" w:cs="Times New Roman"/>
          <w:color w:val="auto"/>
        </w:rPr>
      </w:pPr>
    </w:p>
    <w:p w14:paraId="0DDE04E2">
      <w:pPr>
        <w:pStyle w:val="5"/>
        <w:rPr>
          <w:rFonts w:hint="default" w:ascii="Times New Roman" w:hAnsi="Times New Roman" w:cs="Times New Roman"/>
          <w:color w:val="auto"/>
        </w:rPr>
        <w:sectPr>
          <w:pgSz w:w="16838" w:h="11906" w:orient="landscape"/>
          <w:pgMar w:top="1797" w:right="1440" w:bottom="1797" w:left="1440" w:header="851" w:footer="1026" w:gutter="0"/>
          <w:pgBorders>
            <w:top w:val="none" w:sz="0" w:space="0"/>
            <w:left w:val="none" w:sz="0" w:space="0"/>
            <w:bottom w:val="none" w:sz="0" w:space="0"/>
            <w:right w:val="none" w:sz="0" w:space="0"/>
          </w:pgBorders>
          <w:pgNumType w:fmt="decimal"/>
          <w:cols w:space="720" w:num="1"/>
          <w:docGrid w:type="linesAndChars" w:linePitch="312" w:charSpace="0"/>
        </w:sectPr>
      </w:pPr>
    </w:p>
    <w:p w14:paraId="6EDFEA71">
      <w:pPr>
        <w:pStyle w:val="3"/>
        <w:numPr>
          <w:ilvl w:val="1"/>
          <w:numId w:val="0"/>
        </w:numPr>
        <w:bidi w:val="0"/>
        <w:rPr>
          <w:rFonts w:hint="default" w:ascii="Times New Roman" w:hAnsi="Times New Roman" w:cs="Times New Roman"/>
          <w:color w:val="auto"/>
        </w:rPr>
      </w:pPr>
      <w:bookmarkStart w:id="1297" w:name="_Toc2271"/>
      <w:bookmarkStart w:id="1298" w:name="_Toc29446"/>
      <w:bookmarkStart w:id="1299" w:name="_Toc27483"/>
      <w:bookmarkStart w:id="1300" w:name="_Toc13157"/>
      <w:bookmarkStart w:id="1301" w:name="_Toc5133"/>
      <w:bookmarkStart w:id="1302" w:name="_Toc16444"/>
      <w:bookmarkStart w:id="1303" w:name="_Toc4749"/>
      <w:bookmarkStart w:id="1304" w:name="_Toc19825"/>
      <w:bookmarkStart w:id="1305" w:name="_Toc12333"/>
      <w:r>
        <w:rPr>
          <w:rFonts w:hint="default" w:ascii="Times New Roman" w:hAnsi="Times New Roman" w:cs="Times New Roman"/>
          <w:color w:val="auto"/>
          <w:lang w:val="en-US" w:eastAsia="zh-CN"/>
        </w:rPr>
        <w:t>5.5 固体废物影响预测与评价</w:t>
      </w:r>
      <w:bookmarkEnd w:id="1297"/>
      <w:bookmarkEnd w:id="1298"/>
      <w:bookmarkEnd w:id="1299"/>
      <w:bookmarkEnd w:id="1300"/>
      <w:bookmarkEnd w:id="1301"/>
      <w:bookmarkEnd w:id="1302"/>
      <w:bookmarkEnd w:id="1303"/>
      <w:bookmarkEnd w:id="1304"/>
      <w:bookmarkEnd w:id="1305"/>
    </w:p>
    <w:p w14:paraId="21F7ED63">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5.5.1 固体废物施工期的环境影响分析</w:t>
      </w:r>
    </w:p>
    <w:p w14:paraId="1C9D6019">
      <w:pPr>
        <w:pStyle w:val="72"/>
        <w:spacing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t>项目</w:t>
      </w:r>
      <w:r>
        <w:rPr>
          <w:rFonts w:hint="default" w:ascii="Times New Roman" w:hAnsi="Times New Roman" w:eastAsia="宋体" w:cs="Times New Roman"/>
          <w:color w:val="auto"/>
        </w:rPr>
        <w:t>主要固体废物为建筑垃圾及少量的办公生活垃圾。</w:t>
      </w:r>
    </w:p>
    <w:p w14:paraId="6951AEA9">
      <w:pPr>
        <w:pStyle w:val="72"/>
        <w:spacing w:line="360" w:lineRule="auto"/>
        <w:ind w:firstLine="480"/>
        <w:rPr>
          <w:rFonts w:hint="default" w:ascii="Times New Roman" w:hAnsi="Times New Roman" w:eastAsia="宋体" w:cs="Times New Roman"/>
          <w:color w:val="auto"/>
        </w:rPr>
      </w:pPr>
      <w:bookmarkStart w:id="1306" w:name="_Hlk130463696"/>
      <w:r>
        <w:rPr>
          <w:rFonts w:hint="default" w:ascii="Times New Roman" w:hAnsi="Times New Roman" w:eastAsia="宋体" w:cs="Times New Roman"/>
          <w:color w:val="auto"/>
        </w:rPr>
        <w:t>施工期间产生的固体废物主要为建筑垃圾、道路基础及项目开挖时产生的废弃土。</w:t>
      </w:r>
    </w:p>
    <w:p w14:paraId="404ABA8C">
      <w:pPr>
        <w:pStyle w:val="72"/>
        <w:spacing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（1）建筑垃圾</w:t>
      </w:r>
    </w:p>
    <w:p w14:paraId="635EE67C">
      <w:pPr>
        <w:pStyle w:val="72"/>
        <w:spacing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项目在施工过程中产生的建筑垃圾主要包括废弃建材、钢材、水泥等，不能使用的建筑垃圾直接由施工单位进行统一处理，能够使用的由施工单位进行修补当地村道路或建筑使用，这样可以减轻建筑垃圾对环境的影响。</w:t>
      </w:r>
    </w:p>
    <w:p w14:paraId="5EC7D8CA">
      <w:pPr>
        <w:pStyle w:val="72"/>
        <w:spacing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（2）施工弃方及建筑垃圾</w:t>
      </w:r>
    </w:p>
    <w:p w14:paraId="4344DF88">
      <w:pPr>
        <w:pStyle w:val="72"/>
        <w:spacing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本项目在施工过程中开挖量为382.97万m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，填方量为253.34万m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，弃方为139.57万m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。施工过程中废弃土方集中收集后，运至指定的弃土场，施工完毕后进行压实平整。</w:t>
      </w:r>
    </w:p>
    <w:bookmarkEnd w:id="1306"/>
    <w:p w14:paraId="74D64B6A">
      <w:pPr>
        <w:pStyle w:val="72"/>
        <w:spacing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（3）生活垃圾影响分析</w:t>
      </w:r>
    </w:p>
    <w:p w14:paraId="5CC7DD2F">
      <w:pPr>
        <w:spacing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施工人员按50人/标段计算，按每人垃圾产生量0.5kg/d</w:t>
      </w:r>
      <w:r>
        <w:rPr>
          <w:rFonts w:hint="eastAsia" w:cs="Times New Roman"/>
          <w:color w:val="auto"/>
          <w:lang w:eastAsia="zh-CN"/>
        </w:rPr>
        <w:t>计算</w:t>
      </w:r>
      <w:r>
        <w:rPr>
          <w:rFonts w:hint="default" w:ascii="Times New Roman" w:hAnsi="Times New Roman" w:eastAsia="宋体" w:cs="Times New Roman"/>
          <w:color w:val="auto"/>
        </w:rPr>
        <w:t>，施工期为24个月，则排放生活垃圾总量为18</w:t>
      </w:r>
      <w:r>
        <w:rPr>
          <w:rFonts w:hint="eastAsia" w:cs="Times New Roman"/>
          <w:color w:val="auto"/>
          <w:lang w:val="en-US" w:eastAsia="zh-CN"/>
        </w:rPr>
        <w:t>.25</w:t>
      </w:r>
      <w:r>
        <w:rPr>
          <w:rFonts w:hint="default" w:ascii="Times New Roman" w:hAnsi="Times New Roman" w:eastAsia="宋体" w:cs="Times New Roman"/>
          <w:color w:val="auto"/>
        </w:rPr>
        <w:t>t。施工场地会产生少量生活垃圾，集中收集后，交附近垃圾收集站处置，对周围环境影响较小。</w:t>
      </w:r>
    </w:p>
    <w:p w14:paraId="3873281B">
      <w:pPr>
        <w:spacing w:line="360" w:lineRule="auto"/>
        <w:ind w:firstLine="480"/>
        <w:rPr>
          <w:rFonts w:hint="eastAsia" w:cs="Times New Roman"/>
          <w:color w:val="auto"/>
          <w:lang w:val="en-US" w:eastAsia="zh-CN"/>
        </w:rPr>
      </w:pPr>
      <w:r>
        <w:rPr>
          <w:rFonts w:hint="eastAsia" w:cs="Times New Roman"/>
          <w:color w:val="auto"/>
          <w:lang w:eastAsia="zh-CN"/>
        </w:rPr>
        <w:t>（</w:t>
      </w:r>
      <w:r>
        <w:rPr>
          <w:rFonts w:hint="eastAsia" w:cs="Times New Roman"/>
          <w:color w:val="auto"/>
          <w:lang w:val="en-US" w:eastAsia="zh-CN"/>
        </w:rPr>
        <w:t>4</w:t>
      </w:r>
      <w:r>
        <w:rPr>
          <w:rFonts w:hint="eastAsia" w:cs="Times New Roman"/>
          <w:color w:val="auto"/>
          <w:lang w:eastAsia="zh-CN"/>
        </w:rPr>
        <w:t>）</w:t>
      </w:r>
      <w:r>
        <w:rPr>
          <w:rFonts w:hint="eastAsia" w:cs="Times New Roman"/>
          <w:color w:val="auto"/>
          <w:lang w:val="en-US" w:eastAsia="zh-CN"/>
        </w:rPr>
        <w:t>危险废物</w:t>
      </w:r>
    </w:p>
    <w:p w14:paraId="3384EFDE">
      <w:pPr>
        <w:spacing w:line="360" w:lineRule="auto"/>
        <w:ind w:firstLine="480"/>
        <w:rPr>
          <w:rFonts w:hint="default" w:cs="Times New Roman"/>
          <w:color w:val="auto"/>
          <w:lang w:val="en-US" w:eastAsia="zh-CN"/>
        </w:rPr>
      </w:pPr>
      <w:r>
        <w:rPr>
          <w:rFonts w:hint="eastAsia" w:cs="Times New Roman"/>
          <w:color w:val="auto"/>
          <w:lang w:val="en-US" w:eastAsia="zh-CN"/>
        </w:rPr>
        <w:t>①废机油</w:t>
      </w:r>
    </w:p>
    <w:p w14:paraId="098D7A01">
      <w:pPr>
        <w:spacing w:line="360" w:lineRule="auto"/>
        <w:ind w:firstLine="480"/>
        <w:rPr>
          <w:rFonts w:hint="default" w:cs="Times New Roman"/>
          <w:color w:val="auto"/>
          <w:lang w:val="en-US" w:eastAsia="zh-CN"/>
        </w:rPr>
      </w:pPr>
      <w:r>
        <w:rPr>
          <w:rFonts w:hint="default" w:cs="Times New Roman"/>
          <w:color w:val="auto"/>
          <w:lang w:val="en-US" w:eastAsia="zh-CN"/>
        </w:rPr>
        <w:t>机修产生的废机油属于危险废物，根据《国家危险废物名录（2025年版）》，本项目产生的危险废物为HW08废矿物油与含矿物油废物，类比</w:t>
      </w:r>
      <w:r>
        <w:rPr>
          <w:rFonts w:hint="eastAsia" w:cs="Times New Roman"/>
          <w:color w:val="auto"/>
          <w:lang w:val="en-US" w:eastAsia="zh-CN"/>
        </w:rPr>
        <w:t>同类型公路</w:t>
      </w:r>
      <w:r>
        <w:rPr>
          <w:rFonts w:hint="default" w:cs="Times New Roman"/>
          <w:color w:val="auto"/>
          <w:lang w:val="en-US" w:eastAsia="zh-CN"/>
        </w:rPr>
        <w:t>项目环境监理总结报告，本项目施工期废机油产生量约为0.</w:t>
      </w:r>
      <w:r>
        <w:rPr>
          <w:rFonts w:hint="eastAsia" w:cs="Times New Roman"/>
          <w:color w:val="auto"/>
          <w:lang w:val="en-US" w:eastAsia="zh-CN"/>
        </w:rPr>
        <w:t>02</w:t>
      </w:r>
      <w:r>
        <w:rPr>
          <w:rFonts w:hint="default" w:cs="Times New Roman"/>
          <w:color w:val="auto"/>
          <w:lang w:val="en-US" w:eastAsia="zh-CN"/>
        </w:rPr>
        <w:t>t/a。</w:t>
      </w:r>
    </w:p>
    <w:p w14:paraId="3B2D1343">
      <w:pPr>
        <w:spacing w:line="360" w:lineRule="auto"/>
        <w:ind w:firstLine="480"/>
        <w:rPr>
          <w:rFonts w:hint="eastAsia" w:cs="Times New Roman"/>
          <w:color w:val="auto"/>
          <w:lang w:val="en-US" w:eastAsia="zh-CN"/>
        </w:rPr>
      </w:pPr>
      <w:r>
        <w:rPr>
          <w:rFonts w:hint="eastAsia" w:cs="Times New Roman"/>
          <w:color w:val="auto"/>
          <w:lang w:val="en-US" w:eastAsia="zh-CN"/>
        </w:rPr>
        <w:t>②废活性炭</w:t>
      </w:r>
    </w:p>
    <w:p w14:paraId="454EAC52">
      <w:pPr>
        <w:spacing w:line="360" w:lineRule="auto"/>
        <w:ind w:firstLine="480"/>
        <w:rPr>
          <w:rFonts w:hint="default" w:cs="Times New Roman"/>
          <w:color w:val="auto"/>
          <w:lang w:val="en-US" w:eastAsia="zh-CN"/>
        </w:rPr>
      </w:pPr>
      <w:r>
        <w:rPr>
          <w:rFonts w:hint="default" w:cs="Times New Roman"/>
          <w:color w:val="auto"/>
          <w:lang w:val="en-US" w:eastAsia="zh-CN"/>
        </w:rPr>
        <w:t>本项目</w:t>
      </w:r>
      <w:r>
        <w:rPr>
          <w:rFonts w:hint="eastAsia" w:cs="Times New Roman"/>
          <w:color w:val="auto"/>
          <w:lang w:val="en-US" w:eastAsia="zh-CN"/>
        </w:rPr>
        <w:t>废活性炭产生量约7.5t/a</w:t>
      </w:r>
      <w:r>
        <w:rPr>
          <w:rFonts w:hint="default" w:cs="Times New Roman"/>
          <w:color w:val="auto"/>
          <w:lang w:val="en-US" w:eastAsia="zh-CN"/>
        </w:rPr>
        <w:t>，活性炭每个月更换一次，其属于《国家危险废物名录（2025版）》中“HW49其他废物/非特定行业/900-041-49含有或沾染毒性、感染性危险废物的废弃包装物、容器、过滤吸附介质”。应收集后暂存于危废间，交由具危废处置资质单位处理，并签订危废处置协议，落实联单责任制。</w:t>
      </w:r>
    </w:p>
    <w:p w14:paraId="4A9FEF23">
      <w:pPr>
        <w:spacing w:line="360" w:lineRule="auto"/>
        <w:ind w:firstLine="480"/>
        <w:rPr>
          <w:rFonts w:hint="eastAsia" w:cs="Times New Roman"/>
          <w:color w:val="auto"/>
          <w:lang w:val="en-US" w:eastAsia="zh-CN"/>
        </w:rPr>
      </w:pPr>
      <w:r>
        <w:rPr>
          <w:rFonts w:hint="eastAsia" w:cs="Times New Roman"/>
          <w:color w:val="auto"/>
          <w:lang w:val="en-US" w:eastAsia="zh-CN"/>
        </w:rPr>
        <w:t>③废焦油</w:t>
      </w:r>
    </w:p>
    <w:p w14:paraId="79EBD599">
      <w:pPr>
        <w:spacing w:line="360" w:lineRule="auto"/>
        <w:ind w:firstLine="480"/>
        <w:rPr>
          <w:rFonts w:hint="eastAsia" w:cs="Times New Roman"/>
          <w:color w:val="auto"/>
          <w:lang w:val="en-US" w:eastAsia="zh-CN"/>
        </w:rPr>
      </w:pPr>
      <w:r>
        <w:rPr>
          <w:rFonts w:hint="default" w:cs="Times New Roman"/>
          <w:color w:val="auto"/>
          <w:lang w:val="en-US" w:eastAsia="zh-CN"/>
        </w:rPr>
        <w:t>废气处理收集的废焦油产生量0.1t/a，属于危险废物（HW11，900-013-11）</w:t>
      </w:r>
      <w:r>
        <w:rPr>
          <w:rFonts w:hint="eastAsia" w:cs="Times New Roman"/>
          <w:color w:val="auto"/>
          <w:lang w:val="en-US" w:eastAsia="zh-CN"/>
        </w:rPr>
        <w:t>。</w:t>
      </w:r>
    </w:p>
    <w:p w14:paraId="3F6A7C0B">
      <w:pPr>
        <w:spacing w:line="360" w:lineRule="auto"/>
        <w:ind w:firstLine="480"/>
        <w:rPr>
          <w:rFonts w:hint="default" w:cs="Times New Roman"/>
          <w:color w:val="auto"/>
          <w:lang w:val="en-US" w:eastAsia="zh-CN"/>
        </w:rPr>
      </w:pPr>
      <w:r>
        <w:rPr>
          <w:rFonts w:hint="default" w:cs="Times New Roman"/>
          <w:color w:val="auto"/>
          <w:lang w:val="en-US" w:eastAsia="zh-CN"/>
        </w:rPr>
        <w:t>上述危险废物需按《危险废物贮存污染控制标准》（GB 18597-2023）要求进行收集、贮存及处置，</w:t>
      </w:r>
      <w:r>
        <w:rPr>
          <w:rFonts w:hint="eastAsia" w:cs="Times New Roman"/>
          <w:color w:val="auto"/>
          <w:lang w:val="en-US" w:eastAsia="zh-CN"/>
        </w:rPr>
        <w:t>在施工生产区</w:t>
      </w:r>
      <w:r>
        <w:rPr>
          <w:rFonts w:hint="default" w:cs="Times New Roman"/>
          <w:color w:val="auto"/>
          <w:lang w:val="en-US" w:eastAsia="zh-CN"/>
        </w:rPr>
        <w:t>设置危险废物</w:t>
      </w:r>
      <w:r>
        <w:rPr>
          <w:rFonts w:hint="eastAsia" w:cs="Times New Roman"/>
          <w:color w:val="auto"/>
          <w:lang w:val="en-US" w:eastAsia="zh-CN"/>
        </w:rPr>
        <w:t>贮存点</w:t>
      </w:r>
      <w:r>
        <w:rPr>
          <w:rFonts w:hint="default" w:cs="Times New Roman"/>
          <w:color w:val="auto"/>
          <w:lang w:val="en-US" w:eastAsia="zh-CN"/>
        </w:rPr>
        <w:t>，并做好防渗，委托有资质单位进行处理。</w:t>
      </w:r>
    </w:p>
    <w:p w14:paraId="076BE987">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5.5.2 固体废物运营期的环境影响分析</w:t>
      </w:r>
    </w:p>
    <w:p w14:paraId="05A829D9">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本项目建成通车后，当地交通更为便捷，给当地带来了极大的便利，但同时交通垃圾，如纸屑、果皮、塑料用具等废弃物以及公路养护和维修过程产生的筑路废料都对沿线周边环境产生不利影响，</w:t>
      </w:r>
      <w:r>
        <w:rPr>
          <w:rFonts w:hint="eastAsia" w:cs="Times New Roman"/>
          <w:color w:val="auto"/>
          <w:kern w:val="0"/>
          <w:sz w:val="24"/>
          <w:szCs w:val="24"/>
          <w:lang w:val="en-US" w:eastAsia="zh-CN" w:bidi="ar"/>
        </w:rPr>
        <w:t>既</w:t>
      </w:r>
      <w:r>
        <w:rPr>
          <w:rFonts w:hint="default" w:ascii="Times New Roman" w:hAnsi="Times New Roman" w:eastAsia="宋体" w:cs="Times New Roman"/>
          <w:color w:val="auto"/>
          <w:kern w:val="0"/>
          <w:sz w:val="24"/>
          <w:szCs w:val="24"/>
          <w:lang w:val="en-US" w:eastAsia="zh-CN" w:bidi="ar"/>
        </w:rPr>
        <w:t>增加了公路养护的负担，又破坏了路域景观的观赏性。</w:t>
      </w:r>
    </w:p>
    <w:p w14:paraId="6F5DA8A6">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工程运营期产生的固体废物主要是生活垃圾和筑路废料。其中，筑路废料主要是在公路养护和维修过程产生的，生活垃圾主要是通行车辆产生的。筑路废料及时清运；公路维护人员定期将生活垃圾收集清运至附近城镇垃圾填埋场。只要加强管理，采取切实可行的措施，本工程运营期的固体废物不会对周围环境产生影响。</w:t>
      </w:r>
    </w:p>
    <w:p w14:paraId="0BD41161">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运营期各附属设施（收费站</w:t>
      </w:r>
      <w:r>
        <w:rPr>
          <w:rFonts w:hint="default" w:ascii="Times New Roman" w:hAnsi="Times New Roman" w:cs="Times New Roman"/>
          <w:color w:val="auto"/>
          <w:kern w:val="0"/>
          <w:sz w:val="24"/>
          <w:szCs w:val="24"/>
          <w:lang w:val="en-US" w:eastAsia="zh-CN" w:bidi="ar"/>
        </w:rPr>
        <w:t>、隧道管理站</w:t>
      </w:r>
      <w:r>
        <w:rPr>
          <w:rFonts w:hint="default" w:ascii="Times New Roman" w:hAnsi="Times New Roman" w:eastAsia="宋体" w:cs="Times New Roman"/>
          <w:color w:val="auto"/>
          <w:kern w:val="0"/>
          <w:sz w:val="24"/>
          <w:szCs w:val="24"/>
          <w:lang w:val="en-US" w:eastAsia="zh-CN" w:bidi="ar"/>
        </w:rPr>
        <w:t>）产生的固体废物主要是生活垃圾，各附属设施设置垃圾桶、垃圾箱，收集后由环卫部门定期清运。附属设施产生的生活垃圾不会对周围环境产生影响。</w:t>
      </w:r>
    </w:p>
    <w:p w14:paraId="6B7C6B61">
      <w:pPr>
        <w:pStyle w:val="3"/>
        <w:numPr>
          <w:ilvl w:val="1"/>
          <w:numId w:val="0"/>
        </w:numPr>
        <w:bidi w:val="0"/>
        <w:rPr>
          <w:rFonts w:hint="default" w:ascii="Times New Roman" w:hAnsi="Times New Roman" w:cs="Times New Roman"/>
          <w:color w:val="auto"/>
        </w:rPr>
      </w:pPr>
      <w:bookmarkStart w:id="1307" w:name="_Toc6147"/>
      <w:bookmarkStart w:id="1308" w:name="_Toc29860"/>
      <w:bookmarkStart w:id="1309" w:name="_Toc18705"/>
      <w:bookmarkStart w:id="1310" w:name="_Toc3827"/>
      <w:bookmarkStart w:id="1311" w:name="_Toc27749"/>
      <w:bookmarkStart w:id="1312" w:name="_Toc25743"/>
      <w:bookmarkStart w:id="1313" w:name="_Toc17134"/>
      <w:bookmarkStart w:id="1314" w:name="_Toc9114"/>
      <w:bookmarkStart w:id="1315" w:name="_Toc28638"/>
      <w:r>
        <w:rPr>
          <w:rFonts w:hint="default" w:ascii="Times New Roman" w:hAnsi="Times New Roman" w:cs="Times New Roman"/>
          <w:color w:val="auto"/>
          <w:lang w:val="en-US" w:eastAsia="zh-CN"/>
        </w:rPr>
        <w:t>5.6 环境风险分析</w:t>
      </w:r>
      <w:bookmarkEnd w:id="1307"/>
      <w:bookmarkEnd w:id="1308"/>
      <w:bookmarkEnd w:id="1309"/>
      <w:bookmarkEnd w:id="1310"/>
      <w:bookmarkEnd w:id="1311"/>
      <w:bookmarkEnd w:id="1312"/>
      <w:bookmarkEnd w:id="1313"/>
      <w:bookmarkEnd w:id="1314"/>
      <w:bookmarkEnd w:id="1315"/>
    </w:p>
    <w:p w14:paraId="0E6A7B01">
      <w:pPr>
        <w:keepNext w:val="0"/>
        <w:keepLines w:val="0"/>
        <w:widowControl/>
        <w:suppressLineNumbers w:val="0"/>
        <w:jc w:val="both"/>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2"/>
          <w:sz w:val="24"/>
          <w:szCs w:val="24"/>
        </w:rPr>
        <w:t>环境风险评价是分析和预测建设项目存在的潜在危险、有害因素，项目</w:t>
      </w:r>
      <w:r>
        <w:rPr>
          <w:rFonts w:hint="default" w:ascii="Times New Roman" w:hAnsi="Times New Roman" w:eastAsia="宋体" w:cs="Times New Roman"/>
          <w:color w:val="auto"/>
          <w:spacing w:val="1"/>
          <w:sz w:val="24"/>
          <w:szCs w:val="24"/>
        </w:rPr>
        <w:t>建设和</w:t>
      </w:r>
      <w:r>
        <w:rPr>
          <w:rFonts w:hint="eastAsia" w:cs="Times New Roman"/>
          <w:color w:val="auto"/>
          <w:spacing w:val="1"/>
          <w:sz w:val="24"/>
          <w:szCs w:val="24"/>
          <w:lang w:eastAsia="zh-CN"/>
        </w:rPr>
        <w:t>运营期</w:t>
      </w:r>
      <w:r>
        <w:rPr>
          <w:rFonts w:hint="default" w:ascii="Times New Roman" w:hAnsi="Times New Roman" w:eastAsia="宋体" w:cs="Times New Roman"/>
          <w:color w:val="auto"/>
          <w:spacing w:val="2"/>
          <w:sz w:val="24"/>
          <w:szCs w:val="24"/>
        </w:rPr>
        <w:t>间可能发生的突发性事件或事故（不包括人为破坏及自然灾害</w:t>
      </w:r>
      <w:r>
        <w:rPr>
          <w:rFonts w:hint="default" w:ascii="Times New Roman" w:hAnsi="Times New Roman" w:eastAsia="宋体" w:cs="Times New Roman"/>
          <w:color w:val="auto"/>
          <w:spacing w:val="1"/>
          <w:sz w:val="24"/>
          <w:szCs w:val="24"/>
        </w:rPr>
        <w:t>）引起有毒有害和</w:t>
      </w:r>
      <w:r>
        <w:rPr>
          <w:rFonts w:hint="default" w:ascii="Times New Roman" w:hAnsi="Times New Roman" w:eastAsia="宋体" w:cs="Times New Roman"/>
          <w:color w:val="auto"/>
          <w:spacing w:val="2"/>
          <w:sz w:val="24"/>
          <w:szCs w:val="24"/>
        </w:rPr>
        <w:t>易燃易爆等物质泄漏，造成人身安全与环境影响和损害程度，提出</w:t>
      </w:r>
      <w:r>
        <w:rPr>
          <w:rFonts w:hint="default" w:ascii="Times New Roman" w:hAnsi="Times New Roman" w:eastAsia="宋体" w:cs="Times New Roman"/>
          <w:color w:val="auto"/>
          <w:spacing w:val="1"/>
          <w:sz w:val="24"/>
          <w:szCs w:val="24"/>
        </w:rPr>
        <w:t>合理可行的防范、</w:t>
      </w:r>
      <w:r>
        <w:rPr>
          <w:rFonts w:hint="default" w:ascii="Times New Roman" w:hAnsi="Times New Roman" w:eastAsia="宋体" w:cs="Times New Roman"/>
          <w:color w:val="auto"/>
          <w:spacing w:val="2"/>
          <w:sz w:val="24"/>
          <w:szCs w:val="24"/>
        </w:rPr>
        <w:t>应急与减缓措施，使项目事故率、损失和环境影响达到可接受水平</w:t>
      </w:r>
      <w:r>
        <w:rPr>
          <w:rFonts w:hint="default" w:ascii="Times New Roman" w:hAnsi="Times New Roman" w:eastAsia="宋体" w:cs="Times New Roman"/>
          <w:color w:val="auto"/>
          <w:spacing w:val="1"/>
          <w:sz w:val="24"/>
          <w:szCs w:val="24"/>
        </w:rPr>
        <w:t>，确保周边影响区</w:t>
      </w:r>
      <w:r>
        <w:rPr>
          <w:rFonts w:hint="default" w:ascii="Times New Roman" w:hAnsi="Times New Roman" w:eastAsia="宋体" w:cs="Times New Roman"/>
          <w:color w:val="auto"/>
          <w:spacing w:val="-1"/>
          <w:sz w:val="24"/>
          <w:szCs w:val="24"/>
        </w:rPr>
        <w:t>内环境质量达标、人群生物的健康和生命安全。</w:t>
      </w:r>
    </w:p>
    <w:p w14:paraId="5F569F3E">
      <w:pPr>
        <w:pStyle w:val="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5.6.1 环境风险敏感路段</w:t>
      </w:r>
      <w:r>
        <w:rPr>
          <w:rFonts w:hint="eastAsia" w:cs="Times New Roman"/>
          <w:color w:val="auto"/>
          <w:lang w:val="en-US" w:eastAsia="zh-CN"/>
        </w:rPr>
        <w:t>识别</w:t>
      </w:r>
    </w:p>
    <w:p w14:paraId="20D95F0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eastAsia="宋体" w:cs="Times New Roman"/>
          <w:snapToGrid w:val="0"/>
          <w:color w:val="auto"/>
          <w:kern w:val="0"/>
          <w:sz w:val="24"/>
          <w:szCs w:val="24"/>
          <w:lang w:eastAsia="en-US"/>
        </w:rPr>
        <w:t>本项目顺接第一段S227阿图什至喀什公路新建工程建设项目终点。桩号范围K5+546~K10+931，路线里程5.385km。路线起点位于兰干塔格山北侧（兰干隧道进口处），采用隧道结合明线形式穿越兰干塔格山（设置长隧道1座，长1147m）后进入喀什经济开发区，终点位于喀什市经济开发区规划城东大道与横一路交叉路口</w:t>
      </w:r>
      <w:r>
        <w:rPr>
          <w:rFonts w:hint="eastAsia" w:cs="Times New Roman"/>
          <w:snapToGrid w:val="0"/>
          <w:color w:val="auto"/>
          <w:kern w:val="0"/>
          <w:sz w:val="24"/>
          <w:szCs w:val="24"/>
          <w:lang w:eastAsia="zh-CN"/>
        </w:rPr>
        <w:t>。</w:t>
      </w:r>
      <w:r>
        <w:rPr>
          <w:rFonts w:hint="default" w:ascii="Times New Roman" w:hAnsi="Times New Roman" w:eastAsia="宋体" w:cs="Times New Roman"/>
          <w:snapToGrid w:val="0"/>
          <w:color w:val="auto"/>
          <w:kern w:val="0"/>
          <w:sz w:val="24"/>
          <w:szCs w:val="24"/>
          <w:lang w:eastAsia="en-US"/>
        </w:rPr>
        <w:t>本项目全线共设计桥梁2座，其中位于K7+006.5处设计一座大桥（兰干山大桥）；K10+861.7设置一座大桥（G3012跨线桥）。本项目两座桥梁需设置桥墩，设置桥墩的核心原因：设桥路段地形起伏显著，存在深沟等地形障碍，且地形高差较大；为保障路线</w:t>
      </w:r>
      <w:r>
        <w:rPr>
          <w:rFonts w:hint="eastAsia" w:cs="Times New Roman"/>
          <w:snapToGrid w:val="0"/>
          <w:color w:val="auto"/>
          <w:kern w:val="0"/>
          <w:sz w:val="24"/>
          <w:szCs w:val="24"/>
          <w:lang w:eastAsia="zh-CN"/>
        </w:rPr>
        <w:t>平面线形</w:t>
      </w:r>
      <w:r>
        <w:rPr>
          <w:rFonts w:hint="default" w:ascii="Times New Roman" w:hAnsi="Times New Roman" w:eastAsia="宋体" w:cs="Times New Roman"/>
          <w:snapToGrid w:val="0"/>
          <w:color w:val="auto"/>
          <w:kern w:val="0"/>
          <w:sz w:val="24"/>
          <w:szCs w:val="24"/>
          <w:lang w:eastAsia="en-US"/>
        </w:rPr>
        <w:t>顺直、满足行车净空要求、安全跨越地形障碍，需通过设置桥墩支撑桥梁主体结构，实现路线的连续通行功能。根据现场调查及区域地形地貌勘察结果，项目周边无自然河流等地表径流分布，项目区水文形势常年无流水，项目区距离最近河流为恰克马克河，</w:t>
      </w:r>
      <w:r>
        <w:rPr>
          <w:rFonts w:hint="eastAsia" w:cs="Times New Roman"/>
          <w:snapToGrid w:val="0"/>
          <w:color w:val="auto"/>
          <w:kern w:val="0"/>
          <w:sz w:val="24"/>
          <w:szCs w:val="24"/>
          <w:lang w:val="en-US" w:eastAsia="zh-CN"/>
        </w:rPr>
        <w:t>距离约2.7</w:t>
      </w:r>
      <w:r>
        <w:rPr>
          <w:rFonts w:hint="default" w:ascii="Times New Roman" w:hAnsi="Times New Roman" w:eastAsia="宋体" w:cs="Times New Roman"/>
          <w:snapToGrid w:val="0"/>
          <w:color w:val="auto"/>
          <w:kern w:val="0"/>
          <w:sz w:val="24"/>
          <w:szCs w:val="24"/>
          <w:lang w:eastAsia="en-US"/>
        </w:rPr>
        <w:t>km。</w:t>
      </w:r>
    </w:p>
    <w:p w14:paraId="20373F1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default" w:ascii="Times New Roman" w:hAnsi="Times New Roman" w:eastAsia="宋体" w:cs="Times New Roman"/>
          <w:snapToGrid w:val="0"/>
          <w:color w:val="auto"/>
          <w:kern w:val="0"/>
          <w:sz w:val="24"/>
          <w:szCs w:val="24"/>
          <w:lang w:eastAsia="en-US"/>
        </w:rPr>
      </w:pPr>
      <w:r>
        <w:rPr>
          <w:rFonts w:hint="eastAsia" w:cs="Times New Roman"/>
          <w:snapToGrid w:val="0"/>
          <w:color w:val="auto"/>
          <w:kern w:val="0"/>
          <w:sz w:val="24"/>
          <w:szCs w:val="24"/>
          <w:lang w:val="en-US" w:eastAsia="zh-CN"/>
        </w:rPr>
        <w:t>项目路线不涉及</w:t>
      </w:r>
      <w:r>
        <w:rPr>
          <w:rFonts w:hint="default" w:ascii="Times New Roman" w:hAnsi="Times New Roman" w:eastAsia="宋体" w:cs="Times New Roman"/>
          <w:snapToGrid w:val="0"/>
          <w:color w:val="auto"/>
          <w:kern w:val="0"/>
          <w:sz w:val="24"/>
          <w:szCs w:val="24"/>
          <w:lang w:eastAsia="en-US"/>
        </w:rPr>
        <w:t>饮用水水源保护区、集中式饮用水水源</w:t>
      </w:r>
      <w:r>
        <w:rPr>
          <w:rFonts w:hint="eastAsia" w:cs="Times New Roman"/>
          <w:snapToGrid w:val="0"/>
          <w:color w:val="auto"/>
          <w:kern w:val="0"/>
          <w:sz w:val="24"/>
          <w:szCs w:val="24"/>
          <w:lang w:val="en-US" w:eastAsia="zh-CN"/>
        </w:rPr>
        <w:t>等水环境敏感路段，因此本项目无环境风险敏感路段</w:t>
      </w:r>
      <w:r>
        <w:rPr>
          <w:rFonts w:hint="default" w:ascii="Times New Roman" w:hAnsi="Times New Roman" w:eastAsia="宋体" w:cs="Times New Roman"/>
          <w:snapToGrid w:val="0"/>
          <w:color w:val="auto"/>
          <w:kern w:val="0"/>
          <w:sz w:val="24"/>
          <w:szCs w:val="24"/>
          <w:lang w:eastAsia="en-US"/>
        </w:rPr>
        <w:t>。</w:t>
      </w:r>
    </w:p>
    <w:p w14:paraId="042D1F7E">
      <w:pPr>
        <w:pStyle w:val="4"/>
        <w:bidi w:val="0"/>
        <w:rPr>
          <w:rFonts w:hint="default" w:ascii="Times New Roman" w:hAnsi="Times New Roman" w:eastAsia="黑体" w:cs="Times New Roman"/>
          <w:snapToGrid w:val="0"/>
          <w:color w:val="auto"/>
          <w:kern w:val="0"/>
          <w:szCs w:val="28"/>
          <w:lang w:eastAsia="en-US"/>
        </w:rPr>
      </w:pPr>
      <w:r>
        <w:rPr>
          <w:rFonts w:hint="default" w:ascii="Times New Roman" w:hAnsi="Times New Roman" w:cs="Times New Roman"/>
          <w:color w:val="auto"/>
          <w:lang w:val="en-US" w:eastAsia="zh-CN"/>
        </w:rPr>
        <w:t>5</w:t>
      </w:r>
      <w:r>
        <w:rPr>
          <w:rFonts w:hint="default" w:ascii="Times New Roman" w:hAnsi="Times New Roman" w:cs="Times New Roman"/>
          <w:color w:val="auto"/>
          <w:lang w:eastAsia="en-US"/>
        </w:rPr>
        <w:t>.6.</w:t>
      </w:r>
      <w:r>
        <w:rPr>
          <w:rFonts w:hint="eastAsia" w:cs="Times New Roman"/>
          <w:color w:val="auto"/>
          <w:lang w:val="en-US" w:eastAsia="zh-CN"/>
        </w:rPr>
        <w:t>2</w:t>
      </w:r>
      <w:r>
        <w:rPr>
          <w:rFonts w:hint="default" w:ascii="Times New Roman" w:hAnsi="Times New Roman" w:cs="Times New Roman"/>
          <w:color w:val="auto"/>
          <w:lang w:eastAsia="en-US"/>
        </w:rPr>
        <w:t xml:space="preserve"> 环境风险识别</w:t>
      </w:r>
    </w:p>
    <w:p w14:paraId="447D97E8">
      <w:pPr>
        <w:pStyle w:val="5"/>
        <w:bidi w:val="0"/>
        <w:rPr>
          <w:rFonts w:hint="default" w:ascii="Times New Roman" w:hAnsi="Times New Roman" w:eastAsia="宋体" w:cs="Times New Roman"/>
          <w:snapToGrid w:val="0"/>
          <w:color w:val="auto"/>
          <w:kern w:val="0"/>
          <w:szCs w:val="24"/>
          <w:lang w:eastAsia="en-US"/>
        </w:rPr>
      </w:pPr>
      <w:r>
        <w:rPr>
          <w:rFonts w:hint="default" w:ascii="Times New Roman" w:hAnsi="Times New Roman" w:cs="Times New Roman"/>
          <w:color w:val="auto"/>
          <w:lang w:eastAsia="en-US"/>
        </w:rPr>
        <w:fldChar w:fldCharType="begin"/>
      </w:r>
      <w:r>
        <w:rPr>
          <w:rFonts w:hint="default" w:ascii="Times New Roman" w:hAnsi="Times New Roman" w:cs="Times New Roman"/>
          <w:color w:val="auto"/>
          <w:lang w:eastAsia="en-US"/>
        </w:rPr>
        <w:instrText xml:space="preserve"> HYPERLINK "7.6.3.1" </w:instrText>
      </w:r>
      <w:r>
        <w:rPr>
          <w:rFonts w:hint="default" w:ascii="Times New Roman" w:hAnsi="Times New Roman" w:cs="Times New Roman"/>
          <w:color w:val="auto"/>
          <w:lang w:eastAsia="en-US"/>
        </w:rPr>
        <w:fldChar w:fldCharType="separate"/>
      </w:r>
      <w:r>
        <w:rPr>
          <w:rFonts w:hint="default" w:ascii="Times New Roman" w:hAnsi="Times New Roman" w:cs="Times New Roman"/>
          <w:color w:val="auto"/>
          <w:lang w:val="en-US" w:eastAsia="zh-CN"/>
        </w:rPr>
        <w:t>5</w:t>
      </w:r>
      <w:r>
        <w:rPr>
          <w:rFonts w:hint="default" w:ascii="Times New Roman" w:hAnsi="Times New Roman" w:cs="Times New Roman"/>
          <w:color w:val="auto"/>
          <w:lang w:eastAsia="en-US"/>
        </w:rPr>
        <w:t>.6.</w:t>
      </w:r>
      <w:r>
        <w:rPr>
          <w:rFonts w:hint="eastAsia" w:cs="Times New Roman"/>
          <w:color w:val="auto"/>
          <w:lang w:val="en-US" w:eastAsia="zh-CN"/>
        </w:rPr>
        <w:t>2</w:t>
      </w:r>
      <w:r>
        <w:rPr>
          <w:rFonts w:hint="default" w:ascii="Times New Roman" w:hAnsi="Times New Roman" w:cs="Times New Roman"/>
          <w:color w:val="auto"/>
          <w:lang w:eastAsia="en-US"/>
        </w:rPr>
        <w:t>.1</w:t>
      </w:r>
      <w:r>
        <w:rPr>
          <w:rFonts w:hint="default" w:ascii="Times New Roman" w:hAnsi="Times New Roman" w:cs="Times New Roman"/>
          <w:color w:val="auto"/>
          <w:lang w:eastAsia="en-US"/>
        </w:rPr>
        <w:fldChar w:fldCharType="end"/>
      </w:r>
      <w:r>
        <w:rPr>
          <w:rFonts w:hint="default" w:ascii="Times New Roman" w:hAnsi="Times New Roman" w:cs="Times New Roman"/>
          <w:color w:val="auto"/>
          <w:lang w:eastAsia="en-US"/>
        </w:rPr>
        <w:t xml:space="preserve"> 施工期环境风险识别</w:t>
      </w:r>
    </w:p>
    <w:p w14:paraId="1B76551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eastAsia="宋体" w:cs="Times New Roman"/>
          <w:snapToGrid w:val="0"/>
          <w:color w:val="auto"/>
          <w:kern w:val="0"/>
          <w:sz w:val="24"/>
          <w:szCs w:val="24"/>
          <w:lang w:eastAsia="en-US"/>
        </w:rPr>
        <w:t>公路施工过程中风险事故主要造成的影响是对沿线水体的影响，化学危险品的泄漏、落水将造成水体严重污染，危害农业灌溉，危险品散落陆域，也会对土地正常使用功能带来影响，破坏陆域生态环境。</w:t>
      </w:r>
    </w:p>
    <w:p w14:paraId="0978854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eastAsia="宋体" w:cs="Times New Roman"/>
          <w:snapToGrid w:val="0"/>
          <w:color w:val="auto"/>
          <w:kern w:val="0"/>
          <w:sz w:val="24"/>
          <w:szCs w:val="24"/>
          <w:lang w:eastAsia="en-US"/>
        </w:rPr>
        <w:t>按《危险化学品重大危险源辨识》《危险化学品目录（20</w:t>
      </w:r>
      <w:r>
        <w:rPr>
          <w:rFonts w:hint="eastAsia" w:cs="Times New Roman"/>
          <w:snapToGrid w:val="0"/>
          <w:color w:val="auto"/>
          <w:kern w:val="0"/>
          <w:sz w:val="24"/>
          <w:szCs w:val="24"/>
          <w:lang w:val="en-US" w:eastAsia="zh-CN"/>
        </w:rPr>
        <w:t>22调整</w:t>
      </w:r>
      <w:r>
        <w:rPr>
          <w:rFonts w:hint="default" w:ascii="Times New Roman" w:hAnsi="Times New Roman" w:eastAsia="宋体" w:cs="Times New Roman"/>
          <w:snapToGrid w:val="0"/>
          <w:color w:val="auto"/>
          <w:kern w:val="0"/>
          <w:sz w:val="24"/>
          <w:szCs w:val="24"/>
          <w:lang w:eastAsia="en-US"/>
        </w:rPr>
        <w:t>版）》中的相关规定，危险货物公路运输除货物分类及分项外，还包括包装和标志、车辆和设备、托运和单证、承运和交接、运输和装卸、保管和消防、劳动防护和医疗急救、监督和管理等原则。由于车辆本身动力源来自石油类的燃烧，尤其是大型车辆使用燃油较多，所以，公路施工涉及最为普遍</w:t>
      </w:r>
      <w:r>
        <w:rPr>
          <w:rFonts w:hint="eastAsia" w:cs="Times New Roman"/>
          <w:snapToGrid w:val="0"/>
          <w:color w:val="auto"/>
          <w:kern w:val="0"/>
          <w:sz w:val="24"/>
          <w:szCs w:val="24"/>
          <w:lang w:eastAsia="zh-CN"/>
        </w:rPr>
        <w:t>危险</w:t>
      </w:r>
      <w:r>
        <w:rPr>
          <w:rFonts w:hint="default" w:ascii="Times New Roman" w:hAnsi="Times New Roman" w:eastAsia="宋体" w:cs="Times New Roman"/>
          <w:snapToGrid w:val="0"/>
          <w:color w:val="auto"/>
          <w:kern w:val="0"/>
          <w:sz w:val="24"/>
          <w:szCs w:val="24"/>
          <w:lang w:eastAsia="en-US"/>
        </w:rPr>
        <w:t>物质的是燃油及化学品。</w:t>
      </w:r>
    </w:p>
    <w:p w14:paraId="7C1C980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cs="Times New Roman"/>
          <w:snapToGrid w:val="0"/>
          <w:color w:val="auto"/>
          <w:kern w:val="0"/>
          <w:sz w:val="24"/>
          <w:szCs w:val="24"/>
          <w:lang w:val="en-US" w:eastAsia="zh-CN"/>
        </w:rPr>
      </w:pPr>
      <w:r>
        <w:rPr>
          <w:rFonts w:hint="eastAsia" w:cs="Times New Roman"/>
          <w:snapToGrid w:val="0"/>
          <w:color w:val="auto"/>
          <w:kern w:val="0"/>
          <w:sz w:val="24"/>
          <w:szCs w:val="24"/>
          <w:lang w:val="en-US" w:eastAsia="zh-CN"/>
        </w:rPr>
        <w:t>本项目不涉及环境风险敏感路段，施工期间主要环境风险来源于运输危险货物、油料等车辆发生交通事故，可能导致危险品或油料泄漏，进而污染沿线土壤，影响土地正常使用功能，并对陆域生态环境造成破坏。</w:t>
      </w:r>
    </w:p>
    <w:p w14:paraId="47694C9F">
      <w:pPr>
        <w:pStyle w:val="5"/>
        <w:bidi w:val="0"/>
        <w:rPr>
          <w:rFonts w:hint="default" w:ascii="Times New Roman" w:hAnsi="Times New Roman" w:eastAsia="宋体" w:cs="Times New Roman"/>
          <w:snapToGrid w:val="0"/>
          <w:color w:val="auto"/>
          <w:kern w:val="0"/>
          <w:szCs w:val="24"/>
          <w:lang w:eastAsia="en-US"/>
        </w:rPr>
      </w:pPr>
      <w:r>
        <w:rPr>
          <w:rFonts w:hint="default" w:ascii="Times New Roman" w:hAnsi="Times New Roman" w:cs="Times New Roman"/>
          <w:color w:val="auto"/>
          <w:lang w:eastAsia="en-US"/>
        </w:rPr>
        <w:fldChar w:fldCharType="begin"/>
      </w:r>
      <w:r>
        <w:rPr>
          <w:rFonts w:hint="default" w:ascii="Times New Roman" w:hAnsi="Times New Roman" w:cs="Times New Roman"/>
          <w:color w:val="auto"/>
          <w:lang w:eastAsia="en-US"/>
        </w:rPr>
        <w:instrText xml:space="preserve"> HYPERLINK "7.6.3.2" </w:instrText>
      </w:r>
      <w:r>
        <w:rPr>
          <w:rFonts w:hint="default" w:ascii="Times New Roman" w:hAnsi="Times New Roman" w:cs="Times New Roman"/>
          <w:color w:val="auto"/>
          <w:lang w:eastAsia="en-US"/>
        </w:rPr>
        <w:fldChar w:fldCharType="separate"/>
      </w:r>
      <w:r>
        <w:rPr>
          <w:rFonts w:hint="default" w:ascii="Times New Roman" w:hAnsi="Times New Roman" w:cs="Times New Roman"/>
          <w:color w:val="auto"/>
          <w:lang w:val="en-US" w:eastAsia="zh-CN"/>
        </w:rPr>
        <w:t>5</w:t>
      </w:r>
      <w:r>
        <w:rPr>
          <w:rFonts w:hint="default" w:ascii="Times New Roman" w:hAnsi="Times New Roman" w:cs="Times New Roman"/>
          <w:color w:val="auto"/>
          <w:lang w:eastAsia="en-US"/>
        </w:rPr>
        <w:t>.6.</w:t>
      </w:r>
      <w:r>
        <w:rPr>
          <w:rFonts w:hint="eastAsia" w:cs="Times New Roman"/>
          <w:color w:val="auto"/>
          <w:lang w:val="en-US" w:eastAsia="zh-CN"/>
        </w:rPr>
        <w:t>2</w:t>
      </w:r>
      <w:r>
        <w:rPr>
          <w:rFonts w:hint="default" w:ascii="Times New Roman" w:hAnsi="Times New Roman" w:cs="Times New Roman"/>
          <w:color w:val="auto"/>
          <w:lang w:eastAsia="en-US"/>
        </w:rPr>
        <w:t>.2</w:t>
      </w:r>
      <w:r>
        <w:rPr>
          <w:rFonts w:hint="default" w:ascii="Times New Roman" w:hAnsi="Times New Roman" w:cs="Times New Roman"/>
          <w:color w:val="auto"/>
          <w:lang w:eastAsia="en-US"/>
        </w:rPr>
        <w:fldChar w:fldCharType="end"/>
      </w:r>
      <w:r>
        <w:rPr>
          <w:rFonts w:hint="default" w:ascii="Times New Roman" w:hAnsi="Times New Roman" w:cs="Times New Roman"/>
          <w:color w:val="auto"/>
          <w:lang w:eastAsia="en-US"/>
        </w:rPr>
        <w:t xml:space="preserve"> 营运期环境风险识别</w:t>
      </w:r>
    </w:p>
    <w:p w14:paraId="5474218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8" w:firstLineChars="200"/>
        <w:jc w:val="left"/>
        <w:textAlignment w:val="baseline"/>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eastAsia="宋体" w:cs="Times New Roman"/>
          <w:snapToGrid w:val="0"/>
          <w:color w:val="auto"/>
          <w:spacing w:val="2"/>
          <w:kern w:val="0"/>
          <w:sz w:val="24"/>
          <w:szCs w:val="24"/>
          <w:lang w:eastAsia="en-US"/>
        </w:rPr>
        <w:t>本项目为道路工程项目，主要危险物质为途经该路危险化学品运输车</w:t>
      </w:r>
      <w:r>
        <w:rPr>
          <w:rFonts w:hint="default" w:ascii="Times New Roman" w:hAnsi="Times New Roman" w:eastAsia="宋体" w:cs="Times New Roman"/>
          <w:snapToGrid w:val="0"/>
          <w:color w:val="auto"/>
          <w:spacing w:val="1"/>
          <w:kern w:val="0"/>
          <w:sz w:val="24"/>
          <w:szCs w:val="24"/>
          <w:lang w:eastAsia="en-US"/>
        </w:rPr>
        <w:t>内化学品</w:t>
      </w:r>
      <w:r>
        <w:rPr>
          <w:rFonts w:hint="default" w:ascii="Times New Roman" w:hAnsi="Times New Roman" w:eastAsia="宋体" w:cs="Times New Roman"/>
          <w:snapToGrid w:val="0"/>
          <w:color w:val="auto"/>
          <w:spacing w:val="1"/>
          <w:kern w:val="0"/>
          <w:sz w:val="24"/>
          <w:szCs w:val="24"/>
          <w:lang w:val="en-US" w:eastAsia="zh-CN"/>
        </w:rPr>
        <w:t>泄漏</w:t>
      </w:r>
      <w:r>
        <w:rPr>
          <w:rFonts w:hint="default" w:ascii="Times New Roman" w:hAnsi="Times New Roman" w:eastAsia="宋体" w:cs="Times New Roman"/>
          <w:snapToGrid w:val="0"/>
          <w:color w:val="auto"/>
          <w:spacing w:val="2"/>
          <w:kern w:val="0"/>
          <w:sz w:val="24"/>
          <w:szCs w:val="24"/>
          <w:lang w:eastAsia="en-US"/>
        </w:rPr>
        <w:t>，遇下雨天气，若不能及时收集，则可能由路面径流</w:t>
      </w:r>
      <w:r>
        <w:rPr>
          <w:rFonts w:hint="default" w:ascii="Times New Roman" w:hAnsi="Times New Roman" w:eastAsia="宋体" w:cs="Times New Roman"/>
          <w:snapToGrid w:val="0"/>
          <w:color w:val="auto"/>
          <w:spacing w:val="1"/>
          <w:kern w:val="0"/>
          <w:sz w:val="24"/>
          <w:szCs w:val="24"/>
          <w:lang w:eastAsia="en-US"/>
        </w:rPr>
        <w:t>进入道</w:t>
      </w:r>
      <w:r>
        <w:rPr>
          <w:rFonts w:hint="default" w:ascii="Times New Roman" w:hAnsi="Times New Roman" w:eastAsia="宋体" w:cs="Times New Roman"/>
          <w:snapToGrid w:val="0"/>
          <w:color w:val="auto"/>
          <w:spacing w:val="2"/>
          <w:kern w:val="0"/>
          <w:sz w:val="24"/>
          <w:szCs w:val="24"/>
          <w:lang w:eastAsia="en-US"/>
        </w:rPr>
        <w:t>路周边土壤，进行下渗进入地下水，从而影响地表水、土壤及</w:t>
      </w:r>
      <w:r>
        <w:rPr>
          <w:rFonts w:hint="default" w:ascii="Times New Roman" w:hAnsi="Times New Roman" w:eastAsia="宋体" w:cs="Times New Roman"/>
          <w:snapToGrid w:val="0"/>
          <w:color w:val="auto"/>
          <w:spacing w:val="1"/>
          <w:kern w:val="0"/>
          <w:sz w:val="24"/>
          <w:szCs w:val="24"/>
          <w:lang w:eastAsia="en-US"/>
        </w:rPr>
        <w:t>地下水</w:t>
      </w:r>
      <w:r>
        <w:rPr>
          <w:rFonts w:hint="default" w:ascii="Times New Roman" w:hAnsi="Times New Roman" w:eastAsia="宋体" w:cs="Times New Roman"/>
          <w:snapToGrid w:val="0"/>
          <w:color w:val="auto"/>
          <w:spacing w:val="-3"/>
          <w:kern w:val="0"/>
          <w:sz w:val="24"/>
          <w:szCs w:val="24"/>
          <w:lang w:eastAsia="en-US"/>
        </w:rPr>
        <w:t>。</w:t>
      </w:r>
    </w:p>
    <w:p w14:paraId="766B23B4">
      <w:pPr>
        <w:pStyle w:val="4"/>
        <w:bidi w:val="0"/>
        <w:rPr>
          <w:rFonts w:hint="default" w:ascii="Times New Roman" w:hAnsi="Times New Roman" w:cs="Times New Roman"/>
          <w:color w:val="auto"/>
          <w:lang w:eastAsia="en-US"/>
        </w:rPr>
      </w:pPr>
      <w:r>
        <w:rPr>
          <w:rFonts w:hint="default" w:ascii="Times New Roman" w:hAnsi="Times New Roman" w:cs="Times New Roman"/>
          <w:color w:val="auto"/>
          <w:lang w:val="en-US" w:eastAsia="zh-CN"/>
        </w:rPr>
        <w:t>5</w:t>
      </w:r>
      <w:r>
        <w:rPr>
          <w:rFonts w:hint="default" w:ascii="Times New Roman" w:hAnsi="Times New Roman" w:cs="Times New Roman"/>
          <w:color w:val="auto"/>
          <w:lang w:eastAsia="en-US"/>
        </w:rPr>
        <w:t>.6.</w:t>
      </w:r>
      <w:r>
        <w:rPr>
          <w:rFonts w:hint="eastAsia" w:cs="Times New Roman"/>
          <w:color w:val="auto"/>
          <w:lang w:val="en-US" w:eastAsia="zh-CN"/>
        </w:rPr>
        <w:t>3</w:t>
      </w:r>
      <w:r>
        <w:rPr>
          <w:rFonts w:hint="default" w:ascii="Times New Roman" w:hAnsi="Times New Roman" w:cs="Times New Roman"/>
          <w:color w:val="auto"/>
          <w:lang w:eastAsia="en-US"/>
        </w:rPr>
        <w:t xml:space="preserve"> 环境风险分析</w:t>
      </w:r>
    </w:p>
    <w:p w14:paraId="7CB8F46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8" w:firstLineChars="200"/>
        <w:jc w:val="both"/>
        <w:textAlignment w:val="baseline"/>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eastAsia="宋体" w:cs="Times New Roman"/>
          <w:snapToGrid w:val="0"/>
          <w:color w:val="auto"/>
          <w:spacing w:val="2"/>
          <w:kern w:val="0"/>
          <w:sz w:val="24"/>
          <w:szCs w:val="24"/>
          <w:lang w:eastAsia="en-US"/>
        </w:rPr>
        <w:t>就危险品运输车辆的交通事故而言，运送易燃易爆品的交通事故，</w:t>
      </w:r>
      <w:r>
        <w:rPr>
          <w:rFonts w:hint="default" w:ascii="Times New Roman" w:hAnsi="Times New Roman" w:eastAsia="宋体" w:cs="Times New Roman"/>
          <w:snapToGrid w:val="0"/>
          <w:color w:val="auto"/>
          <w:spacing w:val="1"/>
          <w:kern w:val="0"/>
          <w:sz w:val="24"/>
          <w:szCs w:val="24"/>
          <w:lang w:eastAsia="en-US"/>
        </w:rPr>
        <w:t>一是爆炸导致</w:t>
      </w:r>
      <w:r>
        <w:rPr>
          <w:rFonts w:hint="default" w:ascii="Times New Roman" w:hAnsi="Times New Roman" w:eastAsia="宋体" w:cs="Times New Roman"/>
          <w:snapToGrid w:val="0"/>
          <w:color w:val="auto"/>
          <w:spacing w:val="-3"/>
          <w:kern w:val="0"/>
          <w:sz w:val="24"/>
          <w:szCs w:val="24"/>
          <w:lang w:eastAsia="en-US"/>
        </w:rPr>
        <w:t>有毒气体扩散或燃烧产生有害气体污染环境；二是运输汽车撞车，损坏桥梁等构筑物，</w:t>
      </w:r>
      <w:r>
        <w:rPr>
          <w:rFonts w:hint="default" w:ascii="Times New Roman" w:hAnsi="Times New Roman" w:eastAsia="宋体" w:cs="Times New Roman"/>
          <w:snapToGrid w:val="0"/>
          <w:color w:val="auto"/>
          <w:spacing w:val="2"/>
          <w:kern w:val="0"/>
          <w:sz w:val="24"/>
          <w:szCs w:val="24"/>
          <w:lang w:eastAsia="en-US"/>
        </w:rPr>
        <w:t>致使出现一时的交通堵塞；最大的危害则是当危险品运输车辆在沿</w:t>
      </w:r>
      <w:r>
        <w:rPr>
          <w:rFonts w:hint="default" w:ascii="Times New Roman" w:hAnsi="Times New Roman" w:eastAsia="宋体" w:cs="Times New Roman"/>
          <w:snapToGrid w:val="0"/>
          <w:color w:val="auto"/>
          <w:spacing w:val="1"/>
          <w:kern w:val="0"/>
          <w:sz w:val="24"/>
          <w:szCs w:val="24"/>
          <w:lang w:eastAsia="en-US"/>
        </w:rPr>
        <w:t>线涉及居民区路段</w:t>
      </w:r>
      <w:r>
        <w:rPr>
          <w:rFonts w:hint="default" w:ascii="Times New Roman" w:hAnsi="Times New Roman" w:eastAsia="宋体" w:cs="Times New Roman"/>
          <w:snapToGrid w:val="0"/>
          <w:color w:val="auto"/>
          <w:spacing w:val="2"/>
          <w:kern w:val="0"/>
          <w:sz w:val="24"/>
          <w:szCs w:val="24"/>
          <w:lang w:eastAsia="en-US"/>
        </w:rPr>
        <w:t>上出现翻车，致使危险品泄漏，从而对周边居民造成严重影响。虽</w:t>
      </w:r>
      <w:r>
        <w:rPr>
          <w:rFonts w:hint="default" w:ascii="Times New Roman" w:hAnsi="Times New Roman" w:eastAsia="宋体" w:cs="Times New Roman"/>
          <w:snapToGrid w:val="0"/>
          <w:color w:val="auto"/>
          <w:spacing w:val="1"/>
          <w:kern w:val="0"/>
          <w:sz w:val="24"/>
          <w:szCs w:val="24"/>
          <w:lang w:eastAsia="en-US"/>
        </w:rPr>
        <w:t>然由于上述危险品</w:t>
      </w:r>
      <w:r>
        <w:rPr>
          <w:rFonts w:hint="default" w:ascii="Times New Roman" w:hAnsi="Times New Roman" w:eastAsia="宋体" w:cs="Times New Roman"/>
          <w:snapToGrid w:val="0"/>
          <w:color w:val="auto"/>
          <w:spacing w:val="2"/>
          <w:kern w:val="0"/>
          <w:sz w:val="24"/>
          <w:szCs w:val="24"/>
          <w:lang w:eastAsia="en-US"/>
        </w:rPr>
        <w:t>均系密封桶装或罐车运输，出现泄漏的可能性不大，但是一旦这</w:t>
      </w:r>
      <w:r>
        <w:rPr>
          <w:rFonts w:hint="default" w:ascii="Times New Roman" w:hAnsi="Times New Roman" w:eastAsia="宋体" w:cs="Times New Roman"/>
          <w:snapToGrid w:val="0"/>
          <w:color w:val="auto"/>
          <w:spacing w:val="1"/>
          <w:kern w:val="0"/>
          <w:sz w:val="24"/>
          <w:szCs w:val="24"/>
          <w:lang w:eastAsia="en-US"/>
        </w:rPr>
        <w:t>类事故发生，危害</w:t>
      </w:r>
      <w:r>
        <w:rPr>
          <w:rFonts w:hint="default" w:ascii="Times New Roman" w:hAnsi="Times New Roman" w:eastAsia="宋体" w:cs="Times New Roman"/>
          <w:snapToGrid w:val="0"/>
          <w:color w:val="auto"/>
          <w:spacing w:val="-3"/>
          <w:kern w:val="0"/>
          <w:sz w:val="24"/>
          <w:szCs w:val="24"/>
          <w:lang w:eastAsia="en-US"/>
        </w:rPr>
        <w:t>性很大，必须引起高度重视，公路管理部门必须做好应急计划和措施，通过加强管理，</w:t>
      </w:r>
      <w:r>
        <w:rPr>
          <w:rFonts w:hint="default" w:ascii="Times New Roman" w:hAnsi="Times New Roman" w:eastAsia="宋体" w:cs="Times New Roman"/>
          <w:snapToGrid w:val="0"/>
          <w:color w:val="auto"/>
          <w:spacing w:val="-1"/>
          <w:kern w:val="0"/>
          <w:sz w:val="24"/>
          <w:szCs w:val="24"/>
          <w:lang w:eastAsia="en-US"/>
        </w:rPr>
        <w:t>使污染影响降到最低。</w:t>
      </w:r>
    </w:p>
    <w:p w14:paraId="5BDC185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2" w:firstLineChars="200"/>
        <w:jc w:val="both"/>
        <w:textAlignment w:val="baseline"/>
        <w:rPr>
          <w:rFonts w:hint="default" w:ascii="Times New Roman" w:hAnsi="Times New Roman" w:eastAsia="宋体" w:cs="Times New Roman"/>
          <w:snapToGrid w:val="0"/>
          <w:color w:val="auto"/>
          <w:kern w:val="0"/>
          <w:sz w:val="24"/>
          <w:szCs w:val="24"/>
          <w:lang w:eastAsia="en-US"/>
        </w:rPr>
      </w:pPr>
      <w:r>
        <w:rPr>
          <w:rFonts w:hint="eastAsia" w:cs="Times New Roman"/>
          <w:snapToGrid w:val="0"/>
          <w:color w:val="auto"/>
          <w:spacing w:val="3"/>
          <w:kern w:val="0"/>
          <w:sz w:val="24"/>
          <w:szCs w:val="24"/>
          <w:lang w:val="en-US" w:eastAsia="zh-CN"/>
        </w:rPr>
        <w:t>本项目全线共设大桥275米/2座，其中位于K7+006.5处设计一座大桥（兰干山大桥）；K10+861.7设置一座大桥（G3012跨线桥），根据现场调查及区域地形地貌勘察结果，项目周边无自然河流等地表径流分布，项目区水文形势常年无流水</w:t>
      </w:r>
      <w:r>
        <w:rPr>
          <w:rFonts w:hint="default" w:ascii="Times New Roman" w:hAnsi="Times New Roman" w:eastAsia="宋体" w:cs="Times New Roman"/>
          <w:snapToGrid w:val="0"/>
          <w:color w:val="auto"/>
          <w:spacing w:val="2"/>
          <w:kern w:val="0"/>
          <w:sz w:val="24"/>
          <w:szCs w:val="24"/>
          <w:lang w:eastAsia="en-US"/>
        </w:rPr>
        <w:t>，</w:t>
      </w:r>
      <w:r>
        <w:rPr>
          <w:rFonts w:hint="eastAsia" w:ascii="Times New Roman" w:hAnsi="Times New Roman" w:eastAsia="宋体" w:cs="Times New Roman"/>
          <w:snapToGrid w:val="0"/>
          <w:color w:val="auto"/>
          <w:spacing w:val="2"/>
          <w:kern w:val="0"/>
          <w:sz w:val="24"/>
          <w:szCs w:val="24"/>
          <w:lang w:val="en-US" w:eastAsia="zh-CN" w:bidi="ar-SA"/>
        </w:rPr>
        <w:t>仅在雨季时，周边低洼区域可能存在短暂积水现象。因此，从水文条件方面分析，危险化学品运输车辆若在此发生事故导致化学品泄漏，直接流入自然水体的风险相对较低。然而，这并不意味着可以忽视潜在的环境风险。因为即便没有自然水体直接接纳泄漏物，泄漏的化学品仍可能通过土壤渗透、地表径流（在雨季时）等方式对周边土壤和地下水环境造成污染。特别是部分有毒有害且难以降解的化学品，其污染影响可能是长期且难以恢复的。所以，仍需采取一系列有效的风险防范措施，包括但不限于加强运输车辆的安全管理、</w:t>
      </w:r>
      <w:r>
        <w:rPr>
          <w:rFonts w:hint="eastAsia" w:cs="Times New Roman"/>
          <w:snapToGrid w:val="0"/>
          <w:color w:val="auto"/>
          <w:spacing w:val="2"/>
          <w:kern w:val="0"/>
          <w:sz w:val="24"/>
          <w:szCs w:val="24"/>
          <w:lang w:val="en-US" w:eastAsia="zh-CN" w:bidi="ar-SA"/>
        </w:rPr>
        <w:t>增强</w:t>
      </w:r>
      <w:r>
        <w:rPr>
          <w:rFonts w:hint="eastAsia" w:ascii="Times New Roman" w:hAnsi="Times New Roman" w:eastAsia="宋体" w:cs="Times New Roman"/>
          <w:snapToGrid w:val="0"/>
          <w:color w:val="auto"/>
          <w:spacing w:val="2"/>
          <w:kern w:val="0"/>
          <w:sz w:val="24"/>
          <w:szCs w:val="24"/>
          <w:lang w:val="en-US" w:eastAsia="zh-CN" w:bidi="ar-SA"/>
        </w:rPr>
        <w:t>驾驶员的安全意识和应急处理能力、在关键路段设置明显的安全警示标志和应急处理设施</w:t>
      </w:r>
      <w:r>
        <w:rPr>
          <w:rFonts w:hint="eastAsia" w:cs="Times New Roman"/>
          <w:snapToGrid w:val="0"/>
          <w:color w:val="auto"/>
          <w:spacing w:val="2"/>
          <w:kern w:val="0"/>
          <w:sz w:val="24"/>
          <w:szCs w:val="24"/>
          <w:lang w:val="en-US" w:eastAsia="zh-CN" w:bidi="ar-SA"/>
        </w:rPr>
        <w:t>，以及</w:t>
      </w:r>
      <w:r>
        <w:rPr>
          <w:rFonts w:hint="eastAsia" w:ascii="Times New Roman" w:hAnsi="Times New Roman" w:eastAsia="宋体" w:cs="Times New Roman"/>
          <w:snapToGrid w:val="0"/>
          <w:color w:val="auto"/>
          <w:spacing w:val="2"/>
          <w:kern w:val="0"/>
          <w:sz w:val="24"/>
          <w:szCs w:val="24"/>
          <w:lang w:val="en-US" w:eastAsia="zh-CN" w:bidi="ar-SA"/>
        </w:rPr>
        <w:t>制定完善的应急预案并定期组织演练等。通过这些措施的实施，可以最大限度地降低危险化学品运输过程中发生泄漏事故的风险，保障周边环境和人民群众的生命财产安全。</w:t>
      </w:r>
    </w:p>
    <w:p w14:paraId="015E915B">
      <w:pPr>
        <w:pStyle w:val="4"/>
        <w:bidi w:val="0"/>
        <w:rPr>
          <w:rFonts w:hint="default" w:ascii="Times New Roman" w:hAnsi="Times New Roman" w:eastAsia="黑体" w:cs="Times New Roman"/>
          <w:snapToGrid w:val="0"/>
          <w:color w:val="auto"/>
          <w:kern w:val="0"/>
          <w:szCs w:val="28"/>
          <w:lang w:eastAsia="en-US"/>
        </w:rPr>
      </w:pPr>
      <w:r>
        <w:rPr>
          <w:rFonts w:hint="default" w:ascii="Times New Roman" w:hAnsi="Times New Roman" w:cs="Times New Roman"/>
          <w:color w:val="auto"/>
          <w:lang w:val="en-US" w:eastAsia="zh-CN"/>
        </w:rPr>
        <w:t>5</w:t>
      </w:r>
      <w:r>
        <w:rPr>
          <w:rFonts w:hint="default" w:ascii="Times New Roman" w:hAnsi="Times New Roman" w:cs="Times New Roman"/>
          <w:color w:val="auto"/>
          <w:lang w:eastAsia="en-US"/>
        </w:rPr>
        <w:t>.6.</w:t>
      </w:r>
      <w:r>
        <w:rPr>
          <w:rFonts w:hint="eastAsia" w:cs="Times New Roman"/>
          <w:color w:val="auto"/>
          <w:lang w:val="en-US" w:eastAsia="zh-CN"/>
        </w:rPr>
        <w:t>4</w:t>
      </w:r>
      <w:r>
        <w:rPr>
          <w:rFonts w:hint="default" w:ascii="Times New Roman" w:hAnsi="Times New Roman" w:cs="Times New Roman"/>
          <w:color w:val="auto"/>
          <w:lang w:eastAsia="en-US"/>
        </w:rPr>
        <w:t xml:space="preserve"> 环境风险防范措施</w:t>
      </w:r>
    </w:p>
    <w:p w14:paraId="30A90D93">
      <w:pPr>
        <w:bidi w:val="0"/>
        <w:rPr>
          <w:rFonts w:hint="default" w:ascii="Times New Roman" w:hAnsi="Times New Roman" w:cs="Times New Roman"/>
          <w:color w:val="auto"/>
          <w:lang w:val="en-US" w:eastAsia="zh-CN"/>
        </w:rPr>
      </w:pPr>
      <w:r>
        <w:rPr>
          <w:rFonts w:hint="eastAsia" w:cs="Times New Roman"/>
          <w:color w:val="auto"/>
          <w:lang w:val="en-US" w:eastAsia="zh-CN"/>
        </w:rPr>
        <w:t>本项目不涉及环境风险敏感路段，运营期环境风险防范措施主要为危险化学品运输车辆交通事故预防措施。</w:t>
      </w:r>
    </w:p>
    <w:p w14:paraId="466770F0">
      <w:pPr>
        <w:bidi w:val="0"/>
        <w:rPr>
          <w:rFonts w:hint="default" w:ascii="Times New Roman" w:hAnsi="Times New Roman" w:cs="Times New Roman"/>
          <w:color w:val="auto"/>
          <w:lang w:eastAsia="en-US"/>
        </w:rPr>
      </w:pPr>
      <w:r>
        <w:rPr>
          <w:rFonts w:hint="default" w:ascii="Times New Roman" w:hAnsi="Times New Roman" w:cs="Times New Roman"/>
          <w:color w:val="auto"/>
          <w:lang w:val="en-US" w:eastAsia="zh-CN"/>
        </w:rPr>
        <w:t>（1）</w:t>
      </w:r>
      <w:r>
        <w:rPr>
          <w:rFonts w:hint="default" w:ascii="Times New Roman" w:hAnsi="Times New Roman" w:cs="Times New Roman"/>
          <w:color w:val="auto"/>
          <w:lang w:eastAsia="en-US"/>
        </w:rPr>
        <w:t>管理措施</w:t>
      </w:r>
    </w:p>
    <w:p w14:paraId="17C89BE4">
      <w:pPr>
        <w:keepNext w:val="0"/>
        <w:keepLines w:val="0"/>
        <w:pageBreakBefore w:val="0"/>
        <w:wordWrap/>
        <w:overflowPunct/>
        <w:topLinePunct w:val="0"/>
        <w:bidi w:val="0"/>
        <w:adjustRightInd w:val="0"/>
        <w:snapToGrid w:val="0"/>
        <w:ind w:firstLine="480"/>
        <w:rPr>
          <w:rFonts w:hint="default" w:ascii="Times New Roman" w:hAnsi="Times New Roman" w:eastAsia="宋体" w:cs="Times New Roman"/>
          <w:bCs/>
          <w:color w:val="auto"/>
          <w:szCs w:val="32"/>
          <w:lang w:eastAsia="en-US"/>
        </w:rPr>
      </w:pPr>
      <w:r>
        <w:rPr>
          <w:rFonts w:hint="default" w:ascii="Times New Roman" w:hAnsi="Times New Roman" w:eastAsia="宋体" w:cs="Times New Roman"/>
          <w:bCs/>
          <w:color w:val="auto"/>
          <w:szCs w:val="32"/>
          <w:lang w:eastAsia="en-US"/>
        </w:rPr>
        <w:t>预防危险品运输风险事故最主要和有力的措施是管理方面措施，即严格执行国家和行业部门颁布的危险货物运输相关法规。结合本项目实际情况，具体措施如下：</w:t>
      </w:r>
    </w:p>
    <w:p w14:paraId="5CDFBCA3">
      <w:pPr>
        <w:keepNext w:val="0"/>
        <w:keepLines w:val="0"/>
        <w:pageBreakBefore w:val="0"/>
        <w:wordWrap/>
        <w:overflowPunct/>
        <w:topLinePunct w:val="0"/>
        <w:bidi w:val="0"/>
        <w:adjustRightInd w:val="0"/>
        <w:snapToGrid w:val="0"/>
        <w:ind w:firstLine="480"/>
        <w:rPr>
          <w:rFonts w:hint="default" w:ascii="Times New Roman" w:hAnsi="Times New Roman" w:eastAsia="宋体" w:cs="Times New Roman"/>
          <w:bCs/>
          <w:color w:val="auto"/>
          <w:szCs w:val="32"/>
          <w:lang w:val="en-US" w:eastAsia="en-US"/>
        </w:rPr>
      </w:pPr>
      <w:r>
        <w:rPr>
          <w:rFonts w:hint="default" w:ascii="Times New Roman" w:hAnsi="Times New Roman" w:eastAsia="宋体" w:cs="Times New Roman"/>
          <w:bCs/>
          <w:color w:val="auto"/>
          <w:szCs w:val="32"/>
          <w:lang w:eastAsia="en-US"/>
        </w:rPr>
        <w:t>1）强化有关危险品运输法规的教育和培训</w:t>
      </w:r>
    </w:p>
    <w:p w14:paraId="10B5AE6B">
      <w:pPr>
        <w:keepNext w:val="0"/>
        <w:keepLines w:val="0"/>
        <w:pageBreakBefore w:val="0"/>
        <w:wordWrap/>
        <w:overflowPunct/>
        <w:topLinePunct w:val="0"/>
        <w:bidi w:val="0"/>
        <w:adjustRightInd w:val="0"/>
        <w:snapToGrid w:val="0"/>
        <w:ind w:firstLine="480"/>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eastAsia="宋体" w:cs="Times New Roman"/>
          <w:bCs/>
          <w:color w:val="auto"/>
          <w:szCs w:val="32"/>
          <w:lang w:eastAsia="en-US"/>
        </w:rPr>
        <w:t>公路管理部门和从事危险品运输的单位、驾驶员，应严格遵守危险品运输安全技术规定和操作规程，学习和掌握国家有关部门颁布实施的相关法规。相关法规主要有：《危险化学品安全管理条例》《道路危险货物运输管理规定》</w:t>
      </w:r>
      <w:r>
        <w:rPr>
          <w:rFonts w:hint="default" w:ascii="Times New Roman" w:hAnsi="Times New Roman" w:eastAsia="宋体" w:cs="Times New Roman"/>
          <w:bCs/>
          <w:color w:val="auto"/>
          <w:szCs w:val="32"/>
          <w:highlight w:val="none"/>
          <w:lang w:eastAsia="en-US"/>
        </w:rPr>
        <w:t>《民用爆炸物品安全管理条例》《放射性同位素与射线装置安全和防护条例》</w:t>
      </w:r>
      <w:r>
        <w:rPr>
          <w:rFonts w:hint="default" w:ascii="Times New Roman" w:hAnsi="Times New Roman" w:eastAsia="宋体" w:cs="Times New Roman"/>
          <w:bCs/>
          <w:color w:val="auto"/>
          <w:szCs w:val="32"/>
          <w:lang w:val="en-US" w:eastAsia="zh-CN"/>
        </w:rPr>
        <w:t>以及</w:t>
      </w:r>
      <w:r>
        <w:rPr>
          <w:rFonts w:hint="default" w:ascii="Times New Roman" w:hAnsi="Times New Roman" w:eastAsia="宋体" w:cs="Times New Roman"/>
          <w:bCs/>
          <w:color w:val="auto"/>
          <w:szCs w:val="32"/>
          <w:lang w:eastAsia="en-US"/>
        </w:rPr>
        <w:t>新疆维吾尔自治区政府发布的有关公路运输危险品的安全管理办法等。</w:t>
      </w:r>
    </w:p>
    <w:p w14:paraId="3EFE7CE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left"/>
        <w:textAlignment w:val="baseline"/>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eastAsia="Times New Roman" w:cs="Times New Roman"/>
          <w:snapToGrid w:val="0"/>
          <w:color w:val="auto"/>
          <w:spacing w:val="-2"/>
          <w:kern w:val="0"/>
          <w:sz w:val="24"/>
          <w:szCs w:val="24"/>
          <w:lang w:eastAsia="en-US"/>
        </w:rPr>
        <w:t>2</w:t>
      </w:r>
      <w:r>
        <w:rPr>
          <w:rFonts w:hint="default" w:ascii="Times New Roman" w:hAnsi="Times New Roman" w:eastAsia="宋体" w:cs="Times New Roman"/>
          <w:snapToGrid w:val="0"/>
          <w:color w:val="auto"/>
          <w:spacing w:val="-2"/>
          <w:kern w:val="0"/>
          <w:sz w:val="24"/>
          <w:szCs w:val="24"/>
          <w:lang w:eastAsia="en-US"/>
        </w:rPr>
        <w:t>）加强区域危险品运输管理</w:t>
      </w:r>
    </w:p>
    <w:p w14:paraId="67948BB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eastAsia="宋体" w:cs="Times New Roman"/>
          <w:snapToGrid w:val="0"/>
          <w:color w:val="auto"/>
          <w:kern w:val="0"/>
          <w:sz w:val="24"/>
          <w:szCs w:val="24"/>
          <w:lang w:eastAsia="en-US"/>
        </w:rPr>
        <w:t>①由</w:t>
      </w:r>
      <w:r>
        <w:rPr>
          <w:rFonts w:hint="default" w:ascii="Times New Roman" w:hAnsi="Times New Roman" w:eastAsia="宋体" w:cs="Times New Roman"/>
          <w:snapToGrid w:val="0"/>
          <w:color w:val="auto"/>
          <w:kern w:val="0"/>
          <w:sz w:val="24"/>
          <w:szCs w:val="24"/>
          <w:lang w:val="en-US" w:eastAsia="zh-CN"/>
        </w:rPr>
        <w:t>阿图什市</w:t>
      </w:r>
      <w:r>
        <w:rPr>
          <w:rFonts w:hint="default" w:ascii="Times New Roman" w:hAnsi="Times New Roman" w:eastAsia="宋体" w:cs="Times New Roman"/>
          <w:snapToGrid w:val="0"/>
          <w:color w:val="auto"/>
          <w:kern w:val="0"/>
          <w:sz w:val="24"/>
          <w:szCs w:val="24"/>
          <w:lang w:eastAsia="en-US"/>
        </w:rPr>
        <w:t>交通局建立本地区化学危险货物运输</w:t>
      </w:r>
      <w:r>
        <w:rPr>
          <w:rFonts w:hint="default" w:ascii="Times New Roman" w:hAnsi="Times New Roman" w:eastAsia="宋体" w:cs="Times New Roman"/>
          <w:snapToGrid w:val="0"/>
          <w:color w:val="auto"/>
          <w:spacing w:val="-1"/>
          <w:kern w:val="0"/>
          <w:sz w:val="24"/>
          <w:szCs w:val="24"/>
          <w:lang w:eastAsia="en-US"/>
        </w:rPr>
        <w:t>调度和货运代理网络。</w:t>
      </w:r>
    </w:p>
    <w:p w14:paraId="67B608D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left"/>
        <w:textAlignment w:val="baseline"/>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eastAsia="宋体" w:cs="Times New Roman"/>
          <w:snapToGrid w:val="0"/>
          <w:color w:val="auto"/>
          <w:spacing w:val="-1"/>
          <w:kern w:val="0"/>
          <w:sz w:val="24"/>
          <w:szCs w:val="24"/>
          <w:lang w:eastAsia="en-US"/>
        </w:rPr>
        <w:t>②由</w:t>
      </w:r>
      <w:r>
        <w:rPr>
          <w:rFonts w:hint="default" w:ascii="Times New Roman" w:hAnsi="Times New Roman" w:eastAsia="宋体" w:cs="Times New Roman"/>
          <w:snapToGrid w:val="0"/>
          <w:color w:val="auto"/>
          <w:spacing w:val="-1"/>
          <w:kern w:val="0"/>
          <w:sz w:val="24"/>
          <w:szCs w:val="24"/>
          <w:lang w:val="en-US" w:eastAsia="zh-CN"/>
        </w:rPr>
        <w:t>阿图什市</w:t>
      </w:r>
      <w:r>
        <w:rPr>
          <w:rFonts w:hint="default" w:ascii="Times New Roman" w:hAnsi="Times New Roman" w:eastAsia="宋体" w:cs="Times New Roman"/>
          <w:snapToGrid w:val="0"/>
          <w:color w:val="auto"/>
          <w:spacing w:val="-1"/>
          <w:kern w:val="0"/>
          <w:sz w:val="24"/>
          <w:szCs w:val="24"/>
          <w:lang w:eastAsia="en-US"/>
        </w:rPr>
        <w:t>交通局对货运代理和承运单位实行资格认证。</w:t>
      </w:r>
    </w:p>
    <w:p w14:paraId="531D3AE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left"/>
        <w:textAlignment w:val="baseline"/>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eastAsia="宋体" w:cs="Times New Roman"/>
          <w:snapToGrid w:val="0"/>
          <w:color w:val="auto"/>
          <w:spacing w:val="-2"/>
          <w:kern w:val="0"/>
          <w:sz w:val="24"/>
          <w:szCs w:val="24"/>
          <w:lang w:eastAsia="en-US"/>
        </w:rPr>
        <w:t>③化学危险品货物运输实行</w:t>
      </w:r>
      <w:r>
        <w:rPr>
          <w:rFonts w:hint="default" w:ascii="Times New Roman" w:hAnsi="Times New Roman" w:eastAsia="Times New Roman" w:cs="Times New Roman"/>
          <w:snapToGrid w:val="0"/>
          <w:color w:val="auto"/>
          <w:spacing w:val="-2"/>
          <w:kern w:val="0"/>
          <w:sz w:val="24"/>
          <w:szCs w:val="24"/>
          <w:lang w:eastAsia="en-US"/>
        </w:rPr>
        <w:t>“</w:t>
      </w:r>
      <w:r>
        <w:rPr>
          <w:rFonts w:hint="default" w:ascii="Times New Roman" w:hAnsi="Times New Roman" w:eastAsia="宋体" w:cs="Times New Roman"/>
          <w:snapToGrid w:val="0"/>
          <w:color w:val="auto"/>
          <w:spacing w:val="-2"/>
          <w:kern w:val="0"/>
          <w:sz w:val="24"/>
          <w:szCs w:val="24"/>
          <w:lang w:eastAsia="en-US"/>
        </w:rPr>
        <w:t>准运证</w:t>
      </w:r>
      <w:r>
        <w:rPr>
          <w:rFonts w:hint="eastAsia" w:cs="Times New Roman"/>
          <w:snapToGrid w:val="0"/>
          <w:color w:val="auto"/>
          <w:spacing w:val="-2"/>
          <w:kern w:val="0"/>
          <w:sz w:val="24"/>
          <w:szCs w:val="24"/>
          <w:lang w:eastAsia="zh-CN"/>
        </w:rPr>
        <w:t>”“</w:t>
      </w:r>
      <w:r>
        <w:rPr>
          <w:rFonts w:hint="default" w:ascii="Times New Roman" w:hAnsi="Times New Roman" w:eastAsia="宋体" w:cs="Times New Roman"/>
          <w:snapToGrid w:val="0"/>
          <w:color w:val="auto"/>
          <w:spacing w:val="-2"/>
          <w:kern w:val="0"/>
          <w:sz w:val="24"/>
          <w:szCs w:val="24"/>
          <w:lang w:eastAsia="en-US"/>
        </w:rPr>
        <w:t>驾驶员证</w:t>
      </w:r>
      <w:r>
        <w:rPr>
          <w:rFonts w:hint="eastAsia" w:cs="Times New Roman"/>
          <w:snapToGrid w:val="0"/>
          <w:color w:val="auto"/>
          <w:spacing w:val="-2"/>
          <w:kern w:val="0"/>
          <w:sz w:val="24"/>
          <w:szCs w:val="24"/>
          <w:lang w:eastAsia="zh-CN"/>
        </w:rPr>
        <w:t>”“</w:t>
      </w:r>
      <w:r>
        <w:rPr>
          <w:rFonts w:hint="default" w:ascii="Times New Roman" w:hAnsi="Times New Roman" w:eastAsia="宋体" w:cs="Times New Roman"/>
          <w:snapToGrid w:val="0"/>
          <w:color w:val="auto"/>
          <w:spacing w:val="-2"/>
          <w:kern w:val="0"/>
          <w:sz w:val="24"/>
          <w:szCs w:val="24"/>
          <w:lang w:eastAsia="en-US"/>
        </w:rPr>
        <w:t>押运</w:t>
      </w:r>
      <w:r>
        <w:rPr>
          <w:rFonts w:hint="default" w:ascii="Times New Roman" w:hAnsi="Times New Roman" w:eastAsia="宋体" w:cs="Times New Roman"/>
          <w:snapToGrid w:val="0"/>
          <w:color w:val="auto"/>
          <w:spacing w:val="-3"/>
          <w:kern w:val="0"/>
          <w:sz w:val="24"/>
          <w:szCs w:val="24"/>
          <w:lang w:eastAsia="en-US"/>
        </w:rPr>
        <w:t>员</w:t>
      </w:r>
      <w:r>
        <w:rPr>
          <w:rFonts w:hint="default" w:ascii="Times New Roman" w:hAnsi="Times New Roman" w:eastAsia="Times New Roman" w:cs="Times New Roman"/>
          <w:snapToGrid w:val="0"/>
          <w:color w:val="auto"/>
          <w:spacing w:val="-3"/>
          <w:kern w:val="0"/>
          <w:sz w:val="24"/>
          <w:szCs w:val="24"/>
          <w:lang w:eastAsia="en-US"/>
        </w:rPr>
        <w:t>”</w:t>
      </w:r>
      <w:r>
        <w:rPr>
          <w:rFonts w:hint="default" w:ascii="Times New Roman" w:hAnsi="Times New Roman" w:eastAsia="宋体" w:cs="Times New Roman"/>
          <w:snapToGrid w:val="0"/>
          <w:color w:val="auto"/>
          <w:spacing w:val="-3"/>
          <w:kern w:val="0"/>
          <w:sz w:val="24"/>
          <w:szCs w:val="24"/>
          <w:lang w:eastAsia="en-US"/>
        </w:rPr>
        <w:t>制度。所有从事化学</w:t>
      </w:r>
      <w:r>
        <w:rPr>
          <w:rFonts w:hint="default" w:ascii="Times New Roman" w:hAnsi="Times New Roman" w:eastAsia="宋体" w:cs="Times New Roman"/>
          <w:snapToGrid w:val="0"/>
          <w:color w:val="auto"/>
          <w:spacing w:val="-1"/>
          <w:kern w:val="0"/>
          <w:sz w:val="24"/>
          <w:szCs w:val="24"/>
          <w:lang w:eastAsia="en-US"/>
        </w:rPr>
        <w:t>危险货物的车辆要使用统一专用标志，实行定期定点检测制度。</w:t>
      </w:r>
    </w:p>
    <w:p w14:paraId="003DE10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eastAsia="宋体" w:cs="Times New Roman"/>
          <w:snapToGrid w:val="0"/>
          <w:color w:val="auto"/>
          <w:kern w:val="0"/>
          <w:sz w:val="24"/>
          <w:szCs w:val="24"/>
          <w:lang w:eastAsia="en-US"/>
        </w:rPr>
        <w:t>④由公安交通管理部门、公安消防部门对化学危险货物运输车辆指定行驶区域，</w:t>
      </w:r>
      <w:r>
        <w:rPr>
          <w:rFonts w:hint="default" w:ascii="Times New Roman" w:hAnsi="Times New Roman" w:eastAsia="宋体" w:cs="Times New Roman"/>
          <w:snapToGrid w:val="0"/>
          <w:color w:val="auto"/>
          <w:spacing w:val="-1"/>
          <w:kern w:val="0"/>
          <w:sz w:val="24"/>
          <w:szCs w:val="24"/>
          <w:lang w:eastAsia="en-US"/>
        </w:rPr>
        <w:t>运输化学危险货物的车辆必须按指定车场停放。</w:t>
      </w:r>
    </w:p>
    <w:p w14:paraId="340D4CF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8" w:firstLineChars="200"/>
        <w:jc w:val="left"/>
        <w:textAlignment w:val="baseline"/>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eastAsia="宋体" w:cs="Times New Roman"/>
          <w:snapToGrid w:val="0"/>
          <w:color w:val="auto"/>
          <w:spacing w:val="2"/>
          <w:kern w:val="0"/>
          <w:sz w:val="24"/>
          <w:szCs w:val="24"/>
          <w:lang w:eastAsia="en-US"/>
        </w:rPr>
        <w:t>⑤对从事危险品运输的单位、业主、驾驶员及押运员定期进行排除危险品运输车</w:t>
      </w:r>
      <w:r>
        <w:rPr>
          <w:rFonts w:hint="default" w:ascii="Times New Roman" w:hAnsi="Times New Roman" w:eastAsia="宋体" w:cs="Times New Roman"/>
          <w:snapToGrid w:val="0"/>
          <w:color w:val="auto"/>
          <w:spacing w:val="-1"/>
          <w:kern w:val="0"/>
          <w:sz w:val="24"/>
          <w:szCs w:val="24"/>
          <w:lang w:eastAsia="en-US"/>
        </w:rPr>
        <w:t>辆交通事故的业务培训。</w:t>
      </w:r>
    </w:p>
    <w:p w14:paraId="2BD7E4E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left"/>
        <w:textAlignment w:val="baseline"/>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eastAsia="Times New Roman" w:cs="Times New Roman"/>
          <w:snapToGrid w:val="0"/>
          <w:color w:val="auto"/>
          <w:spacing w:val="-1"/>
          <w:kern w:val="0"/>
          <w:sz w:val="24"/>
          <w:szCs w:val="24"/>
          <w:lang w:eastAsia="en-US"/>
        </w:rPr>
        <w:t>3</w:t>
      </w:r>
      <w:r>
        <w:rPr>
          <w:rFonts w:hint="default" w:ascii="Times New Roman" w:hAnsi="Times New Roman" w:eastAsia="宋体" w:cs="Times New Roman"/>
          <w:snapToGrid w:val="0"/>
          <w:color w:val="auto"/>
          <w:spacing w:val="-1"/>
          <w:kern w:val="0"/>
          <w:sz w:val="24"/>
          <w:szCs w:val="24"/>
          <w:lang w:eastAsia="en-US"/>
        </w:rPr>
        <w:t>）公路管理部门应对运输危险品车辆实行申报管理制度</w:t>
      </w:r>
    </w:p>
    <w:p w14:paraId="0027083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8" w:firstLineChars="200"/>
        <w:jc w:val="both"/>
        <w:textAlignment w:val="baseline"/>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eastAsia="宋体" w:cs="Times New Roman"/>
          <w:snapToGrid w:val="0"/>
          <w:color w:val="auto"/>
          <w:spacing w:val="2"/>
          <w:kern w:val="0"/>
          <w:sz w:val="24"/>
          <w:szCs w:val="24"/>
          <w:lang w:eastAsia="en-US"/>
        </w:rPr>
        <w:t>危险品运输车辆在进入该路段前，应向公路管理机构领取申报表，并</w:t>
      </w:r>
      <w:r>
        <w:rPr>
          <w:rFonts w:hint="default" w:ascii="Times New Roman" w:hAnsi="Times New Roman" w:eastAsia="宋体" w:cs="Times New Roman"/>
          <w:snapToGrid w:val="0"/>
          <w:color w:val="auto"/>
          <w:spacing w:val="1"/>
          <w:kern w:val="0"/>
          <w:sz w:val="24"/>
          <w:szCs w:val="24"/>
          <w:lang w:eastAsia="en-US"/>
        </w:rPr>
        <w:t>在入口处接</w:t>
      </w:r>
      <w:r>
        <w:rPr>
          <w:rFonts w:hint="default" w:ascii="Times New Roman" w:hAnsi="Times New Roman" w:eastAsia="宋体" w:cs="Times New Roman"/>
          <w:snapToGrid w:val="0"/>
          <w:color w:val="auto"/>
          <w:spacing w:val="2"/>
          <w:kern w:val="0"/>
          <w:sz w:val="24"/>
          <w:szCs w:val="24"/>
          <w:lang w:eastAsia="en-US"/>
        </w:rPr>
        <w:t>受公安或交通管理部门的检查，并提交申报表。申报表主要报告项</w:t>
      </w:r>
      <w:r>
        <w:rPr>
          <w:rFonts w:hint="default" w:ascii="Times New Roman" w:hAnsi="Times New Roman" w:eastAsia="宋体" w:cs="Times New Roman"/>
          <w:snapToGrid w:val="0"/>
          <w:color w:val="auto"/>
          <w:spacing w:val="1"/>
          <w:kern w:val="0"/>
          <w:sz w:val="24"/>
          <w:szCs w:val="24"/>
          <w:lang w:eastAsia="en-US"/>
        </w:rPr>
        <w:t>目有危险货物运输</w:t>
      </w:r>
      <w:r>
        <w:rPr>
          <w:rFonts w:hint="default" w:ascii="Times New Roman" w:hAnsi="Times New Roman" w:eastAsia="宋体" w:cs="Times New Roman"/>
          <w:snapToGrid w:val="0"/>
          <w:color w:val="auto"/>
          <w:kern w:val="0"/>
          <w:sz w:val="24"/>
          <w:szCs w:val="24"/>
          <w:lang w:eastAsia="en-US"/>
        </w:rPr>
        <w:t>执照号码、货物品种、等级和编号、收发货人名称、</w:t>
      </w:r>
      <w:r>
        <w:rPr>
          <w:rFonts w:hint="default" w:ascii="Times New Roman" w:hAnsi="Times New Roman" w:eastAsia="宋体" w:cs="Times New Roman"/>
          <w:snapToGrid w:val="0"/>
          <w:color w:val="auto"/>
          <w:spacing w:val="-1"/>
          <w:kern w:val="0"/>
          <w:sz w:val="24"/>
          <w:szCs w:val="24"/>
          <w:lang w:eastAsia="en-US"/>
        </w:rPr>
        <w:t>装卸地点、货物特性等。</w:t>
      </w:r>
    </w:p>
    <w:p w14:paraId="2C4CCE7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left"/>
        <w:textAlignment w:val="baseline"/>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eastAsia="Times New Roman" w:cs="Times New Roman"/>
          <w:snapToGrid w:val="0"/>
          <w:color w:val="auto"/>
          <w:spacing w:val="-2"/>
          <w:kern w:val="0"/>
          <w:sz w:val="24"/>
          <w:szCs w:val="24"/>
          <w:lang w:eastAsia="en-US"/>
        </w:rPr>
        <w:t>4</w:t>
      </w:r>
      <w:r>
        <w:rPr>
          <w:rFonts w:hint="default" w:ascii="Times New Roman" w:hAnsi="Times New Roman" w:eastAsia="宋体" w:cs="Times New Roman"/>
          <w:snapToGrid w:val="0"/>
          <w:color w:val="auto"/>
          <w:spacing w:val="-2"/>
          <w:kern w:val="0"/>
          <w:sz w:val="24"/>
          <w:szCs w:val="24"/>
          <w:lang w:eastAsia="en-US"/>
        </w:rPr>
        <w:t>）实行危险品运输车辆的检查制度</w:t>
      </w:r>
    </w:p>
    <w:p w14:paraId="5023E8B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2" w:firstLineChars="200"/>
        <w:jc w:val="left"/>
        <w:textAlignment w:val="baseline"/>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eastAsia="宋体" w:cs="Times New Roman"/>
          <w:snapToGrid w:val="0"/>
          <w:color w:val="auto"/>
          <w:spacing w:val="3"/>
          <w:kern w:val="0"/>
          <w:sz w:val="24"/>
          <w:szCs w:val="24"/>
          <w:lang w:eastAsia="en-US"/>
        </w:rPr>
        <w:t>应对各种未申报又无危险品运输标志的罐车、简装车进行</w:t>
      </w:r>
      <w:r>
        <w:rPr>
          <w:rFonts w:hint="default" w:ascii="Times New Roman" w:hAnsi="Times New Roman" w:eastAsia="宋体" w:cs="Times New Roman"/>
          <w:snapToGrid w:val="0"/>
          <w:color w:val="auto"/>
          <w:spacing w:val="2"/>
          <w:kern w:val="0"/>
          <w:sz w:val="24"/>
          <w:szCs w:val="24"/>
          <w:lang w:eastAsia="en-US"/>
        </w:rPr>
        <w:t>检查。对载有危险品，但未办理有关证件或车辆未按规定加装危险品运输标志的车辆均不允许</w:t>
      </w:r>
      <w:r>
        <w:rPr>
          <w:rFonts w:hint="default" w:ascii="Times New Roman" w:hAnsi="Times New Roman" w:eastAsia="宋体" w:cs="Times New Roman"/>
          <w:snapToGrid w:val="0"/>
          <w:color w:val="auto"/>
          <w:spacing w:val="1"/>
          <w:kern w:val="0"/>
          <w:sz w:val="24"/>
          <w:szCs w:val="24"/>
          <w:lang w:eastAsia="en-US"/>
        </w:rPr>
        <w:t>进入行驶。对</w:t>
      </w:r>
      <w:r>
        <w:rPr>
          <w:rFonts w:hint="default" w:ascii="Times New Roman" w:hAnsi="Times New Roman" w:eastAsia="宋体" w:cs="Times New Roman"/>
          <w:snapToGrid w:val="0"/>
          <w:color w:val="auto"/>
          <w:kern w:val="0"/>
          <w:sz w:val="24"/>
          <w:szCs w:val="24"/>
          <w:lang w:eastAsia="en-US"/>
        </w:rPr>
        <w:t>申报运输危险品的车辆进行</w:t>
      </w:r>
      <w:r>
        <w:rPr>
          <w:rFonts w:hint="default" w:ascii="Times New Roman" w:hAnsi="Times New Roman" w:eastAsia="Times New Roman" w:cs="Times New Roman"/>
          <w:snapToGrid w:val="0"/>
          <w:color w:val="auto"/>
          <w:kern w:val="0"/>
          <w:sz w:val="24"/>
          <w:szCs w:val="24"/>
          <w:lang w:eastAsia="en-US"/>
        </w:rPr>
        <w:t>“</w:t>
      </w:r>
      <w:r>
        <w:rPr>
          <w:rFonts w:hint="default" w:ascii="Times New Roman" w:hAnsi="Times New Roman" w:eastAsia="宋体" w:cs="Times New Roman"/>
          <w:snapToGrid w:val="0"/>
          <w:color w:val="auto"/>
          <w:kern w:val="0"/>
          <w:sz w:val="24"/>
          <w:szCs w:val="24"/>
          <w:lang w:eastAsia="en-US"/>
        </w:rPr>
        <w:t>准运证</w:t>
      </w:r>
      <w:r>
        <w:rPr>
          <w:rFonts w:hint="eastAsia" w:cs="Times New Roman"/>
          <w:snapToGrid w:val="0"/>
          <w:color w:val="auto"/>
          <w:kern w:val="0"/>
          <w:sz w:val="24"/>
          <w:szCs w:val="24"/>
          <w:lang w:eastAsia="zh-CN"/>
        </w:rPr>
        <w:t>”“</w:t>
      </w:r>
      <w:r>
        <w:rPr>
          <w:rFonts w:hint="default" w:ascii="Times New Roman" w:hAnsi="Times New Roman" w:eastAsia="宋体" w:cs="Times New Roman"/>
          <w:snapToGrid w:val="0"/>
          <w:color w:val="auto"/>
          <w:kern w:val="0"/>
          <w:sz w:val="24"/>
          <w:szCs w:val="24"/>
          <w:lang w:eastAsia="en-US"/>
        </w:rPr>
        <w:t>驾驶员证</w:t>
      </w:r>
      <w:r>
        <w:rPr>
          <w:rFonts w:hint="default" w:ascii="Times New Roman" w:hAnsi="Times New Roman" w:eastAsia="Times New Roman" w:cs="Times New Roman"/>
          <w:snapToGrid w:val="0"/>
          <w:color w:val="auto"/>
          <w:kern w:val="0"/>
          <w:sz w:val="24"/>
          <w:szCs w:val="24"/>
          <w:lang w:eastAsia="en-US"/>
        </w:rPr>
        <w:t>”“</w:t>
      </w:r>
      <w:r>
        <w:rPr>
          <w:rFonts w:hint="default" w:ascii="Times New Roman" w:hAnsi="Times New Roman" w:eastAsia="宋体" w:cs="Times New Roman"/>
          <w:snapToGrid w:val="0"/>
          <w:color w:val="auto"/>
          <w:kern w:val="0"/>
          <w:sz w:val="24"/>
          <w:szCs w:val="24"/>
          <w:lang w:eastAsia="en-US"/>
        </w:rPr>
        <w:t>押运员证</w:t>
      </w:r>
      <w:r>
        <w:rPr>
          <w:rFonts w:hint="default" w:ascii="Times New Roman" w:hAnsi="Times New Roman" w:eastAsia="Times New Roman" w:cs="Times New Roman"/>
          <w:snapToGrid w:val="0"/>
          <w:color w:val="auto"/>
          <w:kern w:val="0"/>
          <w:sz w:val="24"/>
          <w:szCs w:val="24"/>
          <w:lang w:eastAsia="en-US"/>
        </w:rPr>
        <w:t>”</w:t>
      </w:r>
      <w:r>
        <w:rPr>
          <w:rFonts w:hint="default" w:ascii="Times New Roman" w:hAnsi="Times New Roman" w:eastAsia="宋体" w:cs="Times New Roman"/>
          <w:snapToGrid w:val="0"/>
          <w:color w:val="auto"/>
          <w:spacing w:val="-1"/>
          <w:kern w:val="0"/>
          <w:sz w:val="24"/>
          <w:szCs w:val="24"/>
          <w:lang w:eastAsia="en-US"/>
        </w:rPr>
        <w:t>和</w:t>
      </w:r>
      <w:r>
        <w:rPr>
          <w:rFonts w:hint="default" w:ascii="Times New Roman" w:hAnsi="Times New Roman" w:eastAsia="Times New Roman" w:cs="Times New Roman"/>
          <w:snapToGrid w:val="0"/>
          <w:color w:val="auto"/>
          <w:spacing w:val="-1"/>
          <w:kern w:val="0"/>
          <w:sz w:val="24"/>
          <w:szCs w:val="24"/>
          <w:lang w:eastAsia="en-US"/>
        </w:rPr>
        <w:t>“</w:t>
      </w:r>
      <w:r>
        <w:rPr>
          <w:rFonts w:hint="default" w:ascii="Times New Roman" w:hAnsi="Times New Roman" w:eastAsia="宋体" w:cs="Times New Roman"/>
          <w:snapToGrid w:val="0"/>
          <w:color w:val="auto"/>
          <w:spacing w:val="-1"/>
          <w:kern w:val="0"/>
          <w:sz w:val="24"/>
          <w:szCs w:val="24"/>
          <w:lang w:eastAsia="en-US"/>
        </w:rPr>
        <w:t>危险品运输行车路单</w:t>
      </w:r>
      <w:r>
        <w:rPr>
          <w:rFonts w:hint="default" w:ascii="Times New Roman" w:hAnsi="Times New Roman" w:eastAsia="Times New Roman" w:cs="Times New Roman"/>
          <w:snapToGrid w:val="0"/>
          <w:color w:val="auto"/>
          <w:spacing w:val="-1"/>
          <w:kern w:val="0"/>
          <w:sz w:val="24"/>
          <w:szCs w:val="24"/>
          <w:lang w:eastAsia="en-US"/>
        </w:rPr>
        <w:t>”</w:t>
      </w:r>
      <w:r>
        <w:rPr>
          <w:rFonts w:hint="default" w:ascii="Times New Roman" w:hAnsi="Times New Roman" w:eastAsia="Times New Roman" w:cs="Times New Roman"/>
          <w:snapToGrid w:val="0"/>
          <w:color w:val="auto"/>
          <w:kern w:val="0"/>
          <w:sz w:val="24"/>
          <w:szCs w:val="24"/>
          <w:lang w:eastAsia="en-US"/>
        </w:rPr>
        <w:t xml:space="preserve"> </w:t>
      </w:r>
      <w:r>
        <w:rPr>
          <w:rFonts w:hint="default" w:ascii="Times New Roman" w:hAnsi="Times New Roman" w:eastAsia="宋体" w:cs="Times New Roman"/>
          <w:snapToGrid w:val="0"/>
          <w:color w:val="auto"/>
          <w:spacing w:val="-2"/>
          <w:kern w:val="0"/>
          <w:sz w:val="24"/>
          <w:szCs w:val="24"/>
          <w:lang w:eastAsia="en-US"/>
        </w:rPr>
        <w:t>（以下简称</w:t>
      </w:r>
      <w:r>
        <w:rPr>
          <w:rFonts w:hint="default" w:ascii="Times New Roman" w:hAnsi="Times New Roman" w:eastAsia="Times New Roman" w:cs="Times New Roman"/>
          <w:snapToGrid w:val="0"/>
          <w:color w:val="auto"/>
          <w:spacing w:val="-2"/>
          <w:kern w:val="0"/>
          <w:sz w:val="24"/>
          <w:szCs w:val="24"/>
          <w:lang w:eastAsia="en-US"/>
        </w:rPr>
        <w:t>“</w:t>
      </w:r>
      <w:r>
        <w:rPr>
          <w:rFonts w:hint="default" w:ascii="Times New Roman" w:hAnsi="Times New Roman" w:eastAsia="宋体" w:cs="Times New Roman"/>
          <w:snapToGrid w:val="0"/>
          <w:color w:val="auto"/>
          <w:spacing w:val="-2"/>
          <w:kern w:val="0"/>
          <w:sz w:val="24"/>
          <w:szCs w:val="24"/>
          <w:lang w:eastAsia="en-US"/>
        </w:rPr>
        <w:t>三证一单</w:t>
      </w:r>
      <w:r>
        <w:rPr>
          <w:rFonts w:hint="default" w:ascii="Times New Roman" w:hAnsi="Times New Roman" w:eastAsia="Times New Roman" w:cs="Times New Roman"/>
          <w:snapToGrid w:val="0"/>
          <w:color w:val="auto"/>
          <w:spacing w:val="-2"/>
          <w:kern w:val="0"/>
          <w:sz w:val="24"/>
          <w:szCs w:val="24"/>
          <w:lang w:eastAsia="en-US"/>
        </w:rPr>
        <w:t>”</w:t>
      </w:r>
      <w:r>
        <w:rPr>
          <w:rFonts w:hint="default" w:ascii="Times New Roman" w:hAnsi="Times New Roman" w:eastAsia="宋体" w:cs="Times New Roman"/>
          <w:snapToGrid w:val="0"/>
          <w:color w:val="auto"/>
          <w:spacing w:val="-2"/>
          <w:kern w:val="0"/>
          <w:sz w:val="24"/>
          <w:szCs w:val="24"/>
          <w:lang w:eastAsia="en-US"/>
        </w:rPr>
        <w:t>）检查，</w:t>
      </w:r>
      <w:r>
        <w:rPr>
          <w:rFonts w:hint="default" w:ascii="Times New Roman" w:hAnsi="Times New Roman" w:eastAsia="Times New Roman" w:cs="Times New Roman"/>
          <w:snapToGrid w:val="0"/>
          <w:color w:val="auto"/>
          <w:spacing w:val="-2"/>
          <w:kern w:val="0"/>
          <w:sz w:val="24"/>
          <w:szCs w:val="24"/>
          <w:lang w:eastAsia="en-US"/>
        </w:rPr>
        <w:t>“</w:t>
      </w:r>
      <w:r>
        <w:rPr>
          <w:rFonts w:hint="default" w:ascii="Times New Roman" w:hAnsi="Times New Roman" w:eastAsia="宋体" w:cs="Times New Roman"/>
          <w:snapToGrid w:val="0"/>
          <w:color w:val="auto"/>
          <w:spacing w:val="-2"/>
          <w:kern w:val="0"/>
          <w:sz w:val="24"/>
          <w:szCs w:val="24"/>
          <w:lang w:eastAsia="en-US"/>
        </w:rPr>
        <w:t>三证一单</w:t>
      </w:r>
      <w:r>
        <w:rPr>
          <w:rFonts w:hint="default" w:ascii="Times New Roman" w:hAnsi="Times New Roman" w:eastAsia="Times New Roman" w:cs="Times New Roman"/>
          <w:snapToGrid w:val="0"/>
          <w:color w:val="auto"/>
          <w:spacing w:val="-2"/>
          <w:kern w:val="0"/>
          <w:sz w:val="24"/>
          <w:szCs w:val="24"/>
          <w:lang w:eastAsia="en-US"/>
        </w:rPr>
        <w:t>”</w:t>
      </w:r>
      <w:r>
        <w:rPr>
          <w:rFonts w:hint="default" w:ascii="Times New Roman" w:hAnsi="Times New Roman" w:eastAsia="宋体" w:cs="Times New Roman"/>
          <w:snapToGrid w:val="0"/>
          <w:color w:val="auto"/>
          <w:spacing w:val="-2"/>
          <w:kern w:val="0"/>
          <w:sz w:val="24"/>
          <w:szCs w:val="24"/>
          <w:lang w:eastAsia="en-US"/>
        </w:rPr>
        <w:t>不全的车辆将不允许驶入。除证件检查外，</w:t>
      </w:r>
      <w:r>
        <w:rPr>
          <w:rFonts w:hint="default" w:ascii="Times New Roman" w:hAnsi="Times New Roman" w:eastAsia="宋体" w:cs="Times New Roman"/>
          <w:snapToGrid w:val="0"/>
          <w:color w:val="auto"/>
          <w:spacing w:val="2"/>
          <w:kern w:val="0"/>
          <w:sz w:val="24"/>
          <w:szCs w:val="24"/>
          <w:lang w:eastAsia="en-US"/>
        </w:rPr>
        <w:t>必要时应对运输危险品的车辆进行安全检查。对有安全隐患的车辆在未</w:t>
      </w:r>
      <w:r>
        <w:rPr>
          <w:rFonts w:hint="default" w:ascii="Times New Roman" w:hAnsi="Times New Roman" w:eastAsia="宋体" w:cs="Times New Roman"/>
          <w:snapToGrid w:val="0"/>
          <w:color w:val="auto"/>
          <w:spacing w:val="1"/>
          <w:kern w:val="0"/>
          <w:sz w:val="24"/>
          <w:szCs w:val="24"/>
          <w:lang w:eastAsia="en-US"/>
        </w:rPr>
        <w:t>排除隐患前不</w:t>
      </w:r>
      <w:r>
        <w:rPr>
          <w:rFonts w:hint="default" w:ascii="Times New Roman" w:hAnsi="Times New Roman" w:eastAsia="宋体" w:cs="Times New Roman"/>
          <w:snapToGrid w:val="0"/>
          <w:color w:val="auto"/>
          <w:spacing w:val="-2"/>
          <w:kern w:val="0"/>
          <w:sz w:val="24"/>
          <w:szCs w:val="24"/>
          <w:lang w:eastAsia="en-US"/>
        </w:rPr>
        <w:t>许进入。</w:t>
      </w:r>
    </w:p>
    <w:p w14:paraId="2DBB123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left"/>
        <w:textAlignment w:val="baseline"/>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eastAsia="Times New Roman" w:cs="Times New Roman"/>
          <w:snapToGrid w:val="0"/>
          <w:color w:val="auto"/>
          <w:spacing w:val="-3"/>
          <w:kern w:val="0"/>
          <w:sz w:val="24"/>
          <w:szCs w:val="24"/>
          <w:lang w:eastAsia="en-US"/>
        </w:rPr>
        <w:t>5</w:t>
      </w:r>
      <w:r>
        <w:rPr>
          <w:rFonts w:hint="default" w:ascii="Times New Roman" w:hAnsi="Times New Roman" w:eastAsia="宋体" w:cs="Times New Roman"/>
          <w:snapToGrid w:val="0"/>
          <w:color w:val="auto"/>
          <w:spacing w:val="-3"/>
          <w:kern w:val="0"/>
          <w:sz w:val="24"/>
          <w:szCs w:val="24"/>
          <w:lang w:eastAsia="en-US"/>
        </w:rPr>
        <w:t>）增强环境意识</w:t>
      </w:r>
    </w:p>
    <w:p w14:paraId="7BA0771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8" w:firstLineChars="200"/>
        <w:jc w:val="left"/>
        <w:textAlignment w:val="baseline"/>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eastAsia="宋体" w:cs="Times New Roman"/>
          <w:snapToGrid w:val="0"/>
          <w:color w:val="auto"/>
          <w:spacing w:val="2"/>
          <w:kern w:val="0"/>
          <w:sz w:val="24"/>
          <w:szCs w:val="24"/>
          <w:lang w:eastAsia="en-US"/>
        </w:rPr>
        <w:t>考虑到部分司机对该路段行车环境缺乏认识，建议编制并发放《公路安</w:t>
      </w:r>
      <w:r>
        <w:rPr>
          <w:rFonts w:hint="default" w:ascii="Times New Roman" w:hAnsi="Times New Roman" w:eastAsia="宋体" w:cs="Times New Roman"/>
          <w:snapToGrid w:val="0"/>
          <w:color w:val="auto"/>
          <w:spacing w:val="1"/>
          <w:kern w:val="0"/>
          <w:sz w:val="24"/>
          <w:szCs w:val="24"/>
          <w:lang w:eastAsia="en-US"/>
        </w:rPr>
        <w:t>全行车指</w:t>
      </w:r>
      <w:r>
        <w:rPr>
          <w:rFonts w:hint="default" w:ascii="Times New Roman" w:hAnsi="Times New Roman" w:eastAsia="宋体" w:cs="Times New Roman"/>
          <w:snapToGrid w:val="0"/>
          <w:color w:val="auto"/>
          <w:spacing w:val="2"/>
          <w:kern w:val="0"/>
          <w:sz w:val="24"/>
          <w:szCs w:val="24"/>
          <w:lang w:eastAsia="en-US"/>
        </w:rPr>
        <w:t>南》。</w:t>
      </w:r>
      <w:r>
        <w:rPr>
          <w:rFonts w:hint="default" w:ascii="Times New Roman" w:hAnsi="Times New Roman" w:eastAsia="Times New Roman" w:cs="Times New Roman"/>
          <w:snapToGrid w:val="0"/>
          <w:color w:val="auto"/>
          <w:spacing w:val="2"/>
          <w:kern w:val="0"/>
          <w:sz w:val="24"/>
          <w:szCs w:val="24"/>
          <w:lang w:eastAsia="en-US"/>
        </w:rPr>
        <w:t>“</w:t>
      </w:r>
      <w:r>
        <w:rPr>
          <w:rFonts w:hint="default" w:ascii="Times New Roman" w:hAnsi="Times New Roman" w:eastAsia="宋体" w:cs="Times New Roman"/>
          <w:snapToGrid w:val="0"/>
          <w:color w:val="auto"/>
          <w:spacing w:val="2"/>
          <w:kern w:val="0"/>
          <w:sz w:val="24"/>
          <w:szCs w:val="24"/>
          <w:lang w:eastAsia="en-US"/>
        </w:rPr>
        <w:t>指南</w:t>
      </w:r>
      <w:r>
        <w:rPr>
          <w:rFonts w:hint="default" w:ascii="Times New Roman" w:hAnsi="Times New Roman" w:eastAsia="Times New Roman" w:cs="Times New Roman"/>
          <w:snapToGrid w:val="0"/>
          <w:color w:val="auto"/>
          <w:spacing w:val="2"/>
          <w:kern w:val="0"/>
          <w:sz w:val="24"/>
          <w:szCs w:val="24"/>
          <w:lang w:eastAsia="en-US"/>
        </w:rPr>
        <w:t>”</w:t>
      </w:r>
      <w:r>
        <w:rPr>
          <w:rFonts w:hint="default" w:ascii="Times New Roman" w:hAnsi="Times New Roman" w:eastAsia="宋体" w:cs="Times New Roman"/>
          <w:snapToGrid w:val="0"/>
          <w:color w:val="auto"/>
          <w:spacing w:val="2"/>
          <w:kern w:val="0"/>
          <w:sz w:val="24"/>
          <w:szCs w:val="24"/>
          <w:lang w:eastAsia="en-US"/>
        </w:rPr>
        <w:t>将由交通安全专家负责编制，其内容将包括紧急事故处置方法，所在区</w:t>
      </w:r>
      <w:r>
        <w:rPr>
          <w:rFonts w:hint="default" w:ascii="Times New Roman" w:hAnsi="Times New Roman" w:eastAsia="宋体" w:cs="Times New Roman"/>
          <w:snapToGrid w:val="0"/>
          <w:color w:val="auto"/>
          <w:kern w:val="0"/>
          <w:sz w:val="24"/>
          <w:szCs w:val="24"/>
          <w:lang w:eastAsia="en-US"/>
        </w:rPr>
        <w:t>域市、县的公安、消防和生态环境主管部门的通信地</w:t>
      </w:r>
      <w:r>
        <w:rPr>
          <w:rFonts w:hint="default" w:ascii="Times New Roman" w:hAnsi="Times New Roman" w:eastAsia="宋体" w:cs="Times New Roman"/>
          <w:snapToGrid w:val="0"/>
          <w:color w:val="auto"/>
          <w:spacing w:val="-1"/>
          <w:kern w:val="0"/>
          <w:sz w:val="24"/>
          <w:szCs w:val="24"/>
          <w:lang w:eastAsia="en-US"/>
        </w:rPr>
        <w:t>址和联系电话等相关内容。</w:t>
      </w:r>
    </w:p>
    <w:p w14:paraId="5DEF4B1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left"/>
        <w:textAlignment w:val="baseline"/>
        <w:rPr>
          <w:rFonts w:hint="default" w:ascii="Times New Roman" w:hAnsi="Times New Roman" w:eastAsia="Arial" w:cs="Times New Roman"/>
          <w:snapToGrid w:val="0"/>
          <w:color w:val="auto"/>
          <w:kern w:val="0"/>
          <w:sz w:val="24"/>
          <w:szCs w:val="24"/>
          <w:lang w:val="en-US" w:eastAsia="en-US" w:bidi="ar-SA"/>
        </w:rPr>
      </w:pPr>
      <w:r>
        <w:rPr>
          <w:rFonts w:hint="default" w:ascii="Times New Roman" w:hAnsi="Times New Roman" w:eastAsia="Times New Roman" w:cs="Times New Roman"/>
          <w:snapToGrid w:val="0"/>
          <w:color w:val="auto"/>
          <w:spacing w:val="-3"/>
          <w:kern w:val="0"/>
          <w:sz w:val="24"/>
          <w:szCs w:val="24"/>
          <w:lang w:eastAsia="en-US"/>
        </w:rPr>
        <w:t>6</w:t>
      </w:r>
      <w:r>
        <w:rPr>
          <w:rFonts w:hint="default" w:ascii="Times New Roman" w:hAnsi="Times New Roman" w:eastAsia="宋体" w:cs="Times New Roman"/>
          <w:snapToGrid w:val="0"/>
          <w:color w:val="auto"/>
          <w:spacing w:val="-3"/>
          <w:kern w:val="0"/>
          <w:sz w:val="24"/>
          <w:szCs w:val="24"/>
          <w:lang w:eastAsia="en-US"/>
        </w:rPr>
        <w:t>）车辆安全检查</w:t>
      </w:r>
    </w:p>
    <w:p w14:paraId="3E107EE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left"/>
        <w:textAlignment w:val="baseline"/>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eastAsia="宋体" w:cs="Times New Roman"/>
          <w:snapToGrid w:val="0"/>
          <w:color w:val="auto"/>
          <w:spacing w:val="-1"/>
          <w:kern w:val="0"/>
          <w:sz w:val="24"/>
          <w:szCs w:val="24"/>
          <w:lang w:eastAsia="en-US"/>
        </w:rPr>
        <w:t>危险品运输车辆应主动申报和接受检查。</w:t>
      </w:r>
    </w:p>
    <w:p w14:paraId="14026C4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left"/>
        <w:textAlignment w:val="baseline"/>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eastAsia="宋体" w:cs="Times New Roman"/>
          <w:snapToGrid w:val="0"/>
          <w:color w:val="auto"/>
          <w:spacing w:val="-1"/>
          <w:kern w:val="0"/>
          <w:sz w:val="24"/>
          <w:szCs w:val="24"/>
          <w:lang w:eastAsia="en-US"/>
        </w:rPr>
        <w:t>危险品运输车辆左前方悬挂有黄底黑字</w:t>
      </w:r>
      <w:r>
        <w:rPr>
          <w:rFonts w:hint="default" w:ascii="Times New Roman" w:hAnsi="Times New Roman" w:eastAsia="Times New Roman" w:cs="Times New Roman"/>
          <w:snapToGrid w:val="0"/>
          <w:color w:val="auto"/>
          <w:spacing w:val="-1"/>
          <w:kern w:val="0"/>
          <w:sz w:val="24"/>
          <w:szCs w:val="24"/>
          <w:lang w:eastAsia="en-US"/>
        </w:rPr>
        <w:t>“</w:t>
      </w:r>
      <w:r>
        <w:rPr>
          <w:rFonts w:hint="default" w:ascii="Times New Roman" w:hAnsi="Times New Roman" w:eastAsia="宋体" w:cs="Times New Roman"/>
          <w:snapToGrid w:val="0"/>
          <w:color w:val="auto"/>
          <w:spacing w:val="-1"/>
          <w:kern w:val="0"/>
          <w:sz w:val="24"/>
          <w:szCs w:val="24"/>
          <w:lang w:eastAsia="en-US"/>
        </w:rPr>
        <w:t>危险品</w:t>
      </w:r>
      <w:r>
        <w:rPr>
          <w:rFonts w:hint="default" w:ascii="Times New Roman" w:hAnsi="Times New Roman" w:eastAsia="Times New Roman" w:cs="Times New Roman"/>
          <w:snapToGrid w:val="0"/>
          <w:color w:val="auto"/>
          <w:spacing w:val="-1"/>
          <w:kern w:val="0"/>
          <w:sz w:val="24"/>
          <w:szCs w:val="24"/>
          <w:lang w:eastAsia="en-US"/>
        </w:rPr>
        <w:t>”</w:t>
      </w:r>
      <w:r>
        <w:rPr>
          <w:rFonts w:hint="default" w:ascii="Times New Roman" w:hAnsi="Times New Roman" w:eastAsia="宋体" w:cs="Times New Roman"/>
          <w:snapToGrid w:val="0"/>
          <w:color w:val="auto"/>
          <w:spacing w:val="-1"/>
          <w:kern w:val="0"/>
          <w:sz w:val="24"/>
          <w:szCs w:val="24"/>
          <w:lang w:eastAsia="en-US"/>
        </w:rPr>
        <w:t>字样的信号旗。</w:t>
      </w:r>
    </w:p>
    <w:p w14:paraId="6E89FF5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left"/>
        <w:textAlignment w:val="baseline"/>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eastAsia="Times New Roman" w:cs="Times New Roman"/>
          <w:snapToGrid w:val="0"/>
          <w:color w:val="auto"/>
          <w:spacing w:val="-2"/>
          <w:kern w:val="0"/>
          <w:sz w:val="24"/>
          <w:szCs w:val="24"/>
          <w:lang w:eastAsia="en-US"/>
        </w:rPr>
        <w:t>7</w:t>
      </w:r>
      <w:r>
        <w:rPr>
          <w:rFonts w:hint="default" w:ascii="Times New Roman" w:hAnsi="Times New Roman" w:eastAsia="宋体" w:cs="Times New Roman"/>
          <w:snapToGrid w:val="0"/>
          <w:color w:val="auto"/>
          <w:spacing w:val="-2"/>
          <w:kern w:val="0"/>
          <w:sz w:val="24"/>
          <w:szCs w:val="24"/>
          <w:lang w:eastAsia="en-US"/>
        </w:rPr>
        <w:t>）应急硬件设施配备</w:t>
      </w:r>
    </w:p>
    <w:p w14:paraId="0E41261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8" w:firstLineChars="200"/>
        <w:jc w:val="left"/>
        <w:textAlignment w:val="baseline"/>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eastAsia="宋体" w:cs="Times New Roman"/>
          <w:snapToGrid w:val="0"/>
          <w:color w:val="auto"/>
          <w:spacing w:val="2"/>
          <w:kern w:val="0"/>
          <w:sz w:val="24"/>
          <w:szCs w:val="24"/>
          <w:lang w:eastAsia="en-US"/>
        </w:rPr>
        <w:t>确保发生突发事故可以得到及时处置，本项目公路管理部门应准备必要</w:t>
      </w:r>
      <w:r>
        <w:rPr>
          <w:rFonts w:hint="default" w:ascii="Times New Roman" w:hAnsi="Times New Roman" w:eastAsia="宋体" w:cs="Times New Roman"/>
          <w:snapToGrid w:val="0"/>
          <w:color w:val="auto"/>
          <w:spacing w:val="1"/>
          <w:kern w:val="0"/>
          <w:sz w:val="24"/>
          <w:szCs w:val="24"/>
          <w:lang w:eastAsia="en-US"/>
        </w:rPr>
        <w:t>的硬件设</w:t>
      </w:r>
      <w:r>
        <w:rPr>
          <w:rFonts w:hint="default" w:ascii="Times New Roman" w:hAnsi="Times New Roman" w:eastAsia="宋体" w:cs="Times New Roman"/>
          <w:snapToGrid w:val="0"/>
          <w:color w:val="auto"/>
          <w:spacing w:val="2"/>
          <w:kern w:val="0"/>
          <w:sz w:val="24"/>
          <w:szCs w:val="24"/>
          <w:lang w:eastAsia="en-US"/>
        </w:rPr>
        <w:t>施设备。公路管理部门应配备事故应急车，以便于危险品运输事故发</w:t>
      </w:r>
      <w:r>
        <w:rPr>
          <w:rFonts w:hint="default" w:ascii="Times New Roman" w:hAnsi="Times New Roman" w:eastAsia="宋体" w:cs="Times New Roman"/>
          <w:snapToGrid w:val="0"/>
          <w:color w:val="auto"/>
          <w:spacing w:val="1"/>
          <w:kern w:val="0"/>
          <w:sz w:val="24"/>
          <w:szCs w:val="24"/>
          <w:lang w:eastAsia="en-US"/>
        </w:rPr>
        <w:t>生后，尽快赶到</w:t>
      </w:r>
      <w:r>
        <w:rPr>
          <w:rFonts w:hint="default" w:ascii="Times New Roman" w:hAnsi="Times New Roman" w:eastAsia="宋体" w:cs="Times New Roman"/>
          <w:snapToGrid w:val="0"/>
          <w:color w:val="auto"/>
          <w:spacing w:val="2"/>
          <w:kern w:val="0"/>
          <w:sz w:val="24"/>
          <w:szCs w:val="24"/>
          <w:lang w:eastAsia="en-US"/>
        </w:rPr>
        <w:t>现场进行处理。安装事故报警电话，以便于管理部门在第一时间了解</w:t>
      </w:r>
      <w:r>
        <w:rPr>
          <w:rFonts w:hint="default" w:ascii="Times New Roman" w:hAnsi="Times New Roman" w:eastAsia="宋体" w:cs="Times New Roman"/>
          <w:snapToGrid w:val="0"/>
          <w:color w:val="auto"/>
          <w:spacing w:val="1"/>
          <w:kern w:val="0"/>
          <w:sz w:val="24"/>
          <w:szCs w:val="24"/>
          <w:lang w:eastAsia="en-US"/>
        </w:rPr>
        <w:t>事态严重程度，</w:t>
      </w:r>
      <w:r>
        <w:rPr>
          <w:rFonts w:hint="default" w:ascii="Times New Roman" w:hAnsi="Times New Roman" w:eastAsia="宋体" w:cs="Times New Roman"/>
          <w:snapToGrid w:val="0"/>
          <w:color w:val="auto"/>
          <w:spacing w:val="2"/>
          <w:kern w:val="0"/>
          <w:sz w:val="24"/>
          <w:szCs w:val="24"/>
          <w:lang w:eastAsia="en-US"/>
        </w:rPr>
        <w:t>并及时与所在市、县公安、消防和生态环境部门取得联系以便采取</w:t>
      </w:r>
      <w:r>
        <w:rPr>
          <w:rFonts w:hint="default" w:ascii="Times New Roman" w:hAnsi="Times New Roman" w:eastAsia="宋体" w:cs="Times New Roman"/>
          <w:snapToGrid w:val="0"/>
          <w:color w:val="auto"/>
          <w:spacing w:val="1"/>
          <w:kern w:val="0"/>
          <w:sz w:val="24"/>
          <w:szCs w:val="24"/>
          <w:lang w:eastAsia="en-US"/>
        </w:rPr>
        <w:t>紧急措施，</w:t>
      </w:r>
      <w:r>
        <w:rPr>
          <w:rFonts w:hint="default" w:ascii="Times New Roman" w:hAnsi="Times New Roman" w:eastAsia="宋体" w:cs="Times New Roman"/>
          <w:snapToGrid w:val="0"/>
          <w:color w:val="auto"/>
          <w:spacing w:val="-1"/>
          <w:kern w:val="0"/>
          <w:sz w:val="24"/>
          <w:szCs w:val="24"/>
          <w:lang w:eastAsia="en-US"/>
        </w:rPr>
        <w:t>防止污染事态扩大。</w:t>
      </w:r>
    </w:p>
    <w:p w14:paraId="5FBD84E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left"/>
        <w:textAlignment w:val="baseline"/>
        <w:rPr>
          <w:rFonts w:hint="default" w:ascii="Times New Roman" w:hAnsi="Times New Roman" w:eastAsia="宋体" w:cs="Times New Roman"/>
          <w:snapToGrid w:val="0"/>
          <w:color w:val="auto"/>
          <w:kern w:val="0"/>
          <w:sz w:val="24"/>
          <w:szCs w:val="24"/>
          <w:lang w:eastAsia="en-US"/>
        </w:rPr>
      </w:pPr>
      <w:r>
        <w:rPr>
          <w:rFonts w:hint="eastAsia" w:eastAsia="宋体" w:cs="Times New Roman"/>
          <w:snapToGrid w:val="0"/>
          <w:color w:val="auto"/>
          <w:spacing w:val="-2"/>
          <w:kern w:val="0"/>
          <w:sz w:val="24"/>
          <w:szCs w:val="24"/>
          <w:lang w:val="en-US" w:eastAsia="zh-CN"/>
        </w:rPr>
        <w:t>8</w:t>
      </w:r>
      <w:r>
        <w:rPr>
          <w:rFonts w:hint="default" w:ascii="Times New Roman" w:hAnsi="Times New Roman" w:eastAsia="宋体" w:cs="Times New Roman"/>
          <w:snapToGrid w:val="0"/>
          <w:color w:val="auto"/>
          <w:spacing w:val="-2"/>
          <w:kern w:val="0"/>
          <w:sz w:val="24"/>
          <w:szCs w:val="24"/>
          <w:lang w:eastAsia="en-US"/>
        </w:rPr>
        <w:t>）由项目管理公司的应急管理部门、生态环境部门、路政部门、监控中心成立</w:t>
      </w:r>
      <w:r>
        <w:rPr>
          <w:rFonts w:hint="default" w:ascii="Times New Roman" w:hAnsi="Times New Roman" w:eastAsia="宋体" w:cs="Times New Roman"/>
          <w:snapToGrid w:val="0"/>
          <w:color w:val="auto"/>
          <w:spacing w:val="-1"/>
          <w:kern w:val="0"/>
          <w:sz w:val="24"/>
          <w:szCs w:val="24"/>
          <w:lang w:eastAsia="en-US"/>
        </w:rPr>
        <w:t>事故应急小组，并编制应急计划。</w:t>
      </w:r>
    </w:p>
    <w:p w14:paraId="498A3420">
      <w:pPr>
        <w:bidi w:val="0"/>
        <w:rPr>
          <w:rFonts w:hint="default" w:ascii="Times New Roman" w:hAnsi="Times New Roman" w:cs="Times New Roman"/>
          <w:color w:val="auto"/>
          <w:lang w:eastAsia="en-US"/>
        </w:rPr>
      </w:pPr>
      <w:r>
        <w:rPr>
          <w:rFonts w:hint="default" w:ascii="Times New Roman" w:hAnsi="Times New Roman" w:cs="Times New Roman"/>
          <w:color w:val="auto"/>
          <w:lang w:val="en-US" w:eastAsia="zh-CN"/>
        </w:rPr>
        <w:t>（2）</w:t>
      </w:r>
      <w:r>
        <w:rPr>
          <w:rFonts w:hint="default" w:ascii="Times New Roman" w:hAnsi="Times New Roman" w:cs="Times New Roman"/>
          <w:color w:val="auto"/>
          <w:lang w:eastAsia="en-US"/>
        </w:rPr>
        <w:t>工程防范措施</w:t>
      </w:r>
    </w:p>
    <w:p w14:paraId="6DE4CC7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left"/>
        <w:textAlignment w:val="baseline"/>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cs="Times New Roman"/>
          <w:snapToGrid w:val="0"/>
          <w:color w:val="auto"/>
          <w:spacing w:val="-1"/>
          <w:kern w:val="0"/>
          <w:sz w:val="24"/>
          <w:szCs w:val="24"/>
          <w:lang w:val="en-US" w:eastAsia="zh-CN"/>
        </w:rPr>
        <w:t>1）</w:t>
      </w:r>
      <w:r>
        <w:rPr>
          <w:rFonts w:hint="default" w:ascii="Times New Roman" w:hAnsi="Times New Roman" w:eastAsia="宋体" w:cs="Times New Roman"/>
          <w:snapToGrid w:val="0"/>
          <w:color w:val="auto"/>
          <w:spacing w:val="-1"/>
          <w:kern w:val="0"/>
          <w:sz w:val="24"/>
          <w:szCs w:val="24"/>
          <w:lang w:eastAsia="en-US"/>
        </w:rPr>
        <w:t>设置限速行驶标志以避免车速过快或超速行驶造成事故隐患；</w:t>
      </w:r>
    </w:p>
    <w:p w14:paraId="6ED9386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8" w:firstLineChars="200"/>
        <w:jc w:val="left"/>
        <w:textAlignment w:val="baseline"/>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cs="Times New Roman"/>
          <w:snapToGrid w:val="0"/>
          <w:color w:val="auto"/>
          <w:spacing w:val="2"/>
          <w:kern w:val="0"/>
          <w:sz w:val="24"/>
          <w:szCs w:val="24"/>
          <w:lang w:val="en-US" w:eastAsia="zh-CN"/>
        </w:rPr>
        <w:t>2）</w:t>
      </w:r>
      <w:r>
        <w:rPr>
          <w:rFonts w:hint="default" w:ascii="Times New Roman" w:hAnsi="Times New Roman" w:eastAsia="宋体" w:cs="Times New Roman"/>
          <w:snapToGrid w:val="0"/>
          <w:color w:val="auto"/>
          <w:spacing w:val="2"/>
          <w:kern w:val="0"/>
          <w:sz w:val="24"/>
          <w:szCs w:val="24"/>
          <w:lang w:eastAsia="en-US"/>
        </w:rPr>
        <w:t>安装事故报警电话，以便于一旦危险品运输事故发生后，</w:t>
      </w:r>
      <w:r>
        <w:rPr>
          <w:rFonts w:hint="eastAsia" w:cs="Times New Roman"/>
          <w:snapToGrid w:val="0"/>
          <w:color w:val="auto"/>
          <w:spacing w:val="2"/>
          <w:kern w:val="0"/>
          <w:sz w:val="24"/>
          <w:szCs w:val="24"/>
          <w:lang w:val="en-US" w:eastAsia="zh-CN"/>
        </w:rPr>
        <w:t>管理部门</w:t>
      </w:r>
      <w:r>
        <w:rPr>
          <w:rFonts w:hint="default" w:ascii="Times New Roman" w:hAnsi="Times New Roman" w:eastAsia="宋体" w:cs="Times New Roman"/>
          <w:snapToGrid w:val="0"/>
          <w:color w:val="auto"/>
          <w:spacing w:val="2"/>
          <w:kern w:val="0"/>
          <w:sz w:val="24"/>
          <w:szCs w:val="24"/>
          <w:lang w:eastAsia="en-US"/>
        </w:rPr>
        <w:t>能第一时间</w:t>
      </w:r>
      <w:r>
        <w:rPr>
          <w:rFonts w:hint="default" w:ascii="Times New Roman" w:hAnsi="Times New Roman" w:eastAsia="宋体" w:cs="Times New Roman"/>
          <w:snapToGrid w:val="0"/>
          <w:color w:val="auto"/>
          <w:spacing w:val="-3"/>
          <w:kern w:val="0"/>
          <w:sz w:val="24"/>
          <w:szCs w:val="24"/>
          <w:lang w:eastAsia="en-US"/>
        </w:rPr>
        <w:t>获得信息。</w:t>
      </w:r>
    </w:p>
    <w:p w14:paraId="3E6E51B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8" w:firstLineChars="200"/>
        <w:jc w:val="left"/>
        <w:textAlignment w:val="baseline"/>
        <w:rPr>
          <w:rFonts w:hint="default" w:ascii="Times New Roman" w:hAnsi="Times New Roman" w:eastAsia="宋体" w:cs="Times New Roman"/>
          <w:snapToGrid w:val="0"/>
          <w:color w:val="auto"/>
          <w:kern w:val="0"/>
          <w:sz w:val="24"/>
          <w:szCs w:val="24"/>
          <w:lang w:eastAsia="en-US"/>
        </w:rPr>
      </w:pPr>
      <w:r>
        <w:rPr>
          <w:rFonts w:hint="default" w:ascii="Times New Roman" w:hAnsi="Times New Roman" w:cs="Times New Roman"/>
          <w:snapToGrid w:val="0"/>
          <w:color w:val="auto"/>
          <w:spacing w:val="2"/>
          <w:kern w:val="0"/>
          <w:sz w:val="24"/>
          <w:szCs w:val="24"/>
          <w:lang w:val="en-US" w:eastAsia="zh-CN"/>
        </w:rPr>
        <w:t>3）</w:t>
      </w:r>
      <w:r>
        <w:rPr>
          <w:rFonts w:hint="default" w:ascii="Times New Roman" w:hAnsi="Times New Roman" w:eastAsia="宋体" w:cs="Times New Roman"/>
          <w:snapToGrid w:val="0"/>
          <w:color w:val="auto"/>
          <w:spacing w:val="2"/>
          <w:kern w:val="0"/>
          <w:sz w:val="24"/>
          <w:szCs w:val="24"/>
          <w:lang w:eastAsia="en-US"/>
        </w:rPr>
        <w:t>桥梁、上跨涵洞段应建设防撞护栏，按规范设计防撞等级，确保达到防止事故</w:t>
      </w:r>
      <w:r>
        <w:rPr>
          <w:rFonts w:hint="default" w:ascii="Times New Roman" w:hAnsi="Times New Roman" w:eastAsia="宋体" w:cs="Times New Roman"/>
          <w:snapToGrid w:val="0"/>
          <w:color w:val="auto"/>
          <w:spacing w:val="-1"/>
          <w:kern w:val="0"/>
          <w:sz w:val="24"/>
          <w:szCs w:val="24"/>
          <w:lang w:eastAsia="en-US"/>
        </w:rPr>
        <w:t>车辆坠落的强度要求。加强对防撞护栏的巡查、养护及加固。</w:t>
      </w:r>
    </w:p>
    <w:p w14:paraId="2FDC6F83">
      <w:pPr>
        <w:pStyle w:val="4"/>
        <w:bidi w:val="0"/>
        <w:rPr>
          <w:rFonts w:hint="default" w:ascii="Times New Roman" w:hAnsi="Times New Roman" w:eastAsia="黑体" w:cs="Times New Roman"/>
          <w:snapToGrid w:val="0"/>
          <w:color w:val="auto"/>
          <w:kern w:val="0"/>
          <w:szCs w:val="28"/>
          <w:lang w:eastAsia="en-US"/>
        </w:rPr>
      </w:pPr>
      <w:r>
        <w:rPr>
          <w:rFonts w:hint="default" w:ascii="Times New Roman" w:hAnsi="Times New Roman" w:cs="Times New Roman"/>
          <w:color w:val="auto"/>
          <w:lang w:val="en-US" w:eastAsia="zh-CN"/>
        </w:rPr>
        <w:t>5</w:t>
      </w:r>
      <w:r>
        <w:rPr>
          <w:rFonts w:hint="default" w:ascii="Times New Roman" w:hAnsi="Times New Roman" w:cs="Times New Roman"/>
          <w:color w:val="auto"/>
          <w:lang w:eastAsia="en-US"/>
        </w:rPr>
        <w:t>.6.</w:t>
      </w:r>
      <w:r>
        <w:rPr>
          <w:rFonts w:hint="eastAsia" w:cs="Times New Roman"/>
          <w:color w:val="auto"/>
          <w:lang w:val="en-US" w:eastAsia="zh-CN"/>
        </w:rPr>
        <w:t>5</w:t>
      </w:r>
      <w:r>
        <w:rPr>
          <w:rFonts w:hint="default" w:ascii="Times New Roman" w:hAnsi="Times New Roman" w:cs="Times New Roman"/>
          <w:color w:val="auto"/>
          <w:lang w:eastAsia="en-US"/>
        </w:rPr>
        <w:t xml:space="preserve"> 分析结论</w:t>
      </w:r>
    </w:p>
    <w:p w14:paraId="4EF74EDC">
      <w:pPr>
        <w:bidi w:val="0"/>
        <w:rPr>
          <w:rFonts w:hint="default" w:ascii="Times New Roman" w:hAnsi="Times New Roman" w:eastAsia="宋体" w:cs="Times New Roman"/>
          <w:snapToGrid w:val="0"/>
          <w:color w:val="auto"/>
          <w:kern w:val="0"/>
          <w:szCs w:val="24"/>
          <w:lang w:eastAsia="en-US"/>
        </w:rPr>
      </w:pPr>
      <w:r>
        <w:rPr>
          <w:rFonts w:hint="default" w:ascii="Times New Roman" w:hAnsi="Times New Roman" w:cs="Times New Roman"/>
          <w:color w:val="auto"/>
          <w:lang w:eastAsia="en-US"/>
        </w:rPr>
        <w:t>综上所述，本项目环境风险主要为易燃物质运输车辆引发火灾爆炸和危化品运输车辆</w:t>
      </w:r>
      <w:r>
        <w:rPr>
          <w:rFonts w:hint="eastAsia" w:cs="Times New Roman"/>
          <w:color w:val="auto"/>
          <w:lang w:eastAsia="zh-CN"/>
        </w:rPr>
        <w:t>泄漏</w:t>
      </w:r>
      <w:r>
        <w:rPr>
          <w:rFonts w:hint="default" w:ascii="Times New Roman" w:hAnsi="Times New Roman" w:cs="Times New Roman"/>
          <w:color w:val="auto"/>
          <w:lang w:eastAsia="en-US"/>
        </w:rPr>
        <w:t>对大气及水环境造成的影响，通过采取措施后能够有效降低风险事故发生的概率，同时也能将已发生事故影响范围控制在可控程度内，项目环境风险在环境可承受范围之内。本项目环境风险分析结果详见下表。</w:t>
      </w:r>
    </w:p>
    <w:p w14:paraId="7D4709DC">
      <w:pPr>
        <w:pStyle w:val="39"/>
        <w:bidi w:val="0"/>
        <w:rPr>
          <w:rFonts w:hint="default" w:ascii="Times New Roman" w:hAnsi="Times New Roman" w:eastAsia="宋体" w:cs="Times New Roman"/>
          <w:snapToGrid w:val="0"/>
          <w:color w:val="auto"/>
          <w:kern w:val="0"/>
          <w:szCs w:val="20"/>
          <w:lang w:eastAsia="en-US"/>
        </w:rPr>
      </w:pPr>
      <w:r>
        <w:rPr>
          <w:rFonts w:hint="default" w:ascii="Times New Roman" w:hAnsi="Times New Roman" w:cs="Times New Roman"/>
          <w:color w:val="auto"/>
          <w:lang w:eastAsia="en-US"/>
        </w:rPr>
        <w:t>表</w:t>
      </w:r>
      <w:r>
        <w:rPr>
          <w:rFonts w:hint="default" w:ascii="Times New Roman" w:hAnsi="Times New Roman" w:cs="Times New Roman"/>
          <w:color w:val="auto"/>
          <w:lang w:val="en-US" w:eastAsia="zh-CN"/>
        </w:rPr>
        <w:t>5</w:t>
      </w:r>
      <w:r>
        <w:rPr>
          <w:rFonts w:hint="default" w:ascii="Times New Roman" w:hAnsi="Times New Roman" w:cs="Times New Roman"/>
          <w:color w:val="auto"/>
          <w:lang w:eastAsia="en-US"/>
        </w:rPr>
        <w:t>.6-1    建设项目环境风险简单分析内容表</w:t>
      </w:r>
    </w:p>
    <w:tbl>
      <w:tblPr>
        <w:tblStyle w:val="125"/>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045"/>
        <w:gridCol w:w="900"/>
        <w:gridCol w:w="1196"/>
        <w:gridCol w:w="1036"/>
        <w:gridCol w:w="799"/>
        <w:gridCol w:w="245"/>
        <w:gridCol w:w="2115"/>
      </w:tblGrid>
      <w:tr w14:paraId="716EC3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227" w:type="pct"/>
            <w:tcBorders>
              <w:top w:val="single" w:color="000000" w:sz="10" w:space="0"/>
              <w:left w:val="single" w:color="000000" w:sz="10" w:space="0"/>
            </w:tcBorders>
            <w:noWrap w:val="0"/>
            <w:vAlign w:val="center"/>
          </w:tcPr>
          <w:p w14:paraId="33480736">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center"/>
              <w:textAlignment w:val="baseline"/>
              <w:rPr>
                <w:rFonts w:hint="default" w:ascii="Times New Roman" w:hAnsi="Times New Roman" w:cs="Times New Roman"/>
                <w:color w:val="auto"/>
                <w:sz w:val="21"/>
                <w:szCs w:val="21"/>
                <w:lang w:eastAsia="en-US"/>
              </w:rPr>
            </w:pPr>
            <w:r>
              <w:rPr>
                <w:rFonts w:hint="default" w:ascii="Times New Roman" w:hAnsi="Times New Roman" w:cs="Times New Roman"/>
                <w:color w:val="auto"/>
                <w:sz w:val="21"/>
                <w:szCs w:val="21"/>
                <w:lang w:eastAsia="en-US"/>
              </w:rPr>
              <w:t>建设项目名称</w:t>
            </w:r>
          </w:p>
        </w:tc>
        <w:tc>
          <w:tcPr>
            <w:tcW w:w="3772" w:type="pct"/>
            <w:gridSpan w:val="6"/>
            <w:tcBorders>
              <w:top w:val="single" w:color="000000" w:sz="10" w:space="0"/>
              <w:right w:val="single" w:color="000000" w:sz="10" w:space="0"/>
            </w:tcBorders>
            <w:noWrap w:val="0"/>
            <w:vAlign w:val="center"/>
          </w:tcPr>
          <w:p w14:paraId="02CC62F5">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center"/>
              <w:textAlignment w:val="baseline"/>
              <w:rPr>
                <w:rFonts w:hint="default" w:ascii="Times New Roman" w:hAnsi="Times New Roman" w:cs="Times New Roman"/>
                <w:color w:val="auto"/>
                <w:sz w:val="21"/>
                <w:szCs w:val="21"/>
                <w:lang w:eastAsia="en-US"/>
              </w:rPr>
            </w:pPr>
            <w:r>
              <w:rPr>
                <w:rFonts w:hint="default" w:ascii="Times New Roman" w:hAnsi="Times New Roman" w:cs="Times New Roman"/>
                <w:color w:val="auto"/>
                <w:sz w:val="21"/>
                <w:szCs w:val="21"/>
                <w:lang w:val="en-US" w:eastAsia="zh-CN"/>
              </w:rPr>
              <w:t>S227阿图什至喀什公路新建工程（隧道）</w:t>
            </w:r>
          </w:p>
        </w:tc>
      </w:tr>
      <w:tr w14:paraId="0D4EC4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227" w:type="pct"/>
            <w:tcBorders>
              <w:left w:val="single" w:color="000000" w:sz="10" w:space="0"/>
            </w:tcBorders>
            <w:noWrap w:val="0"/>
            <w:vAlign w:val="center"/>
          </w:tcPr>
          <w:p w14:paraId="10A079DE">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center"/>
              <w:textAlignment w:val="baseline"/>
              <w:rPr>
                <w:rFonts w:hint="default" w:ascii="Times New Roman" w:hAnsi="Times New Roman" w:cs="Times New Roman"/>
                <w:color w:val="auto"/>
                <w:sz w:val="21"/>
                <w:szCs w:val="21"/>
                <w:lang w:eastAsia="en-US"/>
              </w:rPr>
            </w:pPr>
            <w:r>
              <w:rPr>
                <w:rFonts w:hint="default" w:ascii="Times New Roman" w:hAnsi="Times New Roman" w:cs="Times New Roman"/>
                <w:color w:val="auto"/>
                <w:sz w:val="21"/>
                <w:szCs w:val="21"/>
                <w:lang w:eastAsia="en-US"/>
              </w:rPr>
              <w:t>建设地点</w:t>
            </w:r>
          </w:p>
        </w:tc>
        <w:tc>
          <w:tcPr>
            <w:tcW w:w="1257" w:type="pct"/>
            <w:gridSpan w:val="2"/>
            <w:noWrap w:val="0"/>
            <w:vAlign w:val="center"/>
          </w:tcPr>
          <w:p w14:paraId="63B4AACD">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center"/>
              <w:textAlignment w:val="baseline"/>
              <w:rPr>
                <w:rFonts w:hint="default" w:ascii="Times New Roman" w:hAnsi="Times New Roman" w:cs="Times New Roman"/>
                <w:color w:val="auto"/>
                <w:sz w:val="21"/>
                <w:szCs w:val="21"/>
                <w:lang w:eastAsia="en-US"/>
              </w:rPr>
            </w:pPr>
            <w:r>
              <w:rPr>
                <w:rFonts w:hint="default" w:ascii="Times New Roman" w:hAnsi="Times New Roman" w:cs="Times New Roman"/>
                <w:color w:val="auto"/>
                <w:sz w:val="21"/>
                <w:szCs w:val="21"/>
                <w:lang w:eastAsia="en-US"/>
              </w:rPr>
              <w:t>新疆维吾尔自治区</w:t>
            </w:r>
          </w:p>
        </w:tc>
        <w:tc>
          <w:tcPr>
            <w:tcW w:w="1247" w:type="pct"/>
            <w:gridSpan w:val="3"/>
            <w:noWrap w:val="0"/>
            <w:vAlign w:val="center"/>
          </w:tcPr>
          <w:p w14:paraId="0D7C25C9">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eastAsia="en-US"/>
              </w:rPr>
              <w:t>克孜勒苏柯尔克孜自 治州</w:t>
            </w:r>
            <w:r>
              <w:rPr>
                <w:rFonts w:hint="eastAsia" w:cs="Times New Roman"/>
                <w:color w:val="auto"/>
                <w:sz w:val="21"/>
                <w:szCs w:val="21"/>
                <w:lang w:eastAsia="zh-CN"/>
              </w:rPr>
              <w:t>、</w:t>
            </w:r>
            <w:r>
              <w:rPr>
                <w:rFonts w:hint="eastAsia" w:cs="Times New Roman"/>
                <w:color w:val="auto"/>
                <w:sz w:val="21"/>
                <w:szCs w:val="21"/>
                <w:lang w:val="en-US" w:eastAsia="zh-CN"/>
              </w:rPr>
              <w:t>喀什地区</w:t>
            </w:r>
          </w:p>
        </w:tc>
        <w:tc>
          <w:tcPr>
            <w:tcW w:w="1267" w:type="pct"/>
            <w:tcBorders>
              <w:right w:val="single" w:color="000000" w:sz="10" w:space="0"/>
            </w:tcBorders>
            <w:noWrap w:val="0"/>
            <w:vAlign w:val="center"/>
          </w:tcPr>
          <w:p w14:paraId="1167C460">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阿图什市</w:t>
            </w:r>
            <w:r>
              <w:rPr>
                <w:rFonts w:hint="eastAsia" w:cs="Times New Roman"/>
                <w:color w:val="auto"/>
                <w:sz w:val="21"/>
                <w:szCs w:val="21"/>
                <w:lang w:val="en-US" w:eastAsia="zh-CN"/>
              </w:rPr>
              <w:t>、喀什市</w:t>
            </w:r>
          </w:p>
        </w:tc>
      </w:tr>
      <w:tr w14:paraId="3D470A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227" w:type="pct"/>
            <w:tcBorders>
              <w:left w:val="single" w:color="000000" w:sz="10" w:space="0"/>
            </w:tcBorders>
            <w:noWrap w:val="0"/>
            <w:vAlign w:val="center"/>
          </w:tcPr>
          <w:p w14:paraId="2C0889FD">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center"/>
              <w:textAlignment w:val="baseline"/>
              <w:rPr>
                <w:rFonts w:hint="default" w:ascii="Times New Roman" w:hAnsi="Times New Roman" w:cs="Times New Roman"/>
                <w:color w:val="auto"/>
                <w:sz w:val="21"/>
                <w:szCs w:val="21"/>
                <w:lang w:eastAsia="en-US"/>
              </w:rPr>
            </w:pPr>
            <w:r>
              <w:rPr>
                <w:rFonts w:hint="default" w:ascii="Times New Roman" w:hAnsi="Times New Roman" w:cs="Times New Roman"/>
                <w:color w:val="auto"/>
                <w:sz w:val="21"/>
                <w:szCs w:val="21"/>
                <w:lang w:eastAsia="en-US"/>
              </w:rPr>
              <w:t>地理坐标</w:t>
            </w:r>
          </w:p>
        </w:tc>
        <w:tc>
          <w:tcPr>
            <w:tcW w:w="540" w:type="pct"/>
            <w:noWrap w:val="0"/>
            <w:vAlign w:val="center"/>
          </w:tcPr>
          <w:p w14:paraId="48C517B8">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center"/>
              <w:textAlignment w:val="baseline"/>
              <w:rPr>
                <w:rFonts w:hint="default" w:ascii="Times New Roman" w:hAnsi="Times New Roman" w:cs="Times New Roman"/>
                <w:color w:val="auto"/>
                <w:sz w:val="21"/>
                <w:szCs w:val="21"/>
                <w:lang w:eastAsia="en-US"/>
              </w:rPr>
            </w:pPr>
            <w:r>
              <w:rPr>
                <w:rFonts w:hint="default" w:ascii="Times New Roman" w:hAnsi="Times New Roman" w:cs="Times New Roman"/>
                <w:color w:val="auto"/>
                <w:sz w:val="21"/>
                <w:szCs w:val="21"/>
                <w:lang w:eastAsia="en-US"/>
              </w:rPr>
              <w:t>起点：</w:t>
            </w:r>
          </w:p>
        </w:tc>
        <w:tc>
          <w:tcPr>
            <w:tcW w:w="1338" w:type="pct"/>
            <w:gridSpan w:val="2"/>
            <w:noWrap w:val="0"/>
            <w:vAlign w:val="center"/>
          </w:tcPr>
          <w:p w14:paraId="1A774FCA">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center"/>
              <w:textAlignment w:val="baseline"/>
              <w:rPr>
                <w:rFonts w:hint="default" w:ascii="Times New Roman" w:hAnsi="Times New Roman" w:cs="Times New Roman"/>
                <w:color w:val="auto"/>
                <w:sz w:val="21"/>
                <w:szCs w:val="21"/>
                <w:lang w:eastAsia="en-US"/>
              </w:rPr>
            </w:pPr>
            <w:r>
              <w:rPr>
                <w:rFonts w:hint="default" w:ascii="Times New Roman" w:hAnsi="Times New Roman" w:cs="Times New Roman"/>
                <w:color w:val="auto"/>
                <w:sz w:val="21"/>
                <w:szCs w:val="21"/>
                <w:lang w:eastAsia="en-US"/>
              </w:rPr>
              <w:t>E76°4′50.216″，N39°37′33.767″</w:t>
            </w:r>
          </w:p>
        </w:tc>
        <w:tc>
          <w:tcPr>
            <w:tcW w:w="479" w:type="pct"/>
            <w:noWrap w:val="0"/>
            <w:vAlign w:val="center"/>
          </w:tcPr>
          <w:p w14:paraId="29FABEBB">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center"/>
              <w:textAlignment w:val="baseline"/>
              <w:rPr>
                <w:rFonts w:hint="default" w:ascii="Times New Roman" w:hAnsi="Times New Roman" w:cs="Times New Roman"/>
                <w:color w:val="auto"/>
                <w:sz w:val="21"/>
                <w:szCs w:val="21"/>
                <w:lang w:eastAsia="en-US"/>
              </w:rPr>
            </w:pPr>
            <w:r>
              <w:rPr>
                <w:rFonts w:hint="default" w:ascii="Times New Roman" w:hAnsi="Times New Roman" w:cs="Times New Roman"/>
                <w:color w:val="auto"/>
                <w:sz w:val="21"/>
                <w:szCs w:val="21"/>
                <w:lang w:eastAsia="en-US"/>
              </w:rPr>
              <w:t>终点：</w:t>
            </w:r>
          </w:p>
        </w:tc>
        <w:tc>
          <w:tcPr>
            <w:tcW w:w="1413" w:type="pct"/>
            <w:gridSpan w:val="2"/>
            <w:tcBorders>
              <w:right w:val="single" w:color="000000" w:sz="10" w:space="0"/>
            </w:tcBorders>
            <w:noWrap w:val="0"/>
            <w:vAlign w:val="center"/>
          </w:tcPr>
          <w:p w14:paraId="3CE69AC1">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center"/>
              <w:textAlignment w:val="baseline"/>
              <w:rPr>
                <w:rFonts w:hint="default" w:ascii="Times New Roman" w:hAnsi="Times New Roman" w:cs="Times New Roman"/>
                <w:color w:val="auto"/>
                <w:sz w:val="21"/>
                <w:szCs w:val="21"/>
                <w:lang w:eastAsia="en-US"/>
              </w:rPr>
            </w:pPr>
            <w:r>
              <w:rPr>
                <w:rFonts w:hint="default" w:ascii="Times New Roman" w:hAnsi="Times New Roman" w:cs="Times New Roman"/>
                <w:color w:val="auto"/>
                <w:sz w:val="21"/>
                <w:szCs w:val="21"/>
                <w:lang w:eastAsia="en-US"/>
              </w:rPr>
              <w:t>E76°4′11.052″，N38°35′4.535″</w:t>
            </w:r>
          </w:p>
        </w:tc>
      </w:tr>
      <w:tr w14:paraId="3A8FDD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227" w:type="pct"/>
            <w:tcBorders>
              <w:left w:val="single" w:color="000000" w:sz="10" w:space="0"/>
            </w:tcBorders>
            <w:noWrap w:val="0"/>
            <w:vAlign w:val="center"/>
          </w:tcPr>
          <w:p w14:paraId="57619FEC">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center"/>
              <w:textAlignment w:val="baseline"/>
              <w:rPr>
                <w:rFonts w:hint="default" w:ascii="Times New Roman" w:hAnsi="Times New Roman" w:cs="Times New Roman"/>
                <w:color w:val="auto"/>
                <w:sz w:val="21"/>
                <w:szCs w:val="21"/>
                <w:lang w:eastAsia="en-US"/>
              </w:rPr>
            </w:pPr>
            <w:r>
              <w:rPr>
                <w:rFonts w:hint="default" w:ascii="Times New Roman" w:hAnsi="Times New Roman" w:cs="Times New Roman"/>
                <w:color w:val="auto"/>
                <w:sz w:val="21"/>
                <w:szCs w:val="21"/>
                <w:lang w:eastAsia="en-US"/>
              </w:rPr>
              <w:t>主要危险物质及分布</w:t>
            </w:r>
          </w:p>
        </w:tc>
        <w:tc>
          <w:tcPr>
            <w:tcW w:w="3772" w:type="pct"/>
            <w:gridSpan w:val="6"/>
            <w:tcBorders>
              <w:right w:val="single" w:color="000000" w:sz="10" w:space="0"/>
            </w:tcBorders>
            <w:noWrap w:val="0"/>
            <w:vAlign w:val="center"/>
          </w:tcPr>
          <w:p w14:paraId="306D4918">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both"/>
              <w:textAlignment w:val="baseline"/>
              <w:rPr>
                <w:rFonts w:hint="default" w:ascii="Times New Roman" w:hAnsi="Times New Roman" w:cs="Times New Roman"/>
                <w:color w:val="auto"/>
                <w:sz w:val="21"/>
                <w:szCs w:val="21"/>
                <w:lang w:eastAsia="en-US"/>
              </w:rPr>
            </w:pPr>
            <w:r>
              <w:rPr>
                <w:rFonts w:hint="default" w:ascii="Times New Roman" w:hAnsi="Times New Roman" w:cs="Times New Roman"/>
                <w:color w:val="auto"/>
                <w:sz w:val="21"/>
                <w:szCs w:val="21"/>
                <w:lang w:eastAsia="en-US"/>
              </w:rPr>
              <w:t>生产、使用、储存过程中不涉及危险物质。主要危险物质为途经该路危险化学品运输车内化学品</w:t>
            </w:r>
            <w:r>
              <w:rPr>
                <w:rFonts w:hint="eastAsia" w:cs="Times New Roman"/>
                <w:color w:val="auto"/>
                <w:sz w:val="21"/>
                <w:szCs w:val="21"/>
                <w:lang w:eastAsia="zh-CN"/>
              </w:rPr>
              <w:t>泄漏</w:t>
            </w:r>
            <w:r>
              <w:rPr>
                <w:rFonts w:hint="default" w:ascii="Times New Roman" w:hAnsi="Times New Roman" w:cs="Times New Roman"/>
                <w:color w:val="auto"/>
                <w:sz w:val="21"/>
                <w:szCs w:val="21"/>
                <w:lang w:eastAsia="en-US"/>
              </w:rPr>
              <w:t>风险。</w:t>
            </w:r>
          </w:p>
        </w:tc>
      </w:tr>
      <w:tr w14:paraId="453FBD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227" w:type="pct"/>
            <w:tcBorders>
              <w:left w:val="single" w:color="000000" w:sz="10" w:space="0"/>
            </w:tcBorders>
            <w:noWrap w:val="0"/>
            <w:vAlign w:val="center"/>
          </w:tcPr>
          <w:p w14:paraId="764B844F">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center"/>
              <w:textAlignment w:val="baseline"/>
              <w:rPr>
                <w:rFonts w:hint="default" w:ascii="Times New Roman" w:hAnsi="Times New Roman" w:cs="Times New Roman"/>
                <w:color w:val="auto"/>
                <w:sz w:val="21"/>
                <w:szCs w:val="21"/>
                <w:lang w:eastAsia="en-US"/>
              </w:rPr>
            </w:pPr>
            <w:r>
              <w:rPr>
                <w:rFonts w:hint="default" w:ascii="Times New Roman" w:hAnsi="Times New Roman" w:cs="Times New Roman"/>
                <w:color w:val="auto"/>
                <w:sz w:val="21"/>
                <w:szCs w:val="21"/>
                <w:lang w:eastAsia="en-US"/>
              </w:rPr>
              <w:t>环境影响途径及危害后果（大气、地表水、地下水等）</w:t>
            </w:r>
          </w:p>
        </w:tc>
        <w:tc>
          <w:tcPr>
            <w:tcW w:w="3772" w:type="pct"/>
            <w:gridSpan w:val="6"/>
            <w:tcBorders>
              <w:right w:val="single" w:color="000000" w:sz="10" w:space="0"/>
            </w:tcBorders>
            <w:noWrap w:val="0"/>
            <w:vAlign w:val="center"/>
          </w:tcPr>
          <w:p w14:paraId="06063E07">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both"/>
              <w:textAlignment w:val="baseline"/>
              <w:rPr>
                <w:rFonts w:hint="default" w:ascii="Times New Roman" w:hAnsi="Times New Roman" w:cs="Times New Roman"/>
                <w:color w:val="auto"/>
                <w:sz w:val="21"/>
                <w:szCs w:val="21"/>
                <w:lang w:eastAsia="en-US"/>
              </w:rPr>
            </w:pPr>
            <w:r>
              <w:rPr>
                <w:rFonts w:hint="default" w:ascii="Times New Roman" w:hAnsi="Times New Roman" w:cs="Times New Roman"/>
                <w:color w:val="auto"/>
                <w:sz w:val="21"/>
                <w:szCs w:val="21"/>
                <w:lang w:eastAsia="en-US"/>
              </w:rPr>
              <w:t>1、对水环境影响分析</w:t>
            </w:r>
          </w:p>
          <w:p w14:paraId="2B39A765">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both"/>
              <w:textAlignment w:val="baseline"/>
              <w:rPr>
                <w:rFonts w:hint="default" w:ascii="Times New Roman" w:hAnsi="Times New Roman" w:cs="Times New Roman"/>
                <w:color w:val="auto"/>
                <w:sz w:val="21"/>
                <w:szCs w:val="21"/>
                <w:lang w:eastAsia="en-US"/>
              </w:rPr>
            </w:pPr>
            <w:r>
              <w:rPr>
                <w:rFonts w:hint="eastAsia" w:cs="Times New Roman"/>
                <w:color w:val="auto"/>
                <w:sz w:val="21"/>
                <w:szCs w:val="21"/>
                <w:lang w:val="en-US" w:eastAsia="zh-CN"/>
              </w:rPr>
              <w:t>本项目沿线不涉及地表水体</w:t>
            </w:r>
            <w:r>
              <w:rPr>
                <w:rFonts w:hint="default" w:ascii="Times New Roman" w:hAnsi="Times New Roman" w:cs="Times New Roman"/>
                <w:color w:val="auto"/>
                <w:sz w:val="21"/>
                <w:szCs w:val="21"/>
                <w:lang w:eastAsia="en-US"/>
              </w:rPr>
              <w:t>。</w:t>
            </w:r>
          </w:p>
          <w:p w14:paraId="794AE14A">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both"/>
              <w:textAlignment w:val="baseline"/>
              <w:rPr>
                <w:rFonts w:hint="default" w:ascii="Times New Roman" w:hAnsi="Times New Roman" w:cs="Times New Roman"/>
                <w:color w:val="auto"/>
                <w:sz w:val="21"/>
                <w:szCs w:val="21"/>
                <w:lang w:eastAsia="en-US"/>
              </w:rPr>
            </w:pPr>
            <w:r>
              <w:rPr>
                <w:rFonts w:hint="default" w:ascii="Times New Roman" w:hAnsi="Times New Roman" w:cs="Times New Roman"/>
                <w:color w:val="auto"/>
                <w:sz w:val="21"/>
                <w:szCs w:val="21"/>
                <w:lang w:eastAsia="en-US"/>
              </w:rPr>
              <w:t>2、对大气环境影响分析</w:t>
            </w:r>
          </w:p>
          <w:p w14:paraId="702C740D">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both"/>
              <w:textAlignment w:val="baseline"/>
              <w:rPr>
                <w:rFonts w:hint="default" w:ascii="Times New Roman" w:hAnsi="Times New Roman" w:cs="Times New Roman"/>
                <w:color w:val="auto"/>
                <w:sz w:val="21"/>
                <w:szCs w:val="21"/>
                <w:lang w:eastAsia="en-US"/>
              </w:rPr>
            </w:pPr>
            <w:r>
              <w:rPr>
                <w:rFonts w:hint="default" w:ascii="Times New Roman" w:hAnsi="Times New Roman" w:cs="Times New Roman"/>
                <w:color w:val="auto"/>
                <w:sz w:val="21"/>
                <w:szCs w:val="21"/>
                <w:lang w:eastAsia="en-US"/>
              </w:rPr>
              <w:t>在危险化学品的运输中，部分有毒有害物质具有易挥发性，一旦发生交通事故引起泄漏，就以气体形式扩散到大气环境中，将短时间内对附近区域 大气环境质量造成严重的污染影响，对工程附近区域的敏感目标人群健康和安全造成影响，特别是对下风向人群健康影响严重。因此为了尽量降低营运期公路交通运输风险，从工程、管理等多方面落实预防手段来降低该类事故的发生率，同时备有应急措施计划，做到预防和救援并重。</w:t>
            </w:r>
          </w:p>
          <w:p w14:paraId="5AE036FF">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both"/>
              <w:textAlignment w:val="baseline"/>
              <w:rPr>
                <w:rFonts w:hint="default" w:ascii="Times New Roman" w:hAnsi="Times New Roman" w:cs="Times New Roman"/>
                <w:color w:val="auto"/>
                <w:sz w:val="21"/>
                <w:szCs w:val="21"/>
                <w:lang w:eastAsia="en-US"/>
              </w:rPr>
            </w:pPr>
            <w:r>
              <w:rPr>
                <w:rFonts w:hint="default" w:ascii="Times New Roman" w:hAnsi="Times New Roman" w:cs="Times New Roman"/>
                <w:color w:val="auto"/>
                <w:sz w:val="21"/>
                <w:szCs w:val="21"/>
                <w:lang w:eastAsia="en-US"/>
              </w:rPr>
              <w:t>3、对土壤及地下水的影响</w:t>
            </w:r>
          </w:p>
          <w:p w14:paraId="115F2F3A">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both"/>
              <w:textAlignment w:val="baseline"/>
              <w:rPr>
                <w:rFonts w:hint="default" w:ascii="Times New Roman" w:hAnsi="Times New Roman" w:cs="Times New Roman"/>
                <w:color w:val="auto"/>
                <w:sz w:val="21"/>
                <w:szCs w:val="21"/>
                <w:lang w:eastAsia="en-US"/>
              </w:rPr>
            </w:pPr>
            <w:r>
              <w:rPr>
                <w:rFonts w:hint="default" w:ascii="Times New Roman" w:hAnsi="Times New Roman" w:cs="Times New Roman"/>
                <w:color w:val="auto"/>
                <w:sz w:val="21"/>
                <w:szCs w:val="21"/>
                <w:lang w:eastAsia="en-US"/>
              </w:rPr>
              <w:t>对土壤及地下水影响主要是由于危险化学品的运输过程中</w:t>
            </w:r>
            <w:r>
              <w:rPr>
                <w:rFonts w:hint="eastAsia" w:cs="Times New Roman"/>
                <w:color w:val="auto"/>
                <w:sz w:val="21"/>
                <w:szCs w:val="21"/>
                <w:lang w:eastAsia="zh-CN"/>
              </w:rPr>
              <w:t>泄漏</w:t>
            </w:r>
            <w:r>
              <w:rPr>
                <w:rFonts w:hint="default" w:ascii="Times New Roman" w:hAnsi="Times New Roman" w:cs="Times New Roman"/>
                <w:color w:val="auto"/>
                <w:sz w:val="21"/>
                <w:szCs w:val="21"/>
                <w:lang w:eastAsia="en-US"/>
              </w:rPr>
              <w:t>导致土壤吸收有毒有害物质进一步影响地下水水质。此类风险事故发生概率较低，在完善建设防撞护栏建设等措施情况下，该风险较小。</w:t>
            </w:r>
          </w:p>
        </w:tc>
      </w:tr>
      <w:tr w14:paraId="2B23A9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227" w:type="pct"/>
            <w:tcBorders>
              <w:left w:val="single" w:color="000000" w:sz="10" w:space="0"/>
              <w:bottom w:val="single" w:color="000000" w:sz="10" w:space="0"/>
            </w:tcBorders>
            <w:noWrap w:val="0"/>
            <w:vAlign w:val="center"/>
          </w:tcPr>
          <w:p w14:paraId="3A0BD611">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center"/>
              <w:textAlignment w:val="baseline"/>
              <w:rPr>
                <w:rFonts w:hint="default" w:ascii="Times New Roman" w:hAnsi="Times New Roman" w:cs="Times New Roman"/>
                <w:color w:val="auto"/>
                <w:sz w:val="21"/>
                <w:szCs w:val="21"/>
                <w:lang w:eastAsia="en-US"/>
              </w:rPr>
            </w:pPr>
            <w:r>
              <w:rPr>
                <w:rFonts w:hint="default" w:ascii="Times New Roman" w:hAnsi="Times New Roman" w:cs="Times New Roman"/>
                <w:color w:val="auto"/>
                <w:sz w:val="21"/>
                <w:szCs w:val="21"/>
                <w:lang w:eastAsia="en-US"/>
              </w:rPr>
              <w:t>风险防范措施要求</w:t>
            </w:r>
          </w:p>
        </w:tc>
        <w:tc>
          <w:tcPr>
            <w:tcW w:w="3772" w:type="pct"/>
            <w:gridSpan w:val="6"/>
            <w:tcBorders>
              <w:bottom w:val="single" w:color="000000" w:sz="10" w:space="0"/>
              <w:right w:val="single" w:color="000000" w:sz="10" w:space="0"/>
            </w:tcBorders>
            <w:noWrap w:val="0"/>
            <w:vAlign w:val="center"/>
          </w:tcPr>
          <w:p w14:paraId="5A54686D">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both"/>
              <w:textAlignment w:val="baseline"/>
              <w:rPr>
                <w:rFonts w:hint="default" w:ascii="Times New Roman" w:hAnsi="Times New Roman" w:cs="Times New Roman"/>
                <w:color w:val="auto"/>
                <w:sz w:val="21"/>
                <w:szCs w:val="21"/>
                <w:lang w:eastAsia="en-US"/>
              </w:rPr>
            </w:pPr>
            <w:r>
              <w:rPr>
                <w:rFonts w:hint="default" w:ascii="Times New Roman" w:hAnsi="Times New Roman" w:cs="Times New Roman"/>
                <w:color w:val="auto"/>
                <w:sz w:val="21"/>
                <w:szCs w:val="21"/>
                <w:lang w:eastAsia="en-US"/>
              </w:rPr>
              <w:t>危险化学品运输泄漏风险防范措施：</w:t>
            </w:r>
          </w:p>
          <w:p w14:paraId="22CB01E3">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both"/>
              <w:textAlignment w:val="baseline"/>
              <w:rPr>
                <w:rFonts w:hint="default" w:ascii="Times New Roman" w:hAnsi="Times New Roman" w:cs="Times New Roman"/>
                <w:color w:val="auto"/>
                <w:sz w:val="21"/>
                <w:szCs w:val="21"/>
                <w:lang w:eastAsia="en-US"/>
              </w:rPr>
            </w:pPr>
            <w:r>
              <w:rPr>
                <w:rFonts w:hint="default" w:ascii="Times New Roman" w:hAnsi="Times New Roman" w:cs="Times New Roman"/>
                <w:color w:val="auto"/>
                <w:sz w:val="21"/>
                <w:szCs w:val="21"/>
                <w:lang w:eastAsia="en-US"/>
              </w:rPr>
              <w:t>（1）在设计时强化对桥涵的护栏防撞设计，采用水泥加高、加固防护栏措施。</w:t>
            </w:r>
          </w:p>
          <w:p w14:paraId="77FE03EF">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both"/>
              <w:textAlignment w:val="baseline"/>
              <w:rPr>
                <w:rFonts w:hint="default" w:ascii="Times New Roman" w:hAnsi="Times New Roman" w:cs="Times New Roman"/>
                <w:color w:val="auto"/>
                <w:sz w:val="21"/>
                <w:szCs w:val="21"/>
                <w:lang w:eastAsia="en-US"/>
              </w:rPr>
            </w:pPr>
            <w:r>
              <w:rPr>
                <w:rFonts w:hint="default" w:ascii="Times New Roman" w:hAnsi="Times New Roman" w:cs="Times New Roman"/>
                <w:color w:val="auto"/>
                <w:sz w:val="21"/>
                <w:szCs w:val="21"/>
                <w:lang w:eastAsia="en-US"/>
              </w:rPr>
              <w:t>（</w:t>
            </w:r>
            <w:r>
              <w:rPr>
                <w:rFonts w:hint="eastAsia" w:cs="Times New Roman"/>
                <w:color w:val="auto"/>
                <w:sz w:val="21"/>
                <w:szCs w:val="21"/>
                <w:lang w:val="en-US" w:eastAsia="zh-CN"/>
              </w:rPr>
              <w:t>2</w:t>
            </w:r>
            <w:r>
              <w:rPr>
                <w:rFonts w:hint="default" w:ascii="Times New Roman" w:hAnsi="Times New Roman" w:cs="Times New Roman"/>
                <w:color w:val="auto"/>
                <w:sz w:val="21"/>
                <w:szCs w:val="21"/>
                <w:lang w:eastAsia="en-US"/>
              </w:rPr>
              <w:t>）设置限速警示标志和减速带；标出醒目的事故报警电话，一旦发生事故可尽快拨打报警电话。</w:t>
            </w:r>
          </w:p>
          <w:p w14:paraId="3554D9FD">
            <w:pPr>
              <w:pStyle w:val="38"/>
              <w:keepNext w:val="0"/>
              <w:keepLines w:val="0"/>
              <w:pageBreakBefore w:val="0"/>
              <w:widowControl w:val="0"/>
              <w:kinsoku/>
              <w:wordWrap/>
              <w:overflowPunct/>
              <w:topLinePunct w:val="0"/>
              <w:autoSpaceDE/>
              <w:autoSpaceDN/>
              <w:bidi w:val="0"/>
              <w:adjustRightInd w:val="0"/>
              <w:snapToGrid w:val="0"/>
              <w:spacing w:before="0" w:after="0"/>
              <w:ind w:left="0" w:leftChars="0" w:right="0" w:rightChars="0" w:firstLine="0" w:firstLineChars="0"/>
              <w:jc w:val="both"/>
              <w:textAlignment w:val="baseline"/>
              <w:rPr>
                <w:rFonts w:hint="default" w:ascii="Times New Roman" w:hAnsi="Times New Roman" w:cs="Times New Roman"/>
                <w:color w:val="auto"/>
                <w:sz w:val="21"/>
                <w:szCs w:val="21"/>
                <w:lang w:eastAsia="en-US"/>
              </w:rPr>
            </w:pPr>
            <w:r>
              <w:rPr>
                <w:rFonts w:hint="default" w:ascii="Times New Roman" w:hAnsi="Times New Roman" w:cs="Times New Roman"/>
                <w:color w:val="auto"/>
                <w:sz w:val="21"/>
                <w:szCs w:val="21"/>
                <w:lang w:eastAsia="en-US"/>
              </w:rPr>
              <w:t>（</w:t>
            </w:r>
            <w:r>
              <w:rPr>
                <w:rFonts w:hint="eastAsia" w:cs="Times New Roman"/>
                <w:color w:val="auto"/>
                <w:sz w:val="21"/>
                <w:szCs w:val="21"/>
                <w:lang w:val="en-US" w:eastAsia="zh-CN"/>
              </w:rPr>
              <w:t>3</w:t>
            </w:r>
            <w:r>
              <w:rPr>
                <w:rFonts w:hint="default" w:ascii="Times New Roman" w:hAnsi="Times New Roman" w:cs="Times New Roman"/>
                <w:color w:val="auto"/>
                <w:sz w:val="21"/>
                <w:szCs w:val="21"/>
                <w:lang w:eastAsia="en-US"/>
              </w:rPr>
              <w:t>）交通部门应与地方政府建立起高效的安全事故联动管理机制。在发生油料、危险化学品、有毒有害物品泄漏紧急情况下，交通部门应立即通知相关的应急领导小组；同时关闭该路段，启动公路的突发事件应急预案，进行泄漏处理。</w:t>
            </w:r>
          </w:p>
        </w:tc>
      </w:tr>
    </w:tbl>
    <w:p w14:paraId="6CCDB82F">
      <w:pPr>
        <w:pStyle w:val="3"/>
        <w:keepNext/>
        <w:keepLines/>
        <w:pageBreakBefore w:val="0"/>
        <w:widowControl w:val="0"/>
        <w:numPr>
          <w:ilvl w:val="1"/>
          <w:numId w:val="0"/>
        </w:numPr>
        <w:kinsoku/>
        <w:wordWrap/>
        <w:overflowPunct/>
        <w:topLinePunct w:val="0"/>
        <w:autoSpaceDE/>
        <w:autoSpaceDN/>
        <w:bidi w:val="0"/>
        <w:adjustRightInd w:val="0"/>
        <w:snapToGrid w:val="0"/>
        <w:spacing w:before="157" w:beforeLines="50"/>
        <w:textAlignment w:val="auto"/>
        <w:rPr>
          <w:rFonts w:hint="default" w:ascii="Times New Roman" w:hAnsi="Times New Roman" w:cs="Times New Roman"/>
          <w:color w:val="auto"/>
        </w:rPr>
      </w:pPr>
      <w:bookmarkStart w:id="1316" w:name="_Toc19472"/>
      <w:bookmarkStart w:id="1317" w:name="_Toc2186"/>
      <w:bookmarkStart w:id="1318" w:name="_Toc6899"/>
      <w:bookmarkStart w:id="1319" w:name="_Toc6730"/>
      <w:r>
        <w:rPr>
          <w:rFonts w:hint="default" w:ascii="Times New Roman" w:hAnsi="Times New Roman" w:cs="Times New Roman"/>
          <w:color w:val="auto"/>
        </w:rPr>
        <w:t>5.7 水土流失影响分析</w:t>
      </w:r>
      <w:bookmarkEnd w:id="1316"/>
      <w:bookmarkEnd w:id="1317"/>
      <w:bookmarkEnd w:id="1318"/>
      <w:bookmarkEnd w:id="1319"/>
    </w:p>
    <w:p w14:paraId="19ED2E9B">
      <w:pPr>
        <w:pStyle w:val="4"/>
        <w:bidi w:val="0"/>
        <w:rPr>
          <w:rFonts w:hint="default" w:ascii="Times New Roman" w:hAnsi="Times New Roman" w:cs="Times New Roman"/>
          <w:color w:val="auto"/>
          <w:lang w:val="de-DE" w:eastAsia="zh-CN"/>
        </w:rPr>
      </w:pPr>
      <w:r>
        <w:rPr>
          <w:rFonts w:hint="default" w:ascii="Times New Roman" w:hAnsi="Times New Roman" w:cs="Times New Roman"/>
          <w:color w:val="auto"/>
          <w:lang w:val="en-US" w:eastAsia="zh-CN"/>
        </w:rPr>
        <w:t xml:space="preserve">5.7.1 </w:t>
      </w:r>
      <w:r>
        <w:rPr>
          <w:rFonts w:hint="default" w:ascii="Times New Roman" w:hAnsi="Times New Roman" w:cs="Times New Roman"/>
          <w:color w:val="auto"/>
          <w:lang w:val="de-DE" w:eastAsia="zh-CN"/>
        </w:rPr>
        <w:t>项目区水土流失现状</w:t>
      </w:r>
    </w:p>
    <w:p w14:paraId="7D307A7A">
      <w:pPr>
        <w:widowControl w:val="0"/>
        <w:autoSpaceDE w:val="0"/>
        <w:autoSpaceDN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kern w:val="0"/>
          <w:sz w:val="24"/>
          <w:szCs w:val="20"/>
          <w:lang w:val="en-US" w:eastAsia="zh-CN" w:bidi="ar-SA"/>
        </w:rPr>
      </w:pPr>
      <w:r>
        <w:rPr>
          <w:rFonts w:hint="default" w:ascii="Times New Roman" w:hAnsi="Times New Roman" w:cs="Times New Roman" w:eastAsiaTheme="minorEastAsia"/>
          <w:color w:val="auto"/>
          <w:kern w:val="0"/>
          <w:sz w:val="24"/>
          <w:szCs w:val="20"/>
          <w:lang w:val="en-US" w:eastAsia="zh-CN" w:bidi="ar-SA"/>
        </w:rPr>
        <w:t>根据《全国水土保持规划国家级水土流失重点预防区和重点治理区复核划分成果》，项目建设区不属于国家级水土流失重点预防区。根据《关于印发新疆自治区级水土流失重点预防区和重点治理区复核划分成果的通知》（新水水保〔2019〕4 号），项目建设区属于</w:t>
      </w:r>
      <w:bookmarkStart w:id="1320" w:name="_Hlk131159290"/>
      <w:r>
        <w:rPr>
          <w:rFonts w:hint="default" w:ascii="Times New Roman" w:hAnsi="Times New Roman" w:cs="Times New Roman" w:eastAsiaTheme="minorEastAsia"/>
          <w:color w:val="auto"/>
          <w:kern w:val="0"/>
          <w:sz w:val="24"/>
          <w:szCs w:val="20"/>
          <w:lang w:val="en-US" w:eastAsia="zh-CN" w:bidi="ar-SA"/>
        </w:rPr>
        <w:t>II3</w:t>
      </w:r>
      <w:bookmarkEnd w:id="1320"/>
      <w:r>
        <w:rPr>
          <w:rFonts w:hint="default" w:ascii="Times New Roman" w:hAnsi="Times New Roman" w:cs="Times New Roman" w:eastAsiaTheme="minorEastAsia"/>
          <w:color w:val="auto"/>
          <w:kern w:val="0"/>
          <w:sz w:val="24"/>
          <w:szCs w:val="20"/>
          <w:lang w:val="en-US" w:eastAsia="zh-CN" w:bidi="ar-SA"/>
        </w:rPr>
        <w:t>塔里木河流域水土流失重点治理区。根据《土壤侵蚀分类分级标准》（SL190-2007）和《生产建设项目水土流失防治标准》（GB 50434-2018）的相关规定，确定项目属于北方风沙区。</w:t>
      </w:r>
    </w:p>
    <w:p w14:paraId="5494981F">
      <w:pPr>
        <w:widowControl w:val="0"/>
        <w:autoSpaceDE w:val="0"/>
        <w:autoSpaceDN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kern w:val="0"/>
          <w:sz w:val="24"/>
          <w:szCs w:val="20"/>
          <w:lang w:val="en-US" w:eastAsia="zh-CN" w:bidi="ar-SA"/>
        </w:rPr>
      </w:pPr>
      <w:r>
        <w:rPr>
          <w:rFonts w:hint="default" w:ascii="Times New Roman" w:hAnsi="Times New Roman" w:cs="Times New Roman" w:eastAsiaTheme="minorEastAsia"/>
          <w:color w:val="auto"/>
          <w:kern w:val="0"/>
          <w:sz w:val="24"/>
          <w:szCs w:val="20"/>
          <w:lang w:val="en-US" w:eastAsia="zh-CN" w:bidi="ar-SA"/>
        </w:rPr>
        <w:t>遵照《土壤侵蚀分类分级标准》（SL 190-2007），结合项目区水土流失调查现状，项目区为轻度风力侵蚀及水力侵蚀。项目区荒漠戈壁区原生地貌土壤侵蚀模数为1800t/km</w:t>
      </w:r>
      <w:r>
        <w:rPr>
          <w:rFonts w:hint="default" w:ascii="Times New Roman" w:hAnsi="Times New Roman" w:cs="Times New Roman" w:eastAsiaTheme="minorEastAsia"/>
          <w:color w:val="auto"/>
          <w:kern w:val="0"/>
          <w:sz w:val="24"/>
          <w:szCs w:val="20"/>
          <w:vertAlign w:val="superscript"/>
          <w:lang w:val="en-US" w:eastAsia="zh-CN" w:bidi="ar-SA"/>
        </w:rPr>
        <w:t>2</w:t>
      </w:r>
      <w:r>
        <w:rPr>
          <w:rFonts w:hint="default" w:ascii="Times New Roman" w:hAnsi="Times New Roman" w:cs="Times New Roman" w:eastAsiaTheme="minorEastAsia"/>
          <w:color w:val="auto"/>
          <w:kern w:val="0"/>
          <w:sz w:val="24"/>
          <w:szCs w:val="20"/>
          <w:lang w:val="en-US" w:eastAsia="zh-CN" w:bidi="ar-SA"/>
        </w:rPr>
        <w:t>·a，土壤容许流失量确定为1800t/km</w:t>
      </w:r>
      <w:r>
        <w:rPr>
          <w:rFonts w:hint="default" w:ascii="Times New Roman" w:hAnsi="Times New Roman" w:cs="Times New Roman" w:eastAsiaTheme="minorEastAsia"/>
          <w:color w:val="auto"/>
          <w:kern w:val="0"/>
          <w:sz w:val="24"/>
          <w:szCs w:val="20"/>
          <w:vertAlign w:val="superscript"/>
          <w:lang w:val="en-US" w:eastAsia="zh-CN" w:bidi="ar-SA"/>
        </w:rPr>
        <w:t>2</w:t>
      </w:r>
      <w:r>
        <w:rPr>
          <w:rFonts w:hint="default" w:ascii="Times New Roman" w:hAnsi="Times New Roman" w:cs="Times New Roman" w:eastAsiaTheme="minorEastAsia"/>
          <w:color w:val="auto"/>
          <w:kern w:val="0"/>
          <w:sz w:val="24"/>
          <w:szCs w:val="20"/>
          <w:lang w:val="en-US" w:eastAsia="zh-CN" w:bidi="ar-SA"/>
        </w:rPr>
        <w:t>·a。项目区山前冲洪积平原区原生地貌土壤侵蚀模数为2000t/km</w:t>
      </w:r>
      <w:r>
        <w:rPr>
          <w:rFonts w:hint="default" w:ascii="Times New Roman" w:hAnsi="Times New Roman" w:cs="Times New Roman" w:eastAsiaTheme="minorEastAsia"/>
          <w:color w:val="auto"/>
          <w:kern w:val="0"/>
          <w:sz w:val="24"/>
          <w:szCs w:val="20"/>
          <w:vertAlign w:val="superscript"/>
          <w:lang w:val="en-US" w:eastAsia="zh-CN" w:bidi="ar-SA"/>
        </w:rPr>
        <w:t>2</w:t>
      </w:r>
      <w:r>
        <w:rPr>
          <w:rFonts w:hint="default" w:ascii="Times New Roman" w:hAnsi="Times New Roman" w:cs="Times New Roman" w:eastAsiaTheme="minorEastAsia"/>
          <w:color w:val="auto"/>
          <w:kern w:val="0"/>
          <w:sz w:val="24"/>
          <w:szCs w:val="20"/>
          <w:lang w:val="en-US" w:eastAsia="zh-CN" w:bidi="ar-SA"/>
        </w:rPr>
        <w:t>·a，土壤容许流失量确定为2000t/km</w:t>
      </w:r>
      <w:r>
        <w:rPr>
          <w:rFonts w:hint="default" w:ascii="Times New Roman" w:hAnsi="Times New Roman" w:cs="Times New Roman" w:eastAsiaTheme="minorEastAsia"/>
          <w:color w:val="auto"/>
          <w:kern w:val="0"/>
          <w:sz w:val="24"/>
          <w:szCs w:val="20"/>
          <w:vertAlign w:val="superscript"/>
          <w:lang w:val="en-US" w:eastAsia="zh-CN" w:bidi="ar-SA"/>
        </w:rPr>
        <w:t>2</w:t>
      </w:r>
      <w:r>
        <w:rPr>
          <w:rFonts w:hint="default" w:ascii="Times New Roman" w:hAnsi="Times New Roman" w:cs="Times New Roman" w:eastAsiaTheme="minorEastAsia"/>
          <w:color w:val="auto"/>
          <w:kern w:val="0"/>
          <w:sz w:val="24"/>
          <w:szCs w:val="20"/>
          <w:lang w:val="en-US" w:eastAsia="zh-CN" w:bidi="ar-SA"/>
        </w:rPr>
        <w:t>·a。</w:t>
      </w:r>
    </w:p>
    <w:p w14:paraId="2D86A4E7">
      <w:pPr>
        <w:pStyle w:val="4"/>
        <w:bidi w:val="0"/>
        <w:rPr>
          <w:rFonts w:hint="default" w:ascii="Times New Roman" w:hAnsi="Times New Roman" w:cs="Times New Roman"/>
          <w:color w:val="auto"/>
          <w:lang w:val="de-DE" w:eastAsia="zh-CN"/>
        </w:rPr>
      </w:pPr>
      <w:r>
        <w:rPr>
          <w:rFonts w:hint="default" w:ascii="Times New Roman" w:hAnsi="Times New Roman" w:cs="Times New Roman"/>
          <w:color w:val="auto"/>
          <w:lang w:val="en-US" w:eastAsia="zh-CN"/>
        </w:rPr>
        <w:t xml:space="preserve">5.7.2 </w:t>
      </w:r>
      <w:r>
        <w:rPr>
          <w:rFonts w:hint="default" w:ascii="Times New Roman" w:hAnsi="Times New Roman" w:cs="Times New Roman"/>
          <w:color w:val="auto"/>
          <w:lang w:val="de-DE" w:eastAsia="zh-CN"/>
        </w:rPr>
        <w:t>水土流失影响因素分析</w:t>
      </w:r>
    </w:p>
    <w:p w14:paraId="5026B5BF">
      <w:pPr>
        <w:widowControl w:val="0"/>
        <w:autoSpaceDE w:val="0"/>
        <w:autoSpaceDN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kern w:val="0"/>
          <w:sz w:val="24"/>
          <w:szCs w:val="20"/>
          <w:lang w:val="en-US" w:eastAsia="zh-CN" w:bidi="ar-SA"/>
        </w:rPr>
      </w:pPr>
      <w:r>
        <w:rPr>
          <w:rFonts w:hint="default" w:ascii="Times New Roman" w:hAnsi="Times New Roman" w:cs="Times New Roman" w:eastAsiaTheme="minorEastAsia"/>
          <w:color w:val="auto"/>
          <w:kern w:val="0"/>
          <w:sz w:val="24"/>
          <w:szCs w:val="20"/>
          <w:lang w:val="en-US" w:eastAsia="zh-CN" w:bidi="ar-SA"/>
        </w:rPr>
        <w:t>项目区土壤侵蚀类型属风力、水力侵蚀，现状侵蚀强度以轻度风力侵蚀为主。气候、地质、地形地貌、植被状况等自然因素对水土流失具有一定影响，但人为活动是造成加速侵蚀的主要因素。</w:t>
      </w:r>
    </w:p>
    <w:p w14:paraId="2248D3AF">
      <w:pPr>
        <w:widowControl w:val="0"/>
        <w:autoSpaceDE w:val="0"/>
        <w:autoSpaceDN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kern w:val="0"/>
          <w:sz w:val="24"/>
          <w:szCs w:val="20"/>
          <w:lang w:val="en-US" w:eastAsia="zh-CN" w:bidi="ar-SA"/>
        </w:rPr>
      </w:pPr>
      <w:r>
        <w:rPr>
          <w:rFonts w:hint="default" w:ascii="Times New Roman" w:hAnsi="Times New Roman" w:cs="Times New Roman" w:eastAsiaTheme="minorEastAsia"/>
          <w:color w:val="auto"/>
          <w:kern w:val="0"/>
          <w:sz w:val="24"/>
          <w:szCs w:val="20"/>
          <w:lang w:val="en-US" w:eastAsia="zh-CN" w:bidi="ar-SA"/>
        </w:rPr>
        <w:t>项目施工中涉及路基挖填、桥涵基础开挖、取土和弃渣等工作，使其工作面的原生地貌和植被遭受破坏，地表裸露、结皮破坏，表土抗蚀能力减弱，在雨滴打击、风力侵蚀等外力的作用下易产生水土流失。</w:t>
      </w:r>
    </w:p>
    <w:p w14:paraId="43B73B33">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leftChars="0"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1</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路基填筑</w:t>
      </w:r>
    </w:p>
    <w:p w14:paraId="063A5B95">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leftChars="0"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路基的施工直接导致地表原始植被的丧失和土壤结构的破坏，使得土体松散、地表土壤的抗冲能力降低，导致水土流失加剧。路基填筑过程中，裸露的土质边坡在遇大风、大雨时，将产生较严重的水土流失。</w:t>
      </w:r>
    </w:p>
    <w:p w14:paraId="590D0C5B">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leftChars="0"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2</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取土（料）场、弃土（渣）场</w:t>
      </w:r>
    </w:p>
    <w:p w14:paraId="5C015CAA">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leftChars="0"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取土（料）场及弃土（渣）场在取土、弃渣过程中由于土体结构松散，且土方量大，若不及时采取防护措施，将是项目建设过程中的一个重要水土流失点。</w:t>
      </w:r>
    </w:p>
    <w:p w14:paraId="4B140038">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leftChars="0"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3</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施工工序</w:t>
      </w:r>
    </w:p>
    <w:p w14:paraId="7555560F">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leftChars="0"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水土保持工程施工时序安排对其防治效果影响很大，如临时占地施工完成后，应及时平整等。若施工时序安排不当，将不能有效预防施工中产生的水土流失。</w:t>
      </w:r>
    </w:p>
    <w:p w14:paraId="52B21FA6">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leftChars="0"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4</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其他临时占地</w:t>
      </w:r>
    </w:p>
    <w:p w14:paraId="336AD13C">
      <w:pPr>
        <w:widowControl w:val="0"/>
        <w:autoSpaceDE w:val="0"/>
        <w:autoSpaceDN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kern w:val="0"/>
          <w:sz w:val="24"/>
          <w:szCs w:val="20"/>
          <w:lang w:val="en-US" w:eastAsia="zh-CN" w:bidi="ar-SA"/>
        </w:rPr>
      </w:pPr>
      <w:r>
        <w:rPr>
          <w:rFonts w:hint="default" w:ascii="Times New Roman" w:hAnsi="Times New Roman" w:eastAsia="宋体" w:cs="Times New Roman"/>
          <w:b w:val="0"/>
          <w:bCs w:val="0"/>
          <w:color w:val="auto"/>
          <w:sz w:val="24"/>
          <w:szCs w:val="24"/>
        </w:rPr>
        <w:t>公路建设过程中，施工便道、预制场拌合站的修建等一些临时占地工程，将对占地范围内的植被和地表土壤造成一定程度的破坏，增加人为的水土流失发生。</w:t>
      </w:r>
    </w:p>
    <w:p w14:paraId="5BE9AE44">
      <w:pPr>
        <w:pStyle w:val="4"/>
        <w:bidi w:val="0"/>
        <w:rPr>
          <w:rFonts w:hint="default" w:ascii="Times New Roman" w:hAnsi="Times New Roman" w:cs="Times New Roman"/>
          <w:color w:val="auto"/>
          <w:lang w:val="de-DE" w:eastAsia="zh-CN"/>
        </w:rPr>
      </w:pPr>
      <w:r>
        <w:rPr>
          <w:rFonts w:hint="default" w:ascii="Times New Roman" w:hAnsi="Times New Roman" w:cs="Times New Roman"/>
          <w:color w:val="auto"/>
          <w:lang w:val="en-US" w:eastAsia="zh-CN"/>
        </w:rPr>
        <w:t xml:space="preserve">5.7.3 </w:t>
      </w:r>
      <w:r>
        <w:rPr>
          <w:rFonts w:hint="default" w:ascii="Times New Roman" w:hAnsi="Times New Roman" w:cs="Times New Roman"/>
          <w:color w:val="auto"/>
          <w:lang w:val="de-DE" w:eastAsia="zh-CN"/>
        </w:rPr>
        <w:t>水土流失重点防治区分析</w:t>
      </w:r>
    </w:p>
    <w:p w14:paraId="3AA0C69A">
      <w:pPr>
        <w:widowControl w:val="0"/>
        <w:autoSpaceDE w:val="0"/>
        <w:autoSpaceDN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kern w:val="0"/>
          <w:sz w:val="24"/>
          <w:szCs w:val="20"/>
          <w:lang w:val="en-US" w:eastAsia="zh-CN" w:bidi="ar-SA"/>
        </w:rPr>
      </w:pPr>
      <w:r>
        <w:rPr>
          <w:rFonts w:hint="default" w:ascii="Times New Roman" w:hAnsi="Times New Roman" w:cs="Times New Roman" w:eastAsiaTheme="minorEastAsia"/>
          <w:color w:val="auto"/>
          <w:kern w:val="0"/>
          <w:sz w:val="24"/>
          <w:szCs w:val="20"/>
          <w:lang w:val="en-US" w:eastAsia="zh-CN" w:bidi="ar-SA"/>
        </w:rPr>
        <w:t>本项目建设区主要地貌单元为山前冲洪积平原区及荒漠戈壁区，水土流失类型为轻度风力、微度水力侵蚀。工程建设过程中破坏地表植被和结皮，以及临时堆土堆置都产生了一定的水土流失。因此，做好工程建设过程中扰动区域的防护和恢复，是项目建设水土保持主要工作内容。</w:t>
      </w:r>
    </w:p>
    <w:p w14:paraId="714282CC">
      <w:pPr>
        <w:widowControl w:val="0"/>
        <w:autoSpaceDE w:val="0"/>
        <w:autoSpaceDN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kern w:val="0"/>
          <w:sz w:val="24"/>
          <w:szCs w:val="20"/>
          <w:lang w:val="en-US" w:eastAsia="zh-CN" w:bidi="ar-SA"/>
        </w:rPr>
      </w:pPr>
      <w:r>
        <w:rPr>
          <w:rFonts w:hint="default" w:ascii="Times New Roman" w:hAnsi="Times New Roman" w:cs="Times New Roman" w:eastAsiaTheme="minorEastAsia"/>
          <w:color w:val="auto"/>
          <w:kern w:val="0"/>
          <w:sz w:val="24"/>
          <w:szCs w:val="20"/>
          <w:lang w:val="en-US" w:eastAsia="zh-CN" w:bidi="ar-SA"/>
        </w:rPr>
        <w:t>（1）防治措施的意见</w:t>
      </w:r>
    </w:p>
    <w:p w14:paraId="34499507">
      <w:pPr>
        <w:widowControl w:val="0"/>
        <w:autoSpaceDE w:val="0"/>
        <w:autoSpaceDN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kern w:val="0"/>
          <w:sz w:val="24"/>
          <w:szCs w:val="20"/>
          <w:lang w:val="en-US" w:eastAsia="zh-CN" w:bidi="ar-SA"/>
        </w:rPr>
      </w:pPr>
      <w:r>
        <w:rPr>
          <w:rFonts w:hint="default" w:ascii="Times New Roman" w:hAnsi="Times New Roman" w:cs="Times New Roman" w:eastAsiaTheme="minorEastAsia"/>
          <w:color w:val="auto"/>
          <w:kern w:val="0"/>
          <w:sz w:val="24"/>
          <w:szCs w:val="20"/>
          <w:lang w:val="en-US" w:eastAsia="zh-CN" w:bidi="ar-SA"/>
        </w:rPr>
        <w:t>根据项目区水土流失类型进行综合分析，路基工程区和施工生产生活区是产生水土流失的重点地段，水土流失强度较大，由此确定，项目区水土流失的防治措施应以工程措施和临时防护措施为主，并与工程措施相结合进行防治。具体结合工程建设的布局、施工工艺，提出针对性地防治措施，减少施工过程中产生的水土流失量。</w:t>
      </w:r>
    </w:p>
    <w:p w14:paraId="6645C29D">
      <w:pPr>
        <w:widowControl w:val="0"/>
        <w:autoSpaceDE w:val="0"/>
        <w:autoSpaceDN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kern w:val="0"/>
          <w:sz w:val="24"/>
          <w:szCs w:val="20"/>
          <w:lang w:val="en-US" w:eastAsia="zh-CN" w:bidi="ar-SA"/>
        </w:rPr>
      </w:pPr>
      <w:r>
        <w:rPr>
          <w:rFonts w:hint="default" w:ascii="Times New Roman" w:hAnsi="Times New Roman" w:cs="Times New Roman" w:eastAsiaTheme="minorEastAsia"/>
          <w:color w:val="auto"/>
          <w:kern w:val="0"/>
          <w:sz w:val="24"/>
          <w:szCs w:val="20"/>
          <w:lang w:val="en-US" w:eastAsia="zh-CN" w:bidi="ar-SA"/>
        </w:rPr>
        <w:t>（2）合理安排施工进度</w:t>
      </w:r>
    </w:p>
    <w:p w14:paraId="36B88111">
      <w:pPr>
        <w:widowControl w:val="0"/>
        <w:autoSpaceDE w:val="0"/>
        <w:autoSpaceDN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kern w:val="0"/>
          <w:sz w:val="24"/>
          <w:szCs w:val="20"/>
          <w:lang w:val="en-US" w:eastAsia="zh-CN" w:bidi="ar-SA"/>
        </w:rPr>
      </w:pPr>
      <w:r>
        <w:rPr>
          <w:rFonts w:hint="default" w:ascii="Times New Roman" w:hAnsi="Times New Roman" w:cs="Times New Roman" w:eastAsiaTheme="minorEastAsia"/>
          <w:color w:val="auto"/>
          <w:kern w:val="0"/>
          <w:sz w:val="24"/>
          <w:szCs w:val="20"/>
          <w:lang w:val="en-US" w:eastAsia="zh-CN" w:bidi="ar-SA"/>
        </w:rPr>
        <w:t>路基工程区域土建施工及施工生产生活区施工是本工程水土流失量较大的时段，加</w:t>
      </w:r>
      <w:r>
        <w:rPr>
          <w:rFonts w:hint="eastAsia" w:cs="Times New Roman" w:eastAsiaTheme="minorEastAsia"/>
          <w:color w:val="auto"/>
          <w:kern w:val="0"/>
          <w:sz w:val="24"/>
          <w:szCs w:val="20"/>
          <w:lang w:val="en-US" w:eastAsia="zh-CN" w:bidi="ar-SA"/>
        </w:rPr>
        <w:t>强对</w:t>
      </w:r>
      <w:r>
        <w:rPr>
          <w:rFonts w:hint="default" w:ascii="Times New Roman" w:hAnsi="Times New Roman" w:cs="Times New Roman" w:eastAsiaTheme="minorEastAsia"/>
          <w:color w:val="auto"/>
          <w:kern w:val="0"/>
          <w:sz w:val="24"/>
          <w:szCs w:val="20"/>
          <w:lang w:val="en-US" w:eastAsia="zh-CN" w:bidi="ar-SA"/>
        </w:rPr>
        <w:t>主体工程施工进度的紧凑安排，尽量避免大风和暴雨天气施工，可以有效地缩短强度水土流失时段。根据线路工程路基施工特点，可考虑对路基施工结束后分别进行土地平整措施。</w:t>
      </w:r>
    </w:p>
    <w:p w14:paraId="54E6958B">
      <w:pPr>
        <w:widowControl w:val="0"/>
        <w:autoSpaceDE w:val="0"/>
        <w:autoSpaceDN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kern w:val="0"/>
          <w:sz w:val="24"/>
          <w:szCs w:val="20"/>
          <w:lang w:val="en-US" w:eastAsia="zh-CN" w:bidi="ar-SA"/>
        </w:rPr>
      </w:pPr>
      <w:r>
        <w:rPr>
          <w:rFonts w:hint="default" w:ascii="Times New Roman" w:hAnsi="Times New Roman" w:cs="Times New Roman" w:eastAsiaTheme="minorEastAsia"/>
          <w:color w:val="auto"/>
          <w:kern w:val="0"/>
          <w:sz w:val="24"/>
          <w:szCs w:val="20"/>
          <w:lang w:val="en-US" w:eastAsia="zh-CN" w:bidi="ar-SA"/>
        </w:rPr>
        <w:t>（3）水土保持监测</w:t>
      </w:r>
    </w:p>
    <w:p w14:paraId="2C6DBAE2">
      <w:pPr>
        <w:widowControl w:val="0"/>
        <w:autoSpaceDE w:val="0"/>
        <w:autoSpaceDN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kern w:val="0"/>
          <w:sz w:val="24"/>
          <w:szCs w:val="20"/>
          <w:lang w:val="en-US" w:eastAsia="zh-CN" w:bidi="ar-SA"/>
        </w:rPr>
      </w:pPr>
      <w:r>
        <w:rPr>
          <w:rFonts w:hint="default" w:ascii="Times New Roman" w:hAnsi="Times New Roman" w:cs="Times New Roman" w:eastAsiaTheme="minorEastAsia"/>
          <w:color w:val="auto"/>
          <w:kern w:val="0"/>
          <w:sz w:val="24"/>
          <w:szCs w:val="20"/>
          <w:lang w:val="en-US" w:eastAsia="zh-CN" w:bidi="ar-SA"/>
        </w:rPr>
        <w:t>在工程沿线选择有代表性点位，监测临时堆土土体变化情况、风蚀因子作用下土壤流失量以及林草覆盖率的观测。重点监测区域为路基工程区、施工生产生活区等部位，注重施工期检查。</w:t>
      </w:r>
    </w:p>
    <w:p w14:paraId="43857AAA">
      <w:pPr>
        <w:pStyle w:val="4"/>
        <w:bidi w:val="0"/>
        <w:rPr>
          <w:rFonts w:hint="default" w:ascii="Times New Roman" w:hAnsi="Times New Roman" w:cs="Times New Roman"/>
          <w:color w:val="auto"/>
          <w:lang w:val="de-DE" w:eastAsia="zh-CN"/>
        </w:rPr>
      </w:pPr>
      <w:r>
        <w:rPr>
          <w:rFonts w:hint="default" w:ascii="Times New Roman" w:hAnsi="Times New Roman" w:cs="Times New Roman"/>
          <w:color w:val="auto"/>
          <w:lang w:val="en-US" w:eastAsia="zh-CN"/>
        </w:rPr>
        <w:t xml:space="preserve">5.7.4 </w:t>
      </w:r>
      <w:r>
        <w:rPr>
          <w:rFonts w:hint="default" w:ascii="Times New Roman" w:hAnsi="Times New Roman" w:cs="Times New Roman"/>
          <w:color w:val="auto"/>
          <w:lang w:val="de-DE" w:eastAsia="zh-CN"/>
        </w:rPr>
        <w:t>水土保持措施</w:t>
      </w:r>
    </w:p>
    <w:p w14:paraId="4BD7D0F3">
      <w:pPr>
        <w:widowControl w:val="0"/>
        <w:autoSpaceDE w:val="0"/>
        <w:autoSpaceDN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kern w:val="0"/>
          <w:sz w:val="24"/>
          <w:szCs w:val="20"/>
          <w:lang w:val="en-US" w:eastAsia="zh-CN" w:bidi="ar-SA"/>
        </w:rPr>
      </w:pPr>
      <w:r>
        <w:rPr>
          <w:rFonts w:hint="default" w:ascii="Times New Roman" w:hAnsi="Times New Roman" w:cs="Times New Roman" w:eastAsiaTheme="minorEastAsia"/>
          <w:color w:val="auto"/>
          <w:kern w:val="0"/>
          <w:sz w:val="24"/>
          <w:szCs w:val="20"/>
          <w:lang w:val="en-US" w:eastAsia="zh-CN" w:bidi="ar-SA"/>
        </w:rPr>
        <w:t>（1）主体工程防护措施</w:t>
      </w:r>
    </w:p>
    <w:p w14:paraId="6C090D7D">
      <w:pPr>
        <w:widowControl w:val="0"/>
        <w:autoSpaceDE w:val="0"/>
        <w:autoSpaceDN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kern w:val="0"/>
          <w:sz w:val="24"/>
          <w:szCs w:val="20"/>
          <w:lang w:val="en-US" w:eastAsia="zh-CN" w:bidi="ar-SA"/>
        </w:rPr>
      </w:pPr>
      <w:r>
        <w:rPr>
          <w:rFonts w:hint="default" w:ascii="Times New Roman" w:hAnsi="Times New Roman" w:cs="Times New Roman" w:eastAsiaTheme="minorEastAsia"/>
          <w:color w:val="auto"/>
          <w:kern w:val="0"/>
          <w:sz w:val="24"/>
          <w:szCs w:val="20"/>
          <w:lang w:val="en-US" w:eastAsia="zh-CN" w:bidi="ar-SA"/>
        </w:rPr>
        <w:t>①路基：路堤两侧布设预制混凝土板边沟；施工期路线进行表土剥离、表土集中堆放采用防尘网苫盖防护，施工后期多余表土运至养</w:t>
      </w:r>
      <w:r>
        <w:rPr>
          <w:rFonts w:hint="eastAsia" w:cs="Times New Roman" w:eastAsiaTheme="minorEastAsia"/>
          <w:color w:val="auto"/>
          <w:kern w:val="0"/>
          <w:sz w:val="24"/>
          <w:szCs w:val="20"/>
          <w:lang w:val="en-US" w:eastAsia="zh-CN" w:bidi="ar-SA"/>
        </w:rPr>
        <w:t>站区</w:t>
      </w:r>
      <w:r>
        <w:rPr>
          <w:rFonts w:hint="default" w:ascii="Times New Roman" w:hAnsi="Times New Roman" w:cs="Times New Roman" w:eastAsiaTheme="minorEastAsia"/>
          <w:color w:val="auto"/>
          <w:kern w:val="0"/>
          <w:sz w:val="24"/>
          <w:szCs w:val="20"/>
          <w:lang w:val="en-US" w:eastAsia="zh-CN" w:bidi="ar-SA"/>
        </w:rPr>
        <w:t>回覆。施工前施工作业带两侧布置限制性彩旗严格施工范围；施工后期，在边沟内外侧回覆表土、进行土地整治后撒播草籽绿化；施工期间对施工区域及时洒水降尘。</w:t>
      </w:r>
    </w:p>
    <w:p w14:paraId="4821A289">
      <w:pPr>
        <w:widowControl w:val="0"/>
        <w:autoSpaceDE w:val="0"/>
        <w:autoSpaceDN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kern w:val="0"/>
          <w:sz w:val="24"/>
          <w:szCs w:val="20"/>
          <w:lang w:val="en-US" w:eastAsia="zh-CN" w:bidi="ar-SA"/>
        </w:rPr>
      </w:pPr>
      <w:r>
        <w:rPr>
          <w:rFonts w:hint="default" w:ascii="Times New Roman" w:hAnsi="Times New Roman" w:cs="Times New Roman" w:eastAsiaTheme="minorEastAsia"/>
          <w:color w:val="auto"/>
          <w:kern w:val="0"/>
          <w:sz w:val="24"/>
          <w:szCs w:val="20"/>
          <w:lang w:val="en-US" w:eastAsia="zh-CN" w:bidi="ar-SA"/>
        </w:rPr>
        <w:t>②桥涵：临时开挖弃渣采用防尘网苫盖，后期拉运至就近的弃渣场；施工结束后施工场地进行土地平整。</w:t>
      </w:r>
    </w:p>
    <w:p w14:paraId="5F3B3AE5">
      <w:pPr>
        <w:widowControl w:val="0"/>
        <w:autoSpaceDE w:val="0"/>
        <w:autoSpaceDN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kern w:val="0"/>
          <w:sz w:val="24"/>
          <w:szCs w:val="20"/>
          <w:lang w:val="en-US" w:eastAsia="zh-CN" w:bidi="ar-SA"/>
        </w:rPr>
      </w:pPr>
      <w:r>
        <w:rPr>
          <w:rFonts w:hint="default" w:ascii="Times New Roman" w:hAnsi="Times New Roman" w:cs="Times New Roman" w:eastAsiaTheme="minorEastAsia"/>
          <w:color w:val="auto"/>
          <w:kern w:val="0"/>
          <w:sz w:val="24"/>
          <w:szCs w:val="20"/>
          <w:lang w:val="en-US" w:eastAsia="zh-CN" w:bidi="ar-SA"/>
        </w:rPr>
        <w:t>（2）临时工程防护措施</w:t>
      </w:r>
    </w:p>
    <w:p w14:paraId="29249613">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leftChars="0"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①取、弃土场</w:t>
      </w:r>
    </w:p>
    <w:p w14:paraId="4BF002FA">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leftChars="0"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施工期进行地表土壤剥离，施工期间清表弃料拍实洒水，临时堆料防尘网苫盖；施工结束后进行弃料弃渣回填、砾石压盖、土地平整。</w:t>
      </w:r>
    </w:p>
    <w:p w14:paraId="1FD9A071">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leftChars="0"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②施工生产区</w:t>
      </w:r>
    </w:p>
    <w:p w14:paraId="50E702D5">
      <w:pPr>
        <w:widowControl w:val="0"/>
        <w:autoSpaceDE w:val="0"/>
        <w:autoSpaceDN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kern w:val="0"/>
          <w:sz w:val="24"/>
          <w:szCs w:val="20"/>
          <w:lang w:val="en-US" w:eastAsia="zh-CN" w:bidi="ar-SA"/>
        </w:rPr>
      </w:pPr>
      <w:r>
        <w:rPr>
          <w:rFonts w:hint="default" w:ascii="Times New Roman" w:hAnsi="Times New Roman" w:eastAsia="宋体" w:cs="Times New Roman"/>
          <w:b w:val="0"/>
          <w:bCs w:val="0"/>
          <w:color w:val="auto"/>
          <w:sz w:val="24"/>
          <w:szCs w:val="24"/>
        </w:rPr>
        <w:t>施工前剥离临建区域表层土，用于施工场地恢复地表覆盖土；施工期间对施工场地及时洒水降尘；施工结</w:t>
      </w:r>
      <w:r>
        <w:rPr>
          <w:rFonts w:hint="eastAsia" w:cs="Times New Roman"/>
          <w:b w:val="0"/>
          <w:bCs w:val="0"/>
          <w:color w:val="auto"/>
          <w:sz w:val="24"/>
          <w:szCs w:val="24"/>
          <w:lang w:eastAsia="zh-CN"/>
        </w:rPr>
        <w:t>束后</w:t>
      </w:r>
      <w:r>
        <w:rPr>
          <w:rFonts w:hint="default" w:ascii="Times New Roman" w:hAnsi="Times New Roman" w:eastAsia="宋体" w:cs="Times New Roman"/>
          <w:b w:val="0"/>
          <w:bCs w:val="0"/>
          <w:color w:val="auto"/>
          <w:sz w:val="24"/>
          <w:szCs w:val="24"/>
        </w:rPr>
        <w:t>进行土地平整。</w:t>
      </w:r>
    </w:p>
    <w:p w14:paraId="5CB09F65">
      <w:pPr>
        <w:pStyle w:val="4"/>
        <w:bidi w:val="0"/>
        <w:rPr>
          <w:rFonts w:hint="default" w:ascii="Times New Roman" w:hAnsi="Times New Roman" w:cs="Times New Roman"/>
          <w:color w:val="auto"/>
          <w:lang w:val="de-DE" w:eastAsia="zh-CN"/>
        </w:rPr>
      </w:pPr>
      <w:r>
        <w:rPr>
          <w:rFonts w:hint="default" w:ascii="Times New Roman" w:hAnsi="Times New Roman" w:cs="Times New Roman"/>
          <w:color w:val="auto"/>
          <w:lang w:val="en-US" w:eastAsia="zh-CN"/>
        </w:rPr>
        <w:t>5.7.</w:t>
      </w:r>
      <w:r>
        <w:rPr>
          <w:rFonts w:hint="eastAsia" w:cs="Times New Roman"/>
          <w:color w:val="auto"/>
          <w:lang w:val="en-US" w:eastAsia="zh-CN"/>
        </w:rPr>
        <w:t>5</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lang w:val="de-DE" w:eastAsia="zh-CN"/>
        </w:rPr>
        <w:t>水土保持费用</w:t>
      </w:r>
    </w:p>
    <w:p w14:paraId="2E98DF8E">
      <w:pPr>
        <w:bidi w:val="0"/>
        <w:rPr>
          <w:rFonts w:hint="default" w:ascii="Times New Roman" w:hAnsi="Times New Roman" w:cs="Times New Roman"/>
          <w:color w:val="auto"/>
        </w:rPr>
      </w:pPr>
      <w:r>
        <w:rPr>
          <w:rFonts w:hint="default" w:ascii="Times New Roman" w:hAnsi="Times New Roman" w:cs="Times New Roman" w:eastAsiaTheme="minorEastAsia"/>
          <w:color w:val="auto"/>
          <w:kern w:val="0"/>
          <w:sz w:val="24"/>
          <w:szCs w:val="20"/>
          <w:lang w:val="en-US" w:eastAsia="zh-CN" w:bidi="ar-SA"/>
        </w:rPr>
        <w:t>工程最终取土场的布设和水土保持费用以最终的设计文件为准，该项目水土保持方案报告书中将加以详细编制与说明。项目竣工环境保护验收也应以最终的实际情况进行。</w:t>
      </w:r>
    </w:p>
    <w:p w14:paraId="0C7A6E15">
      <w:pPr>
        <w:bidi w:val="0"/>
        <w:rPr>
          <w:rFonts w:hint="default" w:ascii="Times New Roman" w:hAnsi="Times New Roman" w:cs="Times New Roman"/>
          <w:color w:val="auto"/>
        </w:rPr>
      </w:pPr>
    </w:p>
    <w:p w14:paraId="707CF818">
      <w:pPr>
        <w:pStyle w:val="72"/>
        <w:pageBreakBefore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eastAsia="华文中宋" w:cs="Times New Roman"/>
          <w:color w:val="auto"/>
        </w:rPr>
      </w:pPr>
      <w:bookmarkStart w:id="1321" w:name="_Toc15468380"/>
    </w:p>
    <w:p w14:paraId="1B279C50">
      <w:pPr>
        <w:pStyle w:val="2"/>
        <w:tabs>
          <w:tab w:val="left" w:pos="2100"/>
          <w:tab w:val="center" w:pos="4170"/>
        </w:tabs>
        <w:spacing w:before="156" w:after="156" w:line="480" w:lineRule="exact"/>
        <w:rPr>
          <w:rFonts w:hint="default" w:ascii="Times New Roman" w:hAnsi="Times New Roman" w:eastAsia="华文中宋" w:cs="Times New Roman"/>
          <w:color w:val="auto"/>
          <w:lang w:val="en-US"/>
        </w:rPr>
        <w:sectPr>
          <w:headerReference r:id="rId10" w:type="default"/>
          <w:footerReference r:id="rId11" w:type="default"/>
          <w:pgSz w:w="11906" w:h="16838"/>
          <w:pgMar w:top="1440" w:right="1797" w:bottom="1440" w:left="1797" w:header="851" w:footer="1026" w:gutter="0"/>
          <w:pgBorders>
            <w:top w:val="none" w:sz="0" w:space="0"/>
            <w:left w:val="none" w:sz="0" w:space="0"/>
            <w:bottom w:val="none" w:sz="0" w:space="0"/>
            <w:right w:val="none" w:sz="0" w:space="0"/>
          </w:pgBorders>
          <w:pgNumType w:fmt="decimal"/>
          <w:cols w:space="720" w:num="1"/>
          <w:docGrid w:type="linesAndChars" w:linePitch="312" w:charSpace="0"/>
        </w:sectPr>
      </w:pPr>
    </w:p>
    <w:p w14:paraId="693A4D03">
      <w:pPr>
        <w:pStyle w:val="2"/>
        <w:bidi w:val="0"/>
        <w:rPr>
          <w:rFonts w:hint="default" w:ascii="Times New Roman" w:hAnsi="Times New Roman" w:cs="Times New Roman"/>
          <w:color w:val="auto"/>
        </w:rPr>
      </w:pPr>
      <w:bookmarkStart w:id="1322" w:name="_Toc355784227"/>
      <w:bookmarkStart w:id="1323" w:name="_Toc16027"/>
      <w:bookmarkStart w:id="1324" w:name="_Toc22116"/>
      <w:bookmarkStart w:id="1325" w:name="_Toc8487"/>
      <w:bookmarkStart w:id="1326" w:name="_Toc11390"/>
      <w:bookmarkStart w:id="1327" w:name="_Toc21469"/>
      <w:bookmarkStart w:id="1328" w:name="_Toc13647"/>
      <w:bookmarkStart w:id="1329" w:name="_Toc8251"/>
      <w:bookmarkStart w:id="1330" w:name="_Toc765"/>
      <w:bookmarkStart w:id="1331" w:name="_Toc22684"/>
      <w:bookmarkStart w:id="1332" w:name="_Toc30491"/>
      <w:bookmarkStart w:id="1333" w:name="_Toc22017"/>
      <w:bookmarkStart w:id="1334" w:name="_Toc16487"/>
      <w:bookmarkStart w:id="1335" w:name="_Toc1516"/>
      <w:bookmarkStart w:id="1336" w:name="_Toc365647357"/>
      <w:bookmarkStart w:id="1337" w:name="_Toc30065"/>
      <w:bookmarkStart w:id="1338" w:name="_Toc9800"/>
      <w:bookmarkStart w:id="1339" w:name="_Toc18616"/>
      <w:bookmarkStart w:id="1340" w:name="_Toc16184"/>
      <w:bookmarkStart w:id="1341" w:name="_Toc482529118"/>
      <w:bookmarkStart w:id="1342" w:name="_Toc22743"/>
      <w:bookmarkStart w:id="1343" w:name="_Toc31307"/>
      <w:bookmarkStart w:id="1344" w:name="_Toc25079"/>
      <w:bookmarkStart w:id="1345" w:name="_Toc32055"/>
      <w:bookmarkStart w:id="1346" w:name="_Toc2770"/>
      <w:bookmarkStart w:id="1347" w:name="_Toc9964"/>
      <w:bookmarkStart w:id="1348" w:name="_Toc26619"/>
      <w:bookmarkStart w:id="1349" w:name="_Toc2571"/>
      <w:bookmarkStart w:id="1350" w:name="_Toc12253"/>
      <w:bookmarkStart w:id="1351" w:name="_Toc31903"/>
      <w:bookmarkStart w:id="1352" w:name="_Toc1891"/>
      <w:bookmarkStart w:id="1353" w:name="_Toc10297"/>
      <w:bookmarkStart w:id="1354" w:name="_Toc8406"/>
      <w:bookmarkStart w:id="1355" w:name="_Toc6582"/>
      <w:bookmarkStart w:id="1356" w:name="_Toc7238"/>
      <w:bookmarkStart w:id="1357" w:name="_Toc27776"/>
      <w:bookmarkStart w:id="1358" w:name="_Toc3870"/>
      <w:bookmarkStart w:id="1359" w:name="_Toc5823"/>
      <w:bookmarkStart w:id="1360" w:name="_Toc15553"/>
      <w:bookmarkStart w:id="1361" w:name="_Toc27793"/>
      <w:bookmarkStart w:id="1362" w:name="_Toc23634"/>
      <w:bookmarkStart w:id="1363" w:name="_Toc21328"/>
      <w:bookmarkStart w:id="1364" w:name="_Toc11828"/>
      <w:bookmarkStart w:id="1365" w:name="_Toc26410"/>
      <w:bookmarkStart w:id="1366" w:name="_Toc7334"/>
      <w:bookmarkStart w:id="1367" w:name="_Toc27218"/>
      <w:bookmarkStart w:id="1368" w:name="_Toc8018"/>
      <w:bookmarkStart w:id="1369" w:name="_Toc13592"/>
      <w:bookmarkStart w:id="1370" w:name="_Toc1770"/>
      <w:bookmarkStart w:id="1371" w:name="_Toc22036"/>
      <w:bookmarkStart w:id="1372" w:name="_Toc9829"/>
      <w:bookmarkStart w:id="1373" w:name="_Toc10168"/>
      <w:bookmarkStart w:id="1374" w:name="_Toc16948"/>
      <w:bookmarkStart w:id="1375" w:name="_Toc30812"/>
      <w:bookmarkStart w:id="1376" w:name="_Toc28644"/>
      <w:bookmarkStart w:id="1377" w:name="_Toc20099"/>
      <w:bookmarkStart w:id="1378" w:name="_Toc4552"/>
      <w:bookmarkStart w:id="1379" w:name="_Toc6027"/>
      <w:bookmarkStart w:id="1380" w:name="_Toc4771"/>
      <w:bookmarkStart w:id="1381" w:name="_Toc13728"/>
      <w:bookmarkStart w:id="1382" w:name="_Toc13172"/>
      <w:bookmarkStart w:id="1383" w:name="_Toc1550"/>
      <w:bookmarkStart w:id="1384" w:name="_Toc1810"/>
      <w:bookmarkStart w:id="1385" w:name="_Toc22543"/>
      <w:bookmarkStart w:id="1386" w:name="_Toc20073"/>
      <w:bookmarkStart w:id="1387" w:name="_Toc489"/>
      <w:bookmarkStart w:id="1388" w:name="_Toc23738"/>
      <w:bookmarkStart w:id="1389" w:name="_Toc8049"/>
      <w:bookmarkStart w:id="1390" w:name="_Toc17210"/>
      <w:bookmarkStart w:id="1391" w:name="_Toc11227"/>
      <w:bookmarkStart w:id="1392" w:name="_Toc325"/>
      <w:bookmarkStart w:id="1393" w:name="_Toc3246"/>
      <w:bookmarkStart w:id="1394" w:name="_Toc19689"/>
      <w:bookmarkStart w:id="1395" w:name="_Toc32169"/>
      <w:bookmarkStart w:id="1396" w:name="_Toc27874"/>
      <w:r>
        <w:rPr>
          <w:rFonts w:hint="default" w:ascii="Times New Roman" w:hAnsi="Times New Roman" w:cs="Times New Roman"/>
          <w:color w:val="auto"/>
          <w:lang w:val="en-US" w:eastAsia="zh-CN"/>
        </w:rPr>
        <w:t>6 环境保护</w:t>
      </w:r>
      <w:r>
        <w:rPr>
          <w:rFonts w:hint="default" w:ascii="Times New Roman" w:hAnsi="Times New Roman" w:cs="Times New Roman"/>
          <w:color w:val="auto"/>
        </w:rPr>
        <w:t>措施及可行性分析</w:t>
      </w:r>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p>
    <w:p w14:paraId="3C2343AF">
      <w:pPr>
        <w:pStyle w:val="3"/>
        <w:pageBreakBefore w:val="0"/>
        <w:numPr>
          <w:ilvl w:val="1"/>
          <w:numId w:val="0"/>
        </w:numPr>
        <w:kinsoku/>
        <w:wordWrap/>
        <w:overflowPunct/>
        <w:topLinePunct w:val="0"/>
        <w:autoSpaceDE/>
        <w:autoSpaceDN/>
        <w:bidi w:val="0"/>
        <w:adjustRightInd w:val="0"/>
        <w:snapToGrid w:val="0"/>
        <w:spacing w:before="0" w:after="0"/>
        <w:textAlignment w:val="auto"/>
        <w:rPr>
          <w:rFonts w:hint="default" w:ascii="Times New Roman" w:hAnsi="Times New Roman" w:eastAsia="宋体" w:cs="Times New Roman"/>
          <w:color w:val="auto"/>
          <w:szCs w:val="30"/>
          <w:lang w:val="en-US" w:eastAsia="zh-CN"/>
        </w:rPr>
      </w:pPr>
      <w:bookmarkStart w:id="1397" w:name="_Toc13703"/>
      <w:bookmarkStart w:id="1398" w:name="_Toc13003"/>
      <w:bookmarkStart w:id="1399" w:name="_Toc14735"/>
      <w:bookmarkStart w:id="1400" w:name="_Toc20549"/>
      <w:bookmarkStart w:id="1401" w:name="_Toc27447"/>
      <w:bookmarkStart w:id="1402" w:name="_Toc5791"/>
      <w:bookmarkStart w:id="1403" w:name="_Toc19783"/>
      <w:bookmarkStart w:id="1404" w:name="_Toc729"/>
      <w:bookmarkStart w:id="1405" w:name="_Toc4984"/>
      <w:bookmarkStart w:id="1406" w:name="_Toc31140"/>
      <w:bookmarkStart w:id="1407" w:name="_Toc31890"/>
      <w:bookmarkStart w:id="1408" w:name="_Toc3688"/>
      <w:bookmarkStart w:id="1409" w:name="_Toc30692"/>
      <w:bookmarkStart w:id="1410" w:name="_Toc8428"/>
      <w:bookmarkStart w:id="1411" w:name="_Toc15015"/>
      <w:bookmarkStart w:id="1412" w:name="_Toc29497"/>
      <w:bookmarkStart w:id="1413" w:name="_Toc25878"/>
      <w:bookmarkStart w:id="1414" w:name="_Toc20020"/>
      <w:bookmarkStart w:id="1415" w:name="_Toc11865"/>
      <w:bookmarkStart w:id="1416" w:name="_Toc9316"/>
      <w:bookmarkStart w:id="1417" w:name="_Toc4682"/>
      <w:bookmarkStart w:id="1418" w:name="_Toc355784228"/>
      <w:bookmarkStart w:id="1419" w:name="_Toc29720"/>
      <w:bookmarkStart w:id="1420" w:name="_Toc26476"/>
      <w:bookmarkStart w:id="1421" w:name="_Toc18791"/>
      <w:bookmarkStart w:id="1422" w:name="_Toc707"/>
      <w:bookmarkStart w:id="1423" w:name="_Toc15670"/>
      <w:bookmarkStart w:id="1424" w:name="_Toc20024"/>
      <w:bookmarkStart w:id="1425" w:name="_Toc29529"/>
      <w:bookmarkStart w:id="1426" w:name="_Toc8686"/>
      <w:bookmarkStart w:id="1427" w:name="_Toc27250"/>
      <w:bookmarkStart w:id="1428" w:name="_Toc32062"/>
      <w:bookmarkStart w:id="1429" w:name="_Toc10248"/>
      <w:bookmarkStart w:id="1430" w:name="_Toc19140"/>
      <w:bookmarkStart w:id="1431" w:name="_Toc5480"/>
      <w:bookmarkStart w:id="1432" w:name="_Toc31647"/>
      <w:bookmarkStart w:id="1433" w:name="_Toc30344"/>
      <w:bookmarkStart w:id="1434" w:name="_Toc9747"/>
      <w:bookmarkStart w:id="1435" w:name="_Toc31331"/>
      <w:bookmarkStart w:id="1436" w:name="_Toc6770"/>
      <w:bookmarkStart w:id="1437" w:name="_Toc14706"/>
      <w:bookmarkStart w:id="1438" w:name="_Toc7934"/>
      <w:bookmarkStart w:id="1439" w:name="_Toc249506659"/>
      <w:bookmarkStart w:id="1440" w:name="_Toc365647358"/>
      <w:bookmarkStart w:id="1441" w:name="_Toc22666"/>
      <w:bookmarkStart w:id="1442" w:name="_Toc21117"/>
      <w:bookmarkStart w:id="1443" w:name="_Toc22891"/>
      <w:bookmarkStart w:id="1444" w:name="_Toc26742"/>
      <w:bookmarkStart w:id="1445" w:name="_Toc22306"/>
      <w:bookmarkStart w:id="1446" w:name="_Toc32168"/>
      <w:bookmarkStart w:id="1447" w:name="_Toc30858"/>
      <w:bookmarkStart w:id="1448" w:name="_Toc7345"/>
      <w:bookmarkStart w:id="1449" w:name="_Toc29608"/>
      <w:bookmarkStart w:id="1450" w:name="_Toc26127"/>
      <w:bookmarkStart w:id="1451" w:name="_Toc15343"/>
      <w:bookmarkStart w:id="1452" w:name="_Toc14769"/>
      <w:bookmarkStart w:id="1453" w:name="_Toc16526"/>
      <w:bookmarkStart w:id="1454" w:name="_Toc3849"/>
      <w:bookmarkStart w:id="1455" w:name="_Toc11018"/>
      <w:bookmarkStart w:id="1456" w:name="_Toc482529119"/>
      <w:bookmarkStart w:id="1457" w:name="_Toc2400"/>
      <w:bookmarkStart w:id="1458" w:name="_Toc6045"/>
      <w:bookmarkStart w:id="1459" w:name="_Toc17862"/>
      <w:bookmarkStart w:id="1460" w:name="_Toc29178"/>
      <w:bookmarkStart w:id="1461" w:name="_Toc16887"/>
      <w:bookmarkStart w:id="1462" w:name="_Toc10941"/>
      <w:bookmarkStart w:id="1463" w:name="_Toc968"/>
      <w:bookmarkStart w:id="1464" w:name="_Toc12445"/>
      <w:bookmarkStart w:id="1465" w:name="_Toc6359"/>
      <w:bookmarkStart w:id="1466" w:name="_Toc24902"/>
      <w:bookmarkStart w:id="1467" w:name="_Toc27390"/>
      <w:bookmarkStart w:id="1468" w:name="_Toc11245"/>
      <w:bookmarkStart w:id="1469" w:name="_Toc3226"/>
      <w:bookmarkStart w:id="1470" w:name="_Toc26306"/>
      <w:bookmarkStart w:id="1471" w:name="_Toc16383"/>
      <w:bookmarkStart w:id="1472" w:name="_Toc29397"/>
      <w:bookmarkStart w:id="1473" w:name="_Toc15989"/>
      <w:r>
        <w:rPr>
          <w:rFonts w:hint="default" w:ascii="Times New Roman" w:hAnsi="Times New Roman" w:cs="Times New Roman"/>
          <w:color w:val="auto"/>
          <w:lang w:val="en-US" w:eastAsia="zh-CN"/>
        </w:rPr>
        <w:t>6</w:t>
      </w:r>
      <w:r>
        <w:rPr>
          <w:rFonts w:hint="default" w:ascii="Times New Roman" w:hAnsi="Times New Roman" w:cs="Times New Roman"/>
          <w:color w:val="auto"/>
        </w:rPr>
        <w:t>.1</w:t>
      </w:r>
      <w:r>
        <w:rPr>
          <w:rFonts w:hint="default" w:ascii="Times New Roman" w:hAnsi="Times New Roman" w:cs="Times New Roman"/>
          <w:color w:val="auto"/>
          <w:lang w:val="en-US" w:eastAsia="zh-CN"/>
        </w:rPr>
        <w:t xml:space="preserve"> </w:t>
      </w:r>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r>
        <w:rPr>
          <w:rFonts w:hint="default" w:ascii="Times New Roman" w:hAnsi="Times New Roman" w:cs="Times New Roman"/>
          <w:color w:val="auto"/>
          <w:lang w:val="en-US" w:eastAsia="zh-CN"/>
        </w:rPr>
        <w:t>生态保护措施</w:t>
      </w:r>
      <w:bookmarkEnd w:id="1463"/>
      <w:bookmarkEnd w:id="1464"/>
      <w:bookmarkEnd w:id="1465"/>
      <w:bookmarkEnd w:id="1466"/>
      <w:bookmarkEnd w:id="1467"/>
      <w:bookmarkEnd w:id="1468"/>
      <w:bookmarkEnd w:id="1469"/>
      <w:bookmarkEnd w:id="1470"/>
      <w:bookmarkEnd w:id="1471"/>
      <w:bookmarkEnd w:id="1472"/>
      <w:bookmarkEnd w:id="1473"/>
    </w:p>
    <w:p w14:paraId="096FEE5E">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6.1.2 施工期生态影响减缓措施</w:t>
      </w:r>
    </w:p>
    <w:p w14:paraId="1462DD27">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6.1.2.1 土壤保护措施</w:t>
      </w:r>
    </w:p>
    <w:p w14:paraId="596000A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（1）严格限定施工的工作范围，严禁自行扩大施工用地范围。合理规划使用永久占地范围内的土地，减少临时占地，若临时征用土地，必须补报。</w:t>
      </w:r>
    </w:p>
    <w:p w14:paraId="49C8EF8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（2）严格按设计要求设置施工便道宽度，设立明显标志指明行车路线，运输车辆不得随意驶离便道，严格避免对土壤及植被的破坏和扰动。</w:t>
      </w:r>
    </w:p>
    <w:p w14:paraId="03A170B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（3）公路路堑地段应做好边坡防护措施，如设置挡土墙等，防止雨水冲刷引起水土流失。</w:t>
      </w:r>
    </w:p>
    <w:p w14:paraId="115A7D7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严格按照设计要求，对植被发育良好的取弃土场、施工生产生活区和施工便道等临时工程地段的表层土进行剥离，表层土集中堆存，用于施工后期施工迹地恢复表层覆土，施工结束后用于生态恢复。在戈壁荒漠路段布设的取弃土场、施工生产生活区，应该注意做好表层砾幕层的保护工作，施工完毕场地平整后，用砾幕层覆盖，与原地貌一致。</w:t>
      </w:r>
    </w:p>
    <w:p w14:paraId="6D9BD7F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（5）拟建公路占用一定量的</w:t>
      </w:r>
      <w:r>
        <w:rPr>
          <w:rFonts w:hint="eastAsia" w:cs="Times New Roman"/>
          <w:color w:val="auto"/>
          <w:kern w:val="0"/>
          <w:sz w:val="24"/>
          <w:szCs w:val="24"/>
          <w:lang w:val="en-US" w:eastAsia="zh-CN" w:bidi="ar"/>
        </w:rPr>
        <w:t>园地</w:t>
      </w:r>
      <w:r>
        <w:rPr>
          <w:rFonts w:hint="default" w:ascii="Times New Roman" w:hAnsi="Times New Roman" w:eastAsia="宋体" w:cs="Times New Roman"/>
          <w:color w:val="auto"/>
          <w:kern w:val="0"/>
          <w:sz w:val="24"/>
          <w:szCs w:val="24"/>
          <w:lang w:val="en-US" w:eastAsia="zh-CN" w:bidi="ar"/>
        </w:rPr>
        <w:t>，对这部分地类区域采取表土剥离，这部分土壤质地条件较好，应充分加以利用。根据土壤条件，确定占用耕地的区域表土剥离厚度平均为20.0cm，占</w:t>
      </w:r>
      <w:r>
        <w:rPr>
          <w:rFonts w:hint="default" w:ascii="Times New Roman" w:hAnsi="Times New Roman" w:eastAsia="宋体" w:cs="Times New Roman"/>
          <w:color w:val="auto"/>
          <w:kern w:val="0"/>
          <w:sz w:val="24"/>
          <w:szCs w:val="24"/>
          <w:highlight w:val="none"/>
          <w:lang w:val="en-US" w:eastAsia="zh-CN" w:bidi="ar"/>
        </w:rPr>
        <w:t>用草地</w:t>
      </w:r>
      <w:r>
        <w:rPr>
          <w:rFonts w:hint="default" w:ascii="Times New Roman" w:hAnsi="Times New Roman" w:eastAsia="宋体" w:cs="Times New Roman"/>
          <w:color w:val="auto"/>
          <w:kern w:val="0"/>
          <w:sz w:val="24"/>
          <w:szCs w:val="24"/>
          <w:lang w:val="en-US" w:eastAsia="zh-CN" w:bidi="ar"/>
        </w:rPr>
        <w:t>的区域表土剥离厚度平均为10.0cm。</w:t>
      </w:r>
    </w:p>
    <w:p w14:paraId="2E64951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施工过程中将其临时堆放在公路永久占地范围内，并进行防护。施工后期根据实际情况对立地条件较好的路基边坡和路基坡脚至征地界内的区域实施覆土，植物绿化措施。拟建公路在荒漠路段，布设的取弃土场、施工生产生活区，应该注意做好表层砾幕层的保护工作，使地表与周围景观相同。</w:t>
      </w:r>
    </w:p>
    <w:p w14:paraId="0423CAF6">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6.1.2.2 植物资源保护措施</w:t>
      </w:r>
    </w:p>
    <w:p w14:paraId="0BDCFE0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（1）拟建公路</w:t>
      </w:r>
      <w:r>
        <w:rPr>
          <w:rFonts w:hint="default" w:ascii="Times New Roman" w:hAnsi="Times New Roman" w:eastAsia="宋体" w:cs="Times New Roman"/>
          <w:color w:val="auto"/>
          <w:kern w:val="0"/>
          <w:sz w:val="24"/>
          <w:szCs w:val="24"/>
          <w:highlight w:val="none"/>
          <w:lang w:val="en-US" w:eastAsia="zh-CN" w:bidi="ar"/>
        </w:rPr>
        <w:t>为</w:t>
      </w:r>
      <w:r>
        <w:rPr>
          <w:rFonts w:hint="default" w:ascii="Times New Roman" w:hAnsi="Times New Roman" w:cs="Times New Roman"/>
          <w:color w:val="auto"/>
          <w:kern w:val="0"/>
          <w:sz w:val="24"/>
          <w:szCs w:val="24"/>
          <w:highlight w:val="none"/>
          <w:lang w:val="en-US" w:eastAsia="zh-CN" w:bidi="ar"/>
        </w:rPr>
        <w:t>克州</w:t>
      </w:r>
      <w:r>
        <w:rPr>
          <w:rFonts w:hint="default" w:ascii="Times New Roman" w:hAnsi="Times New Roman" w:eastAsia="宋体" w:cs="Times New Roman"/>
          <w:color w:val="auto"/>
          <w:kern w:val="0"/>
          <w:sz w:val="24"/>
          <w:szCs w:val="24"/>
          <w:lang w:val="en-US" w:eastAsia="zh-CN" w:bidi="ar"/>
        </w:rPr>
        <w:t>交通重点建设项目，</w:t>
      </w:r>
      <w:r>
        <w:rPr>
          <w:rFonts w:hint="default" w:ascii="Times New Roman" w:hAnsi="Times New Roman" w:cs="Times New Roman"/>
          <w:color w:val="auto"/>
          <w:kern w:val="0"/>
          <w:sz w:val="24"/>
          <w:szCs w:val="24"/>
          <w:lang w:val="en-US" w:eastAsia="zh-CN" w:bidi="ar"/>
        </w:rPr>
        <w:t>本项目不涉及</w:t>
      </w:r>
      <w:r>
        <w:rPr>
          <w:rFonts w:hint="default" w:ascii="Times New Roman" w:hAnsi="Times New Roman" w:eastAsia="宋体" w:cs="Times New Roman"/>
          <w:color w:val="auto"/>
          <w:kern w:val="0"/>
          <w:sz w:val="24"/>
          <w:szCs w:val="24"/>
          <w:lang w:val="en-US" w:eastAsia="zh-CN" w:bidi="ar"/>
        </w:rPr>
        <w:t>基本农田。</w:t>
      </w:r>
    </w:p>
    <w:p w14:paraId="2AC1FF3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（1）对施工临时设施的规划要进行严格的审查，减少农田、林地的占用。</w:t>
      </w:r>
    </w:p>
    <w:p w14:paraId="0E2FE89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（2）严格按照设计文件确定征占地范围，进行地表植被的清理工作；严格执行划界施工，禁止对征地范围之外的植被造成破坏；严格控制路基开挖，避免超挖破坏周围植被。</w:t>
      </w:r>
    </w:p>
    <w:p w14:paraId="7CCFBCD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路基施工和弃渣施工前，应将占用农用地的表土层（其中耕地约30cm厚，林地、草地约10cm厚，即土壤耕作层）剥离，并在临时用地范围内适当位置进行集中堆放，并采取临时拦挡和覆盖措施，防止雨淋造成养分流失，以便用于后期的绿化和土地复垦。</w:t>
      </w:r>
    </w:p>
    <w:p w14:paraId="70AC250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（4）凡因公路施工破坏植被而裸露的土地应在施工结束后立即整治利用，恢复植被或复耕。</w:t>
      </w:r>
    </w:p>
    <w:p w14:paraId="68B1577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w:t>
      </w:r>
      <w:r>
        <w:rPr>
          <w:rFonts w:hint="eastAsia" w:cs="Times New Roman"/>
          <w:color w:val="auto"/>
          <w:kern w:val="0"/>
          <w:sz w:val="24"/>
          <w:szCs w:val="24"/>
          <w:lang w:val="en-US" w:eastAsia="zh-CN" w:bidi="ar"/>
        </w:rPr>
        <w:t>5</w:t>
      </w:r>
      <w:r>
        <w:rPr>
          <w:rFonts w:hint="default" w:ascii="Times New Roman" w:hAnsi="Times New Roman" w:eastAsia="宋体" w:cs="Times New Roman"/>
          <w:color w:val="auto"/>
          <w:kern w:val="0"/>
          <w:sz w:val="24"/>
          <w:szCs w:val="24"/>
          <w:lang w:val="en-US" w:eastAsia="zh-CN" w:bidi="ar"/>
        </w:rPr>
        <w:t>）根据项目区自然条件，植被恢复时间宜在每年4-5月实施，植被恢复工作结束后即</w:t>
      </w:r>
      <w:r>
        <w:rPr>
          <w:rFonts w:hint="eastAsia" w:cs="Times New Roman"/>
          <w:color w:val="auto"/>
          <w:kern w:val="0"/>
          <w:sz w:val="24"/>
          <w:szCs w:val="24"/>
          <w:lang w:val="en-US" w:eastAsia="zh-CN" w:bidi="ar"/>
        </w:rPr>
        <w:t>迎来</w:t>
      </w:r>
      <w:r>
        <w:rPr>
          <w:rFonts w:hint="default" w:ascii="Times New Roman" w:hAnsi="Times New Roman" w:eastAsia="宋体" w:cs="Times New Roman"/>
          <w:color w:val="auto"/>
          <w:kern w:val="0"/>
          <w:sz w:val="24"/>
          <w:szCs w:val="24"/>
          <w:lang w:val="en-US" w:eastAsia="zh-CN" w:bidi="ar"/>
        </w:rPr>
        <w:t>第一个生长季，有利于栽种植株的成活，具体恢复措施应符合水保方案。</w:t>
      </w:r>
    </w:p>
    <w:p w14:paraId="0E90F34F">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6.1.2.3 对野生保护植物的保护措施</w:t>
      </w:r>
    </w:p>
    <w:p w14:paraId="1E9F92C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（1）划定明确的施工作业范围和行驶路线，严禁越界施工，缩小项目占地影响范围，避免对施工范围外的保护植物造成破坏。</w:t>
      </w:r>
    </w:p>
    <w:p w14:paraId="3A4D733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对于能够避让的保护植物应优先采取就地保护措施：周边设置警示牌并登记备案，显示该植株的特殊地位，警示在植株周边的施工活动务必小心谨慎，避免对植株枝叶、根系造成直接伤害；在植株周围设置防护围栏，禁止施工活动进入围栏保护区域，以保证植株周围的地表土壤不被开挖，植株根系不会受到施工破坏。加强施工降尘、废水收集等措施，以减缓或防止项目施工对其带来的影响。</w:t>
      </w:r>
    </w:p>
    <w:p w14:paraId="5189A4E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对占地区内受到直接侵占影响而无法避让的重点保护植物优先进行移栽保护，并制定移栽方案，采取异地移栽方式进行保护以减缓影响，移植完成后要加强养护工作，确保移植成活。对于无法移栽的按“占一补一”的原则进行异地补植，做到“占补平衡”。</w:t>
      </w:r>
    </w:p>
    <w:p w14:paraId="0BC104B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（4）加强对施工人员的野生保护植物的宣传教育，在工地及周边地区设立保护植物科普宣传牌（包括名称、照片、生物学习性及保护要求等）。</w:t>
      </w:r>
    </w:p>
    <w:p w14:paraId="207F18DC">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6.1.2.4 耕地保护措施</w:t>
      </w:r>
    </w:p>
    <w:p w14:paraId="2C97062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highlight w:val="none"/>
          <w:lang w:val="en-US" w:eastAsia="zh-CN" w:bidi="ar"/>
        </w:rPr>
        <w:t>（1）办理耕地转</w:t>
      </w:r>
      <w:r>
        <w:rPr>
          <w:rFonts w:hint="default" w:ascii="Times New Roman" w:hAnsi="Times New Roman" w:eastAsia="宋体" w:cs="Times New Roman"/>
          <w:color w:val="auto"/>
          <w:kern w:val="0"/>
          <w:sz w:val="24"/>
          <w:szCs w:val="24"/>
          <w:lang w:val="en-US" w:eastAsia="zh-CN" w:bidi="ar"/>
        </w:rPr>
        <w:t>用审批手续</w:t>
      </w:r>
    </w:p>
    <w:p w14:paraId="4FD2577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国家实行基本农田保护制度，根据“中华人民共和国土地管理法”第四十四条、“基本农田保护条例”第十五条的规定，建设项目选址确实无法避开基本农田保护区，需要占用基本农田，涉及耕地转为建设用地的，必须经国务院批准，办理耕地转用审批手续。</w:t>
      </w:r>
      <w:r>
        <w:rPr>
          <w:rFonts w:hint="default" w:ascii="Times New Roman" w:hAnsi="Times New Roman" w:cs="Times New Roman"/>
          <w:color w:val="auto"/>
          <w:kern w:val="0"/>
          <w:sz w:val="24"/>
          <w:szCs w:val="24"/>
          <w:lang w:val="en-US" w:eastAsia="zh-CN" w:bidi="ar"/>
        </w:rPr>
        <w:t>本项目不占用基本农田</w:t>
      </w:r>
      <w:r>
        <w:rPr>
          <w:rFonts w:hint="default" w:ascii="Times New Roman" w:hAnsi="Times New Roman" w:eastAsia="宋体" w:cs="Times New Roman"/>
          <w:color w:val="auto"/>
          <w:kern w:val="0"/>
          <w:sz w:val="24"/>
          <w:szCs w:val="24"/>
          <w:lang w:val="en-US" w:eastAsia="zh-CN" w:bidi="ar"/>
        </w:rPr>
        <w:t>。</w:t>
      </w:r>
    </w:p>
    <w:p w14:paraId="48CEFB4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）采取工程措施减少用地</w:t>
      </w:r>
    </w:p>
    <w:p w14:paraId="63E1539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建议下一步设计中进一步优化线路方案和设计方案，采取收缩边坡降低路基的设计减少工程占地。</w:t>
      </w:r>
    </w:p>
    <w:p w14:paraId="01EC0A9C">
      <w:pPr>
        <w:keepNext w:val="0"/>
        <w:keepLines w:val="0"/>
        <w:widowControl/>
        <w:numPr>
          <w:ilvl w:val="0"/>
          <w:numId w:val="0"/>
        </w:numPr>
        <w:suppressLineNumbers w:val="0"/>
        <w:ind w:firstLine="480" w:firstLineChars="20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）施工活动中采取的减缓措施</w:t>
      </w:r>
    </w:p>
    <w:p w14:paraId="3E6329E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加强对施工人员的教育、监督和管理，积极倡导文明施工。按时每日洒水两次，在干旱季节每日需增加洒水频次，严格限定施工的工作范围，严禁自行扩大施工用地范围。合理规划使用永久占地范围内的土地。</w:t>
      </w:r>
    </w:p>
    <w:p w14:paraId="5DAECCDC">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6.1.2.5 动物资源保护措施</w:t>
      </w:r>
    </w:p>
    <w:p w14:paraId="7D90869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（1）施工前组织进行沿线陆生野生保护动植物排查工作。划定施工范围，尽量减少施工扰动区，文明施工，对场地附近出现的野生动物不猎捕，尽量做到不惊扰、驱赶。</w:t>
      </w:r>
    </w:p>
    <w:p w14:paraId="30A01D5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（2）加强施工人员的环保教育，禁止施工人员随意猎捕野生动物，禁止施工人员随意破坏植被和猎捕野生动物；施工中一旦发现以上野生保护动物，应立即通知当地林业部门。</w:t>
      </w:r>
    </w:p>
    <w:p w14:paraId="388EC8B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（3）在施工期发现鸟类有繁殖行为时，如求偶、筑巢等，应减弱相应路段的施工强度。在野生动物集中分布路段，施工活动要快速完成，避开动物繁殖季节施工。</w:t>
      </w:r>
    </w:p>
    <w:p w14:paraId="37140FF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（4）施工中尽量控制声源，通过减少施工</w:t>
      </w:r>
      <w:r>
        <w:rPr>
          <w:rFonts w:hint="eastAsia" w:cs="Times New Roman"/>
          <w:color w:val="auto"/>
          <w:kern w:val="0"/>
          <w:sz w:val="24"/>
          <w:szCs w:val="24"/>
          <w:lang w:val="en-US" w:eastAsia="zh-CN" w:bidi="ar"/>
        </w:rPr>
        <w:t>振动</w:t>
      </w:r>
      <w:r>
        <w:rPr>
          <w:rFonts w:hint="default" w:ascii="Times New Roman" w:hAnsi="Times New Roman" w:eastAsia="宋体" w:cs="Times New Roman"/>
          <w:color w:val="auto"/>
          <w:kern w:val="0"/>
          <w:sz w:val="24"/>
          <w:szCs w:val="24"/>
          <w:lang w:val="en-US" w:eastAsia="zh-CN" w:bidi="ar"/>
        </w:rPr>
        <w:t>、敲打、撞击和禁止施工车辆长时间鸣笛等措施降低对野生动物的惊扰。</w:t>
      </w:r>
    </w:p>
    <w:p w14:paraId="1F172DE9">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6.1.2.6 临时占地选址及恢复要求</w:t>
      </w:r>
    </w:p>
    <w:p w14:paraId="5535148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拟建公路临时占地主要包括施工便道、施工生产区和弃土场，各类临时占地在施工过程中应遵守以下措施：</w:t>
      </w:r>
    </w:p>
    <w:p w14:paraId="6951714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（1）施工便道、施工生产区和弃渣场选址按照本环评要求落实。</w:t>
      </w:r>
    </w:p>
    <w:p w14:paraId="6077382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（2）各类施工应严格控制在设计范围内，不可随意乱开便道，在施工时要严格控制施工范围。临时便道应尽量利用现有</w:t>
      </w:r>
      <w:r>
        <w:rPr>
          <w:rFonts w:hint="default" w:ascii="Times New Roman" w:hAnsi="Times New Roman" w:cs="Times New Roman"/>
          <w:color w:val="auto"/>
          <w:kern w:val="0"/>
          <w:sz w:val="24"/>
          <w:szCs w:val="24"/>
          <w:lang w:val="en-US" w:eastAsia="zh-CN" w:bidi="ar"/>
        </w:rPr>
        <w:t>简易道路</w:t>
      </w:r>
      <w:r>
        <w:rPr>
          <w:rFonts w:hint="default" w:ascii="Times New Roman" w:hAnsi="Times New Roman" w:eastAsia="宋体" w:cs="Times New Roman"/>
          <w:color w:val="auto"/>
          <w:kern w:val="0"/>
          <w:sz w:val="24"/>
          <w:szCs w:val="24"/>
          <w:lang w:val="en-US" w:eastAsia="zh-CN" w:bidi="ar"/>
        </w:rPr>
        <w:t>，新开辟的临时便道，应顺地形条件，尽量减少大填大挖，做好水土保持，减少水土流失和植被破坏。工程结束后，视具体情况，可以交给沿线地方政府公路管理部门，进行养护。对于不再使用的施工便道，由于重型机械的碾压，形成较厚的板结层，使用后应当清除硬化表层，复填</w:t>
      </w:r>
      <w:r>
        <w:rPr>
          <w:rFonts w:hint="default" w:ascii="Times New Roman" w:hAnsi="Times New Roman" w:cs="Times New Roman"/>
          <w:color w:val="auto"/>
          <w:kern w:val="0"/>
          <w:sz w:val="24"/>
          <w:szCs w:val="24"/>
          <w:lang w:val="en-US" w:eastAsia="zh-CN" w:bidi="ar"/>
        </w:rPr>
        <w:t>其他</w:t>
      </w:r>
      <w:r>
        <w:rPr>
          <w:rFonts w:hint="default" w:ascii="Times New Roman" w:hAnsi="Times New Roman" w:eastAsia="宋体" w:cs="Times New Roman"/>
          <w:color w:val="auto"/>
          <w:kern w:val="0"/>
          <w:sz w:val="24"/>
          <w:szCs w:val="24"/>
          <w:lang w:val="en-US" w:eastAsia="zh-CN" w:bidi="ar"/>
        </w:rPr>
        <w:t>疏松土壤，待土壤结构缓慢恢复和改善后，荒漠植被可自行缓慢恢复。</w:t>
      </w:r>
    </w:p>
    <w:p w14:paraId="25F1891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（3）优化弃土场的数量、面积和堆弃高度，通过减少临时占地的扰动面积，减轻项目建设对生态环境的影响。施工场地（预制场、拌合站等）尽量减少占地。</w:t>
      </w:r>
    </w:p>
    <w:p w14:paraId="7E862FD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（4）严格按照设计要求设置弃土场等，严格控制用地范围，用地边界处</w:t>
      </w:r>
      <w:r>
        <w:rPr>
          <w:rFonts w:hint="eastAsia" w:cs="Times New Roman"/>
          <w:color w:val="auto"/>
          <w:kern w:val="0"/>
          <w:sz w:val="24"/>
          <w:szCs w:val="24"/>
          <w:lang w:val="en-US" w:eastAsia="zh-CN" w:bidi="ar"/>
        </w:rPr>
        <w:t>设置</w:t>
      </w:r>
      <w:r>
        <w:rPr>
          <w:rFonts w:hint="default" w:ascii="Times New Roman" w:hAnsi="Times New Roman" w:eastAsia="宋体" w:cs="Times New Roman"/>
          <w:color w:val="auto"/>
          <w:kern w:val="0"/>
          <w:sz w:val="24"/>
          <w:szCs w:val="24"/>
          <w:lang w:val="en-US" w:eastAsia="zh-CN" w:bidi="ar"/>
        </w:rPr>
        <w:t>明显标志和围栏。施工过</w:t>
      </w:r>
      <w:r>
        <w:rPr>
          <w:rFonts w:hint="eastAsia" w:cs="Times New Roman"/>
          <w:color w:val="auto"/>
          <w:kern w:val="0"/>
          <w:sz w:val="24"/>
          <w:szCs w:val="24"/>
          <w:lang w:val="en-US" w:eastAsia="zh-CN" w:bidi="ar"/>
        </w:rPr>
        <w:t>程中</w:t>
      </w:r>
      <w:r>
        <w:rPr>
          <w:rFonts w:hint="default" w:ascii="Times New Roman" w:hAnsi="Times New Roman" w:eastAsia="宋体" w:cs="Times New Roman"/>
          <w:color w:val="auto"/>
          <w:kern w:val="0"/>
          <w:sz w:val="24"/>
          <w:szCs w:val="24"/>
          <w:lang w:val="en-US" w:eastAsia="zh-CN" w:bidi="ar"/>
        </w:rPr>
        <w:t>要加强监管，防止出现乱挖乱弃问题应做好临时工程设施的选址规划，按照《生产建设项目水土保持技术标准》（GB 50433-2018）中的相关要求进行设置。其要求如下：</w:t>
      </w:r>
    </w:p>
    <w:p w14:paraId="5008720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（5）施工场地尽量远离村庄等敏感目标，一般都要选在处于上述敏感目标下风向300m以外；尽量远离河道，避免对河道水质的影响。在有居民区的地方，施工营地租用当地民房，</w:t>
      </w:r>
      <w:r>
        <w:rPr>
          <w:rFonts w:hint="default" w:ascii="Times New Roman" w:hAnsi="Times New Roman" w:cs="Times New Roman"/>
          <w:color w:val="auto"/>
          <w:kern w:val="0"/>
          <w:sz w:val="24"/>
          <w:szCs w:val="24"/>
          <w:lang w:val="en-US" w:eastAsia="zh-CN" w:bidi="ar"/>
        </w:rPr>
        <w:t>不单独设置</w:t>
      </w:r>
      <w:r>
        <w:rPr>
          <w:rFonts w:hint="default" w:ascii="Times New Roman" w:hAnsi="Times New Roman" w:eastAsia="宋体" w:cs="Times New Roman"/>
          <w:color w:val="auto"/>
          <w:kern w:val="0"/>
          <w:sz w:val="24"/>
          <w:szCs w:val="24"/>
          <w:lang w:val="en-US" w:eastAsia="zh-CN" w:bidi="ar"/>
        </w:rPr>
        <w:t>施工营地。工程结束后，对施工场地进行地表清理，清除硬化混凝土，进行土壤改良后，进行生态恢复。</w:t>
      </w:r>
    </w:p>
    <w:p w14:paraId="698AEDF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（6）沿线剥离的表土集中堆放，进行苫盖，后期作为临时占地（施工生产区、弃土场）等生态恢复用土。</w:t>
      </w:r>
    </w:p>
    <w:p w14:paraId="589A643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（7）公路部分地质不良区段需换填土，将清除的表土运至附近的弃土场，弃渣堆高不能超过原始地面高度。</w:t>
      </w:r>
    </w:p>
    <w:p w14:paraId="4A598D0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（8）路基清表和桥梁钻渣用于回填砂砾料场料坑。</w:t>
      </w:r>
    </w:p>
    <w:p w14:paraId="0500235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（9）严格按设计要求，在指定地点堆放工程弃渣，严禁随意弃土。</w:t>
      </w:r>
    </w:p>
    <w:p w14:paraId="7FBD4025">
      <w:pPr>
        <w:pStyle w:val="5"/>
        <w:bidi w:val="0"/>
        <w:rPr>
          <w:rFonts w:hint="default" w:ascii="Times New Roman" w:hAnsi="Times New Roman" w:cs="Times New Roman"/>
          <w:color w:val="auto"/>
          <w:lang w:val="en-US"/>
        </w:rPr>
      </w:pPr>
      <w:r>
        <w:rPr>
          <w:rFonts w:hint="default" w:ascii="Times New Roman" w:hAnsi="Times New Roman" w:cs="Times New Roman"/>
          <w:color w:val="auto"/>
          <w:lang w:val="en-US" w:eastAsia="zh-CN"/>
        </w:rPr>
        <w:t xml:space="preserve">6.1.2.7 </w:t>
      </w:r>
      <w:r>
        <w:rPr>
          <w:rFonts w:hint="eastAsia" w:cs="Times New Roman"/>
          <w:color w:val="auto"/>
          <w:lang w:val="en-US" w:eastAsia="zh-CN"/>
        </w:rPr>
        <w:t>桥梁环境保护措施</w:t>
      </w:r>
    </w:p>
    <w:p w14:paraId="4889DE7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本项目两座桥梁需设置桥墩，设置桥墩的核心原因：设桥路段地形起伏显著，存在深沟等地形障碍，且地形高差较大；为保障路线</w:t>
      </w:r>
      <w:r>
        <w:rPr>
          <w:rFonts w:hint="eastAsia" w:cs="Times New Roman"/>
          <w:color w:val="auto"/>
          <w:sz w:val="24"/>
          <w:szCs w:val="24"/>
          <w:highlight w:val="none"/>
          <w:lang w:val="en-US" w:eastAsia="zh-CN"/>
        </w:rPr>
        <w:t>平面线形</w:t>
      </w:r>
      <w:r>
        <w:rPr>
          <w:rFonts w:hint="default" w:ascii="Times New Roman" w:hAnsi="Times New Roman" w:eastAsia="宋体" w:cs="Times New Roman"/>
          <w:color w:val="auto"/>
          <w:sz w:val="24"/>
          <w:szCs w:val="24"/>
          <w:highlight w:val="none"/>
          <w:lang w:val="en-US" w:eastAsia="zh-CN"/>
        </w:rPr>
        <w:t>顺直、满足行车净空要求、安全跨越地形障碍，需通过设置桥墩支撑桥梁主体结构，实现路线的连续通行功能。</w:t>
      </w:r>
    </w:p>
    <w:p w14:paraId="68C0469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highlight w:val="none"/>
          <w:lang w:val="en-US" w:eastAsia="zh-CN"/>
        </w:rPr>
        <w:t>根据现场调查及区域地形地貌勘察结果，项目周边无自然河流等地表径流分布，项目区</w:t>
      </w:r>
      <w:r>
        <w:rPr>
          <w:rFonts w:hint="default" w:ascii="Times New Roman" w:hAnsi="Times New Roman" w:eastAsia="宋体" w:cs="Times New Roman"/>
          <w:color w:val="auto"/>
          <w:sz w:val="24"/>
          <w:szCs w:val="24"/>
          <w:highlight w:val="none"/>
        </w:rPr>
        <w:t>水文</w:t>
      </w:r>
      <w:r>
        <w:rPr>
          <w:rFonts w:hint="default" w:ascii="Times New Roman" w:hAnsi="Times New Roman" w:eastAsia="宋体" w:cs="Times New Roman"/>
          <w:color w:val="auto"/>
          <w:sz w:val="24"/>
          <w:szCs w:val="24"/>
          <w:highlight w:val="none"/>
          <w:lang w:val="en-US" w:eastAsia="zh-CN"/>
        </w:rPr>
        <w:t>形势常年无流水，故不存在水生生物</w:t>
      </w:r>
      <w:r>
        <w:rPr>
          <w:rFonts w:hint="eastAsia" w:cs="Times New Roman"/>
          <w:color w:val="auto"/>
          <w:sz w:val="24"/>
          <w:szCs w:val="24"/>
          <w:highlight w:val="none"/>
          <w:lang w:val="en-US" w:eastAsia="zh-CN"/>
        </w:rPr>
        <w:t>。因此未设置水环境保护措施。</w:t>
      </w:r>
    </w:p>
    <w:p w14:paraId="524B90CC">
      <w:pPr>
        <w:topLinePunct/>
        <w:adjustRightInd w:val="0"/>
        <w:snapToGrid w:val="0"/>
        <w:spacing w:line="240" w:lineRule="auto"/>
        <w:ind w:left="0" w:leftChars="0" w:firstLine="0" w:firstLineChars="0"/>
        <w:jc w:val="center"/>
        <w:rPr>
          <w:rFonts w:hint="default" w:ascii="Times New Roman" w:hAnsi="Times New Roman" w:eastAsia="宋体" w:cs="Times New Roman"/>
          <w:b/>
          <w:bCs/>
          <w:color w:val="auto"/>
          <w:sz w:val="21"/>
          <w:szCs w:val="21"/>
          <w:lang w:val="en-US"/>
        </w:rPr>
      </w:pPr>
      <w:r>
        <w:rPr>
          <w:rFonts w:hint="default" w:ascii="Times New Roman" w:hAnsi="Times New Roman" w:eastAsia="宋体" w:cs="Times New Roman"/>
          <w:b/>
          <w:bCs/>
          <w:color w:val="auto"/>
          <w:sz w:val="21"/>
          <w:szCs w:val="21"/>
          <w:lang w:val="zh-CN"/>
        </w:rPr>
        <w:t>表</w:t>
      </w:r>
      <w:r>
        <w:rPr>
          <w:rFonts w:hint="eastAsia" w:cs="Times New Roman"/>
          <w:b/>
          <w:bCs/>
          <w:color w:val="auto"/>
          <w:sz w:val="21"/>
          <w:szCs w:val="21"/>
          <w:lang w:val="en-US" w:eastAsia="zh-CN"/>
        </w:rPr>
        <w:t>6.1</w:t>
      </w:r>
      <w:r>
        <w:rPr>
          <w:rFonts w:hint="default" w:ascii="Times New Roman" w:hAnsi="Times New Roman" w:eastAsia="宋体" w:cs="Times New Roman"/>
          <w:b/>
          <w:bCs/>
          <w:color w:val="auto"/>
          <w:sz w:val="21"/>
          <w:szCs w:val="21"/>
          <w:lang w:val="en-US" w:eastAsia="zh-CN"/>
        </w:rPr>
        <w:t>-1</w:t>
      </w:r>
      <w:r>
        <w:rPr>
          <w:rFonts w:hint="default" w:ascii="Times New Roman" w:hAnsi="Times New Roman" w:eastAsia="宋体" w:cs="Times New Roman"/>
          <w:b/>
          <w:bCs/>
          <w:color w:val="auto"/>
          <w:sz w:val="21"/>
          <w:szCs w:val="21"/>
          <w:lang w:val="zh-CN"/>
        </w:rPr>
        <w:t xml:space="preserve"> </w:t>
      </w:r>
      <w:r>
        <w:rPr>
          <w:rFonts w:hint="default" w:ascii="Times New Roman" w:hAnsi="Times New Roman" w:eastAsia="宋体" w:cs="Times New Roman"/>
          <w:b/>
          <w:bCs/>
          <w:color w:val="auto"/>
          <w:sz w:val="21"/>
          <w:szCs w:val="21"/>
          <w:lang w:val="en-US" w:eastAsia="zh-CN"/>
        </w:rPr>
        <w:t xml:space="preserve">     项目区设桥位置现状照片</w:t>
      </w:r>
    </w:p>
    <w:tbl>
      <w:tblPr>
        <w:tblStyle w:val="3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8"/>
        <w:gridCol w:w="1457"/>
        <w:gridCol w:w="6252"/>
      </w:tblGrid>
      <w:tr w14:paraId="2F852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474" w:type="pct"/>
            <w:tcBorders>
              <w:tl2br w:val="nil"/>
              <w:tr2bl w:val="nil"/>
            </w:tcBorders>
            <w:noWrap w:val="0"/>
            <w:vAlign w:val="center"/>
          </w:tcPr>
          <w:p w14:paraId="6C43436D">
            <w:pPr>
              <w:topLinePunct/>
              <w:adjustRightInd w:val="0"/>
              <w:snapToGrid w:val="0"/>
              <w:spacing w:line="240" w:lineRule="auto"/>
              <w:ind w:left="0" w:leftChars="0" w:firstLine="0" w:firstLineChars="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序号</w:t>
            </w:r>
          </w:p>
        </w:tc>
        <w:tc>
          <w:tcPr>
            <w:tcW w:w="855" w:type="pct"/>
            <w:tcBorders>
              <w:tl2br w:val="nil"/>
              <w:tr2bl w:val="nil"/>
            </w:tcBorders>
            <w:noWrap w:val="0"/>
            <w:vAlign w:val="center"/>
          </w:tcPr>
          <w:p w14:paraId="331741E3">
            <w:pPr>
              <w:topLinePunct/>
              <w:adjustRightInd w:val="0"/>
              <w:snapToGrid w:val="0"/>
              <w:spacing w:line="240" w:lineRule="auto"/>
              <w:ind w:left="0" w:leftChars="0" w:firstLine="0" w:firstLineChars="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名称</w:t>
            </w:r>
          </w:p>
        </w:tc>
        <w:tc>
          <w:tcPr>
            <w:tcW w:w="3670" w:type="pct"/>
            <w:tcBorders>
              <w:tl2br w:val="nil"/>
              <w:tr2bl w:val="nil"/>
            </w:tcBorders>
            <w:noWrap w:val="0"/>
            <w:vAlign w:val="center"/>
          </w:tcPr>
          <w:p w14:paraId="4438643F">
            <w:pPr>
              <w:topLinePunct/>
              <w:adjustRightInd w:val="0"/>
              <w:snapToGrid w:val="0"/>
              <w:spacing w:line="240" w:lineRule="auto"/>
              <w:ind w:left="0" w:leftChars="0" w:firstLine="0" w:firstLineChars="0"/>
              <w:jc w:val="center"/>
              <w:rPr>
                <w:rFonts w:hint="default" w:ascii="Times New Roman" w:hAnsi="Times New Roman" w:eastAsia="宋体" w:cs="Times New Roman"/>
                <w:b/>
                <w:bCs/>
                <w:color w:val="auto"/>
                <w:sz w:val="18"/>
                <w:szCs w:val="18"/>
                <w:lang w:val="zh-CN"/>
              </w:rPr>
            </w:pPr>
            <w:r>
              <w:rPr>
                <w:rFonts w:hint="default" w:ascii="Times New Roman" w:hAnsi="Times New Roman" w:eastAsia="宋体" w:cs="Times New Roman"/>
                <w:b/>
                <w:bCs/>
                <w:color w:val="auto"/>
                <w:sz w:val="18"/>
                <w:szCs w:val="18"/>
                <w:lang w:val="en-US" w:eastAsia="zh-CN"/>
              </w:rPr>
              <w:t>地貌现状情况</w:t>
            </w:r>
          </w:p>
        </w:tc>
      </w:tr>
      <w:tr w14:paraId="1636A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1" w:hRule="atLeast"/>
          <w:jc w:val="center"/>
        </w:trPr>
        <w:tc>
          <w:tcPr>
            <w:tcW w:w="474" w:type="pct"/>
            <w:tcBorders>
              <w:tl2br w:val="nil"/>
              <w:tr2bl w:val="nil"/>
            </w:tcBorders>
            <w:noWrap w:val="0"/>
            <w:vAlign w:val="center"/>
          </w:tcPr>
          <w:p w14:paraId="1E65C161">
            <w:pPr>
              <w:keepNext w:val="0"/>
              <w:keepLines w:val="0"/>
              <w:pageBreakBefore w:val="0"/>
              <w:widowControl w:val="0"/>
              <w:kinsoku/>
              <w:wordWrap/>
              <w:overflowPunct/>
              <w:topLinePunct/>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855" w:type="pct"/>
            <w:tcBorders>
              <w:tl2br w:val="nil"/>
              <w:tr2bl w:val="nil"/>
            </w:tcBorders>
            <w:noWrap w:val="0"/>
            <w:vAlign w:val="center"/>
          </w:tcPr>
          <w:p w14:paraId="3E1959D7">
            <w:pPr>
              <w:keepNext w:val="0"/>
              <w:keepLines w:val="0"/>
              <w:pageBreakBefore w:val="0"/>
              <w:widowControl w:val="0"/>
              <w:kinsoku/>
              <w:wordWrap/>
              <w:overflowPunct/>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兰干山大桥</w:t>
            </w:r>
          </w:p>
        </w:tc>
        <w:tc>
          <w:tcPr>
            <w:tcW w:w="3670" w:type="pct"/>
            <w:tcBorders>
              <w:tl2br w:val="nil"/>
              <w:tr2bl w:val="nil"/>
            </w:tcBorders>
            <w:noWrap w:val="0"/>
            <w:vAlign w:val="center"/>
          </w:tcPr>
          <w:p w14:paraId="4528132E">
            <w:pPr>
              <w:keepNext w:val="0"/>
              <w:keepLines w:val="0"/>
              <w:pageBreakBefore w:val="0"/>
              <w:widowControl w:val="0"/>
              <w:kinsoku/>
              <w:wordWrap/>
              <w:overflowPunct/>
              <w:topLinePunct/>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b w:val="0"/>
                <w:bCs w:val="0"/>
                <w:color w:val="auto"/>
                <w:sz w:val="21"/>
                <w:szCs w:val="21"/>
                <w:vertAlign w:val="baseline"/>
                <w:lang w:val="en-US" w:eastAsia="zh-CN"/>
              </w:rPr>
              <w:drawing>
                <wp:inline distT="0" distB="0" distL="114300" distR="114300">
                  <wp:extent cx="3745230" cy="2809240"/>
                  <wp:effectExtent l="0" t="0" r="7620" b="10160"/>
                  <wp:docPr id="45" name="图片 2" descr="5678e857cd88850d07104ce0a4ecb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descr="5678e857cd88850d07104ce0a4ecbd5"/>
                          <pic:cNvPicPr>
                            <a:picLocks noChangeAspect="1"/>
                          </pic:cNvPicPr>
                        </pic:nvPicPr>
                        <pic:blipFill>
                          <a:blip r:embed="rId69"/>
                          <a:stretch>
                            <a:fillRect/>
                          </a:stretch>
                        </pic:blipFill>
                        <pic:spPr>
                          <a:xfrm>
                            <a:off x="0" y="0"/>
                            <a:ext cx="3745230" cy="2809240"/>
                          </a:xfrm>
                          <a:prstGeom prst="rect">
                            <a:avLst/>
                          </a:prstGeom>
                          <a:noFill/>
                          <a:ln>
                            <a:noFill/>
                          </a:ln>
                        </pic:spPr>
                      </pic:pic>
                    </a:graphicData>
                  </a:graphic>
                </wp:inline>
              </w:drawing>
            </w:r>
          </w:p>
        </w:tc>
      </w:tr>
      <w:tr w14:paraId="1A727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1" w:hRule="atLeast"/>
          <w:jc w:val="center"/>
        </w:trPr>
        <w:tc>
          <w:tcPr>
            <w:tcW w:w="474" w:type="pct"/>
            <w:tcBorders>
              <w:tl2br w:val="nil"/>
              <w:tr2bl w:val="nil"/>
            </w:tcBorders>
            <w:noWrap w:val="0"/>
            <w:vAlign w:val="center"/>
          </w:tcPr>
          <w:p w14:paraId="264F2AD7">
            <w:pPr>
              <w:keepNext w:val="0"/>
              <w:keepLines w:val="0"/>
              <w:pageBreakBefore w:val="0"/>
              <w:widowControl w:val="0"/>
              <w:kinsoku/>
              <w:wordWrap/>
              <w:overflowPunct/>
              <w:topLinePunct/>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855" w:type="pct"/>
            <w:tcBorders>
              <w:tl2br w:val="nil"/>
              <w:tr2bl w:val="nil"/>
            </w:tcBorders>
            <w:noWrap w:val="0"/>
            <w:vAlign w:val="center"/>
          </w:tcPr>
          <w:p w14:paraId="4C3DBC25">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color w:val="auto"/>
                <w:kern w:val="2"/>
                <w:sz w:val="21"/>
                <w:szCs w:val="21"/>
                <w:vertAlign w:val="baseline"/>
                <w:lang w:val="en-US" w:eastAsia="zh-CN" w:bidi="ar-SA"/>
              </w:rPr>
              <w:t>G3012跨线桥</w:t>
            </w:r>
          </w:p>
          <w:p w14:paraId="0DBDB903">
            <w:pPr>
              <w:keepNext w:val="0"/>
              <w:keepLines w:val="0"/>
              <w:pageBreakBefore w:val="0"/>
              <w:widowControl w:val="0"/>
              <w:kinsoku/>
              <w:wordWrap/>
              <w:overflowPunct/>
              <w:autoSpaceDE/>
              <w:autoSpaceDN/>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color w:val="auto"/>
                <w:sz w:val="18"/>
                <w:szCs w:val="18"/>
                <w:lang w:val="en-US" w:eastAsia="zh-CN"/>
              </w:rPr>
            </w:pPr>
          </w:p>
        </w:tc>
        <w:tc>
          <w:tcPr>
            <w:tcW w:w="3670" w:type="pct"/>
            <w:tcBorders>
              <w:tl2br w:val="nil"/>
              <w:tr2bl w:val="nil"/>
            </w:tcBorders>
            <w:noWrap w:val="0"/>
            <w:vAlign w:val="center"/>
          </w:tcPr>
          <w:p w14:paraId="3FCDBA6B">
            <w:pPr>
              <w:keepNext w:val="0"/>
              <w:keepLines w:val="0"/>
              <w:pageBreakBefore w:val="0"/>
              <w:widowControl w:val="0"/>
              <w:kinsoku/>
              <w:wordWrap/>
              <w:overflowPunct/>
              <w:topLinePunct/>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b w:val="0"/>
                <w:bCs w:val="0"/>
                <w:color w:val="auto"/>
                <w:sz w:val="21"/>
                <w:szCs w:val="21"/>
                <w:vertAlign w:val="baseline"/>
                <w:lang w:val="en-US" w:eastAsia="zh-CN"/>
              </w:rPr>
              <w:drawing>
                <wp:inline distT="0" distB="0" distL="114300" distR="114300">
                  <wp:extent cx="3785235" cy="2506980"/>
                  <wp:effectExtent l="0" t="0" r="5715" b="7620"/>
                  <wp:docPr id="62" name="图片 3" descr="35316d3709a2591b7d44f580ad74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 descr="35316d3709a2591b7d44f580ad74740"/>
                          <pic:cNvPicPr>
                            <a:picLocks noChangeAspect="1"/>
                          </pic:cNvPicPr>
                        </pic:nvPicPr>
                        <pic:blipFill>
                          <a:blip r:embed="rId70"/>
                          <a:stretch>
                            <a:fillRect/>
                          </a:stretch>
                        </pic:blipFill>
                        <pic:spPr>
                          <a:xfrm>
                            <a:off x="0" y="0"/>
                            <a:ext cx="3785235" cy="2506980"/>
                          </a:xfrm>
                          <a:prstGeom prst="rect">
                            <a:avLst/>
                          </a:prstGeom>
                          <a:noFill/>
                          <a:ln>
                            <a:noFill/>
                          </a:ln>
                        </pic:spPr>
                      </pic:pic>
                    </a:graphicData>
                  </a:graphic>
                </wp:inline>
              </w:drawing>
            </w:r>
          </w:p>
        </w:tc>
      </w:tr>
    </w:tbl>
    <w:p w14:paraId="4050D6A4">
      <w:pPr>
        <w:keepNext w:val="0"/>
        <w:keepLines w:val="0"/>
        <w:widowControl/>
        <w:suppressLineNumbers w:val="0"/>
        <w:jc w:val="left"/>
        <w:rPr>
          <w:rFonts w:hint="default" w:ascii="Times New Roman" w:hAnsi="Times New Roman" w:cs="Times New Roman"/>
          <w:color w:val="auto"/>
        </w:rPr>
      </w:pPr>
    </w:p>
    <w:p w14:paraId="2B98B322">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6.1.2.8 生态恢复与补偿措施</w:t>
      </w:r>
    </w:p>
    <w:p w14:paraId="007A391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b w:val="0"/>
          <w:bCs w:val="0"/>
          <w:color w:val="auto"/>
          <w:kern w:val="0"/>
          <w:sz w:val="24"/>
          <w:szCs w:val="24"/>
          <w:lang w:val="en-US" w:eastAsia="zh-CN" w:bidi="ar"/>
        </w:rPr>
        <w:t>（1）水土保持措施</w:t>
      </w:r>
    </w:p>
    <w:p w14:paraId="0676353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①基坑开挖废方必须集中堆弃于弃渣场统一堆放。取弃土场应设置排水沟，防止水土流失。</w:t>
      </w:r>
    </w:p>
    <w:p w14:paraId="1EE8025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②工程结束后，对施工临时占地进行回填清表土，场地平整，恢复原有生态环境。</w:t>
      </w:r>
    </w:p>
    <w:p w14:paraId="4681F10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③公路路堑地段应做好边坡防护措施，如设置挡土墙等，防止雨水冲刷引起水土流失。</w:t>
      </w:r>
    </w:p>
    <w:p w14:paraId="12EB78A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④严格控制施工占地范围，严禁破坏征地范围以外的植被，减少水土流失。施工过程中注重临时性水土保持设施的设计，尽可能避免由于施工不当而造成新的水土流失。</w:t>
      </w:r>
    </w:p>
    <w:p w14:paraId="3136853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b w:val="0"/>
          <w:bCs w:val="0"/>
          <w:color w:val="auto"/>
          <w:kern w:val="0"/>
          <w:sz w:val="24"/>
          <w:szCs w:val="24"/>
          <w:lang w:val="en-US" w:eastAsia="zh-CN" w:bidi="ar"/>
        </w:rPr>
        <w:t>（2）防沙固沙措施</w:t>
      </w:r>
    </w:p>
    <w:p w14:paraId="7768A8E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①项目建设过程中严格限制施工范围，禁止砍伐树木，对项目区涉及的乔木进行集中移栽，避免因植被破坏，导致地表裸露，土壤侵蚀加剧，破坏其防风固沙、保持水土的功能。</w:t>
      </w:r>
    </w:p>
    <w:p w14:paraId="573FE56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②植被恢复选择适合防风固沙的植被，如防护林、沙生林、沙地灌丛等。</w:t>
      </w:r>
    </w:p>
    <w:p w14:paraId="5AC586A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b w:val="0"/>
          <w:bCs w:val="0"/>
          <w:color w:val="auto"/>
          <w:kern w:val="0"/>
          <w:sz w:val="24"/>
          <w:szCs w:val="24"/>
          <w:lang w:val="en-US" w:eastAsia="zh-CN" w:bidi="ar"/>
        </w:rPr>
        <w:t>（3）绿化恢复与补偿措施</w:t>
      </w:r>
    </w:p>
    <w:p w14:paraId="7C2EB3B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林地由林业主管部门根据“占一补一，占补平衡”的原则，依照有关规定统一安排植树造林，恢复植被，植树造林面积不得少于因占用、征用林地而减少的植被面积。草地由建设单位根据水土保持报告相关要求实施。</w:t>
      </w:r>
    </w:p>
    <w:p w14:paraId="4B08438D">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②占用的</w:t>
      </w:r>
      <w:r>
        <w:rPr>
          <w:rFonts w:hint="default" w:ascii="Times New Roman" w:hAnsi="Times New Roman" w:cs="Times New Roman"/>
          <w:color w:val="auto"/>
          <w:kern w:val="0"/>
          <w:sz w:val="24"/>
          <w:szCs w:val="24"/>
          <w:lang w:val="en-US" w:eastAsia="zh-CN" w:bidi="ar"/>
        </w:rPr>
        <w:t>农用地不属于</w:t>
      </w:r>
      <w:r>
        <w:rPr>
          <w:rFonts w:hint="default" w:ascii="Times New Roman" w:hAnsi="Times New Roman" w:eastAsia="宋体" w:cs="Times New Roman"/>
          <w:color w:val="auto"/>
          <w:kern w:val="0"/>
          <w:sz w:val="24"/>
          <w:szCs w:val="24"/>
          <w:lang w:val="en-US" w:eastAsia="zh-CN" w:bidi="ar"/>
        </w:rPr>
        <w:t>基本农田，由建设单位根据水土保持报告相关要求实施。</w:t>
      </w:r>
    </w:p>
    <w:p w14:paraId="1B06F2E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③项目区位于</w:t>
      </w:r>
      <w:r>
        <w:rPr>
          <w:rFonts w:hint="default" w:ascii="Times New Roman" w:hAnsi="Times New Roman" w:cs="Times New Roman"/>
          <w:color w:val="auto"/>
          <w:kern w:val="0"/>
          <w:sz w:val="24"/>
          <w:szCs w:val="24"/>
          <w:highlight w:val="none"/>
          <w:lang w:val="en-US" w:eastAsia="zh-CN" w:bidi="ar"/>
        </w:rPr>
        <w:t>克孜勒苏柯尔克孜自治州和喀什地区</w:t>
      </w:r>
      <w:r>
        <w:rPr>
          <w:rFonts w:hint="default" w:ascii="Times New Roman" w:hAnsi="Times New Roman" w:eastAsia="宋体"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lang w:val="en-US" w:eastAsia="zh-CN" w:bidi="ar"/>
        </w:rPr>
        <w:t>尽量选用本地植物物种进行植被恢复。</w:t>
      </w:r>
    </w:p>
    <w:p w14:paraId="58F4C50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④进行植被恢复时，对于施工现场的零星占地，应做到使用完毕一块，及时进行植被恢复一块，做到植被恢复和工程建设同步、交错进行，不必等到工程结束后再统一进行恢复。</w:t>
      </w:r>
    </w:p>
    <w:p w14:paraId="4C855CBD">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对于种植的植被，应加强后期的管理。安排合适人员和充足经费，在种植或移栽后开展长期抚育，包括浇水、施肥、补植、补种、病虫害防治等工作。</w:t>
      </w:r>
    </w:p>
    <w:p w14:paraId="63C858ED">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6.1.3 营运期的生态环境影响减缓措施</w:t>
      </w:r>
    </w:p>
    <w:p w14:paraId="7FABB41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（1）加强对绿化植物的管理与养护，以达到恢复植被、保护路基，以及减少土壤侵蚀的目的。</w:t>
      </w:r>
    </w:p>
    <w:p w14:paraId="64F6146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（2）主体工程</w:t>
      </w:r>
      <w:r>
        <w:rPr>
          <w:rFonts w:hint="default" w:ascii="Times New Roman" w:hAnsi="Times New Roman" w:cs="Times New Roman"/>
          <w:color w:val="auto"/>
          <w:kern w:val="0"/>
          <w:sz w:val="24"/>
          <w:szCs w:val="24"/>
          <w:lang w:val="en-US" w:eastAsia="zh-CN" w:bidi="ar"/>
        </w:rPr>
        <w:t>完成</w:t>
      </w:r>
      <w:r>
        <w:rPr>
          <w:rFonts w:hint="default" w:ascii="Times New Roman" w:hAnsi="Times New Roman" w:eastAsia="宋体" w:cs="Times New Roman"/>
          <w:color w:val="auto"/>
          <w:kern w:val="0"/>
          <w:sz w:val="24"/>
          <w:szCs w:val="24"/>
          <w:lang w:val="en-US" w:eastAsia="zh-CN" w:bidi="ar"/>
        </w:rPr>
        <w:t>后，根据实际情况对立地条件较好的路基边坡和路基坡脚至征地界内的区域以及附属设施区域实施覆土植物绿化措施；对工程裸地，有恢复条件的尽量进行植被恢复，优先采用乡土植物品种，无恢复条件应做好征地补偿工作。</w:t>
      </w:r>
    </w:p>
    <w:p w14:paraId="5CA4F1D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（3）加强绿化措施和综合防护措施的养护。生态红线内的植被恢复要坚持“适地适树、适地适草</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以乡土树种草种为主，严禁引种外来物种”的</w:t>
      </w:r>
      <w:r>
        <w:rPr>
          <w:rFonts w:hint="eastAsia" w:cs="Times New Roman"/>
          <w:color w:val="auto"/>
          <w:kern w:val="0"/>
          <w:sz w:val="24"/>
          <w:szCs w:val="24"/>
          <w:lang w:val="en-US" w:eastAsia="zh-CN" w:bidi="ar"/>
        </w:rPr>
        <w:t>原则</w:t>
      </w:r>
      <w:r>
        <w:rPr>
          <w:rFonts w:hint="default" w:ascii="Times New Roman" w:hAnsi="Times New Roman" w:eastAsia="宋体" w:cs="Times New Roman"/>
          <w:color w:val="auto"/>
          <w:kern w:val="0"/>
          <w:sz w:val="24"/>
          <w:szCs w:val="24"/>
          <w:lang w:val="en-US" w:eastAsia="zh-CN" w:bidi="ar"/>
        </w:rPr>
        <w:t>，树种、草</w:t>
      </w:r>
      <w:r>
        <w:rPr>
          <w:rFonts w:hint="eastAsia" w:cs="Times New Roman"/>
          <w:color w:val="auto"/>
          <w:kern w:val="0"/>
          <w:sz w:val="24"/>
          <w:szCs w:val="24"/>
          <w:lang w:val="en-US" w:eastAsia="zh-CN" w:bidi="ar"/>
        </w:rPr>
        <w:t>种</w:t>
      </w:r>
      <w:r>
        <w:rPr>
          <w:rFonts w:hint="default" w:ascii="Times New Roman" w:hAnsi="Times New Roman" w:eastAsia="宋体" w:cs="Times New Roman"/>
          <w:color w:val="auto"/>
          <w:kern w:val="0"/>
          <w:sz w:val="24"/>
          <w:szCs w:val="24"/>
          <w:lang w:val="en-US" w:eastAsia="zh-CN" w:bidi="ar"/>
        </w:rPr>
        <w:t>选择当地优良的乡土树种和草种为主，及时实施绿化美化工程，并加强对绿化植物的管理与养护，保证绿化栽植的成活率。</w:t>
      </w:r>
    </w:p>
    <w:p w14:paraId="5BA7CA9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（4）项目沿线禁止过度放牧、过度开采，防止因植被破坏导致土壤稳定性降低、土壤侵蚀加剧，区域风沙盛行。</w:t>
      </w:r>
    </w:p>
    <w:p w14:paraId="73B0703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（5）营运管理部门必须加强项目沿线绿化苗木的管理和养护，包括定期对树木进行修剪和加强枝条约束，增强绿化带抵抗风沙的能力，确保道路两侧绿化2工程长效发挥防沙固沙、减少水土流失等生态功能。</w:t>
      </w:r>
    </w:p>
    <w:p w14:paraId="59E9EC8F">
      <w:pPr>
        <w:pStyle w:val="3"/>
        <w:numPr>
          <w:ilvl w:val="1"/>
          <w:numId w:val="0"/>
        </w:numPr>
        <w:bidi w:val="0"/>
        <w:rPr>
          <w:rFonts w:hint="default" w:ascii="Times New Roman" w:hAnsi="Times New Roman" w:cs="Times New Roman"/>
          <w:color w:val="auto"/>
        </w:rPr>
      </w:pPr>
      <w:bookmarkStart w:id="1474" w:name="_Toc10635"/>
      <w:bookmarkStart w:id="1475" w:name="_Toc13233"/>
      <w:bookmarkStart w:id="1476" w:name="_Toc16741"/>
      <w:bookmarkStart w:id="1477" w:name="_Toc21292"/>
      <w:bookmarkStart w:id="1478" w:name="_Toc18695"/>
      <w:bookmarkStart w:id="1479" w:name="_Toc20875"/>
      <w:bookmarkStart w:id="1480" w:name="_Toc20291"/>
      <w:bookmarkStart w:id="1481" w:name="_Toc26102"/>
      <w:bookmarkStart w:id="1482" w:name="_Toc15793"/>
      <w:bookmarkStart w:id="1483" w:name="_Toc1222"/>
      <w:bookmarkStart w:id="1484" w:name="_Toc4332"/>
      <w:r>
        <w:rPr>
          <w:rFonts w:hint="default" w:ascii="Times New Roman" w:hAnsi="Times New Roman" w:cs="Times New Roman"/>
          <w:color w:val="auto"/>
          <w:lang w:val="en-US" w:eastAsia="zh-CN"/>
        </w:rPr>
        <w:t>6.2 水环境影响减缓措施</w:t>
      </w:r>
      <w:bookmarkEnd w:id="1474"/>
      <w:bookmarkEnd w:id="1475"/>
      <w:bookmarkEnd w:id="1476"/>
      <w:bookmarkEnd w:id="1477"/>
      <w:bookmarkEnd w:id="1478"/>
      <w:bookmarkEnd w:id="1479"/>
      <w:bookmarkEnd w:id="1480"/>
      <w:bookmarkEnd w:id="1481"/>
      <w:bookmarkEnd w:id="1482"/>
      <w:bookmarkEnd w:id="1483"/>
      <w:bookmarkEnd w:id="1484"/>
    </w:p>
    <w:p w14:paraId="561AE269">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6.2.1 施工期</w:t>
      </w:r>
    </w:p>
    <w:p w14:paraId="5FEBF9D5">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6.2.1.1 施工材料及废弃土堆放要求</w:t>
      </w:r>
    </w:p>
    <w:p w14:paraId="4703E2F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（1）筑路材料如黄沙、土方和施工材料，如油料、化学品等有害物质堆放场</w:t>
      </w:r>
      <w:r>
        <w:rPr>
          <w:rFonts w:hint="eastAsia" w:cs="Times New Roman"/>
          <w:color w:val="auto"/>
          <w:kern w:val="0"/>
          <w:sz w:val="24"/>
          <w:szCs w:val="24"/>
          <w:lang w:val="en-US" w:eastAsia="zh-CN" w:bidi="ar"/>
        </w:rPr>
        <w:t>应采取防渗措施</w:t>
      </w:r>
      <w:r>
        <w:rPr>
          <w:rFonts w:hint="default" w:ascii="Times New Roman" w:hAnsi="Times New Roman" w:eastAsia="宋体" w:cs="Times New Roman"/>
          <w:color w:val="auto"/>
          <w:kern w:val="0"/>
          <w:sz w:val="24"/>
          <w:szCs w:val="24"/>
          <w:lang w:val="en-US" w:eastAsia="zh-CN" w:bidi="ar"/>
        </w:rPr>
        <w:t>。</w:t>
      </w:r>
    </w:p>
    <w:p w14:paraId="30096A5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（2）黄沙、土方和施工材料等临时堆放地点尽量远离水体，暂时不用时全部苫盖，减少冲刷进入周边沟道。做好用料的合理安排以减少堆放时间，废弃物料及时清运。</w:t>
      </w:r>
    </w:p>
    <w:p w14:paraId="73FD01B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（3）施工堆场按照公路施工标准化场站要求建设，要求全面硬化，堆场四周设置截排水沟，临时堆场应做好苫盖洒水措施。</w:t>
      </w:r>
    </w:p>
    <w:p w14:paraId="676D97A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（4）工程承包合同中应明确筑路材料(如沥青、油料、化学品、粉煤灰、水泥、砂、石料等)的运输过程中防止洒漏条款，堆放场地不得设在河道、岸边，以免随雨水冲入水体造成污染。</w:t>
      </w:r>
    </w:p>
    <w:p w14:paraId="18208F0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（5）施工材料如沥青、油料、化学品等有害物质堆放场地应设篷盖，以减少雨水冲刷造成污染。</w:t>
      </w:r>
    </w:p>
    <w:p w14:paraId="5820642B">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6.2.1.2 桥梁施工要求</w:t>
      </w:r>
    </w:p>
    <w:p w14:paraId="1189B5E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（1）本项目两座桥梁需设置桥墩，设置桥墩的核心原因：设桥路段地形起伏显著，存在深沟等地形障碍，且地形高差较大；为保障路线</w:t>
      </w:r>
      <w:r>
        <w:rPr>
          <w:rFonts w:hint="eastAsia" w:cs="Times New Roman"/>
          <w:color w:val="auto"/>
          <w:kern w:val="0"/>
          <w:sz w:val="24"/>
          <w:szCs w:val="24"/>
          <w:lang w:val="en-US" w:eastAsia="zh-CN" w:bidi="ar"/>
        </w:rPr>
        <w:t>平面线形</w:t>
      </w:r>
      <w:r>
        <w:rPr>
          <w:rFonts w:hint="default" w:ascii="Times New Roman" w:hAnsi="Times New Roman" w:eastAsia="宋体" w:cs="Times New Roman"/>
          <w:color w:val="auto"/>
          <w:kern w:val="0"/>
          <w:sz w:val="24"/>
          <w:szCs w:val="24"/>
          <w:lang w:val="en-US" w:eastAsia="zh-CN" w:bidi="ar"/>
        </w:rPr>
        <w:t>顺直、满足行车净空要求、安全跨越地形障碍，需通过设置桥墩支撑桥梁主体结构，实现路线的连续通行功能。根据现场调查及区域地形地貌勘察结果，项目周边无自然河流等地表径流分布，项目区水文形势常年无流水。</w:t>
      </w:r>
    </w:p>
    <w:p w14:paraId="4FCC617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（2）桥梁施工作业前应开挖好泥浆池和沉淀池。钻渣进入沉淀池进行沉淀处理，由渣土运输车</w:t>
      </w:r>
      <w:r>
        <w:rPr>
          <w:rFonts w:hint="eastAsia" w:cs="Times New Roman"/>
          <w:color w:val="auto"/>
          <w:kern w:val="0"/>
          <w:sz w:val="24"/>
          <w:szCs w:val="24"/>
          <w:lang w:val="en-US" w:eastAsia="zh-CN" w:bidi="ar"/>
        </w:rPr>
        <w:t>运至</w:t>
      </w:r>
      <w:r>
        <w:rPr>
          <w:rFonts w:hint="default" w:ascii="Times New Roman" w:hAnsi="Times New Roman" w:eastAsia="宋体" w:cs="Times New Roman"/>
          <w:color w:val="auto"/>
          <w:kern w:val="0"/>
          <w:sz w:val="24"/>
          <w:szCs w:val="24"/>
          <w:lang w:val="en-US" w:eastAsia="zh-CN" w:bidi="ar"/>
        </w:rPr>
        <w:t>弃渣场妥善处理，钻渣运输过程中做好覆盖和防渗漏措施，禁止沿线撒漏钻渣和泥浆。桩基施工过程中，泥浆在不同桩孔内循环使用。桩基施工完成后，泥浆停止循环，出浆进入泥浆池进行土石的沉淀，沉淀后的泥浆循环利用，废泥浆进入沉淀池。施工过程中定期对泥浆池和沉淀池进行清理，清出的沉淀物运至弃土(渣)场或指定位置集中处置。</w:t>
      </w:r>
    </w:p>
    <w:p w14:paraId="2DAC77C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（3）施工过</w:t>
      </w:r>
      <w:r>
        <w:rPr>
          <w:rFonts w:hint="eastAsia" w:cs="Times New Roman"/>
          <w:color w:val="auto"/>
          <w:kern w:val="0"/>
          <w:sz w:val="24"/>
          <w:szCs w:val="24"/>
          <w:lang w:val="en-US" w:eastAsia="zh-CN" w:bidi="ar"/>
        </w:rPr>
        <w:t>程中</w:t>
      </w:r>
      <w:r>
        <w:rPr>
          <w:rFonts w:hint="default" w:ascii="Times New Roman" w:hAnsi="Times New Roman" w:eastAsia="宋体" w:cs="Times New Roman"/>
          <w:color w:val="auto"/>
          <w:kern w:val="0"/>
          <w:sz w:val="24"/>
          <w:szCs w:val="24"/>
          <w:lang w:val="en-US" w:eastAsia="zh-CN" w:bidi="ar"/>
        </w:rPr>
        <w:t>选用先进的设备、机械，以有效地减少跑、冒、滴、漏的数量及机械维修次数，从而减少含油污水的产生量。施工过程设备临时维修过程产生的废油，采用固态吸油材料吸收混合后封存作为危险废物交由有资质单位处置。</w:t>
      </w:r>
    </w:p>
    <w:p w14:paraId="4F8CA8D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在施工作业时加强施工机械管理与维护，配备棉纱等吸油材料，防止油污染，通过采用固体吸油材料棉纱将废油收集转化到固体物质中。要做好吸油棉纱的处置工作，对收集的浸油棉纱采取打包密封后外运，外运至附近指定处置场进行处理。</w:t>
      </w:r>
    </w:p>
    <w:p w14:paraId="0B38481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（5）施工时应特别注意桥台后填料的压实和采取必要的排水措施，以减少桥头的跳车现象。</w:t>
      </w:r>
    </w:p>
    <w:p w14:paraId="79BE3613">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6.2.1.3 隧道施工废水处理措施</w:t>
      </w:r>
    </w:p>
    <w:p w14:paraId="292AA531">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隧道涌水段处置应遵循“ 以堵为主，排堵结合，防冻保温，多道防线，综合治理，注重环保 ”的总体原则。以施工图勘察、施工期超前地质预报和实际开挖揭示的工程地质及水文地质情况为基本依据，综合考虑环保要求、隧道结构安全、施工进度、施工工艺水平、工程造价等因素，制定综合的处理措施。</w:t>
      </w:r>
    </w:p>
    <w:p w14:paraId="0CF4F349">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（1）“探堵 ”结合</w:t>
      </w:r>
    </w:p>
    <w:p w14:paraId="7D42E5CE">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拟建公路隧道采用“探堵 ”结合的涌水处理总体方案，即利用超前地质预报的手段预测掌子面前方的赋水情况，有针对性</w:t>
      </w:r>
      <w:r>
        <w:rPr>
          <w:rFonts w:hint="eastAsia" w:cs="Times New Roman"/>
          <w:color w:val="auto"/>
          <w:lang w:val="en-US" w:eastAsia="zh-CN"/>
        </w:rPr>
        <w:t>地</w:t>
      </w:r>
      <w:r>
        <w:rPr>
          <w:rFonts w:hint="default" w:ascii="Times New Roman" w:hAnsi="Times New Roman" w:cs="Times New Roman"/>
          <w:color w:val="auto"/>
          <w:lang w:val="en-US" w:eastAsia="zh-CN"/>
        </w:rPr>
        <w:t>采取相应的超前堵水方案，尽量降低掌子面的涌水量。“探堵 ”结合堵水方案的原理是以施工图勘察、施工期超前地质预报和实际开挖揭示的工程地质及水文地质情况为基本依据，制定相应的超前注浆堵水方案。利用浆液中的固相物质在沉积和水化结晶双重作用下，将裂隙</w:t>
      </w:r>
      <w:r>
        <w:rPr>
          <w:rFonts w:hint="eastAsia" w:cs="Times New Roman"/>
          <w:color w:val="auto"/>
          <w:lang w:val="en-US" w:eastAsia="zh-CN"/>
        </w:rPr>
        <w:t>黏结</w:t>
      </w:r>
      <w:r>
        <w:rPr>
          <w:rFonts w:hint="default" w:ascii="Times New Roman" w:hAnsi="Times New Roman" w:cs="Times New Roman"/>
          <w:color w:val="auto"/>
          <w:lang w:val="en-US" w:eastAsia="zh-CN"/>
        </w:rPr>
        <w:t>愈合，从而有效地控制了因隧道施工造成的地下水流失，在保证施工期及运营期结构安全的同时，最大限度</w:t>
      </w:r>
      <w:r>
        <w:rPr>
          <w:rFonts w:hint="eastAsia" w:cs="Times New Roman"/>
          <w:color w:val="auto"/>
          <w:lang w:val="en-US" w:eastAsia="zh-CN"/>
        </w:rPr>
        <w:t>地</w:t>
      </w:r>
      <w:r>
        <w:rPr>
          <w:rFonts w:hint="default" w:ascii="Times New Roman" w:hAnsi="Times New Roman" w:cs="Times New Roman"/>
          <w:color w:val="auto"/>
          <w:lang w:val="en-US" w:eastAsia="zh-CN"/>
        </w:rPr>
        <w:t>保护隧址区生态环境，其实施主要分为三步：</w:t>
      </w:r>
    </w:p>
    <w:p w14:paraId="2F02F15F">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第一步：采用综合超期地质预报措施，获取掌子面前方未开挖段落工程地质及水文地质情况，如围岩级别、综合渗透系数、破碎程度、抗压强度、裂隙率、涌水量、水压等地质和水文的基础资料和指标。为进一步采取“限量排放 ”方案提供依据。</w:t>
      </w:r>
    </w:p>
    <w:p w14:paraId="47A386D0">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第二步：确定注浆加固水方案。依据第一步确定的工程地质及水文地质参数、指标，并综合考虑环保要求、施工工艺水平、施工进度、工程造价等因素确定注浆加固方案，包括注浆加固方法及与之相适应的技术参数。常用的方法主要分为三类：隧道开挖前从地表钻孔实施，如长距离水平定向超前注浆技术；隧道洞内超前向围岩钻孔注浆，如全断面帷幕注浆、局部超前预注浆；开挖后洞内径向注浆。技术参数主要包括：注浆压力、浆液扩散半径、浆液浓度及凝胶时间等。</w:t>
      </w:r>
    </w:p>
    <w:p w14:paraId="79212FF2">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第三步：隧道注浆效果检查评定。针对高压富水段，注浆的目的是既要达到堵水要求，又要满足加固地层的需要。因此，检查项目必须包含对堵水和加固双重作用的检查。现场采取钻孔取芯法和压水检测对注浆效果进行检查，以保证注浆达到设计要求。注浆段验收标准《隧道工程防水技术规范》第 11.3.5  条之规定。</w:t>
      </w:r>
    </w:p>
    <w:p w14:paraId="12F59DBF">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（2）“清污分流 ”</w:t>
      </w:r>
    </w:p>
    <w:p w14:paraId="7D3F9EB0">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隧道涌水处理采用“清污分流 ”排水理念，对隧道清（已衬砌段裂隙水）污（施工废水）水实行隔离、分流处理。以隧道二次衬砌施工末端为界通过中心检查井封堵、防渗土工布覆盖等措施实现已衬砌段与施工段水流分离。</w:t>
      </w:r>
    </w:p>
    <w:p w14:paraId="45B6FF3C">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隧道施工废水由地下涌水和施工浆液混合后形成，施工期间隧道内设置临时集水沟、临时集水井对隧道内污水进行集中收集，通过水泵、移动污水罐引至隧道洞口外排水沟，并在排水沟末端设置污水处理设施，对隧道施工废水进行集中收集处理。隧道施工废水首先采用酸性溶剂进行中和处理调节 pH 值至中性或弱酸性，后经隔油沉淀处理去除泥浆等杂质，沉淀时间不小于两小时。</w:t>
      </w:r>
    </w:p>
    <w:p w14:paraId="7D09B542">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项目隧道地质详勘报告，隧道段无地下水出露。本项目隧道长度1.147km，距离较短，经钻孔得知勘探深度范围内未见地下水，地下水类型主要为第四系、第三系孔隙水、基岩裂隙水及构造裂隙水。第四系孔隙水主要为潜水，</w:t>
      </w:r>
      <w:r>
        <w:rPr>
          <w:rFonts w:hint="eastAsia" w:cs="Times New Roman"/>
          <w:color w:val="auto"/>
          <w:lang w:val="en-US" w:eastAsia="zh-CN"/>
        </w:rPr>
        <w:t>其</w:t>
      </w:r>
      <w:r>
        <w:rPr>
          <w:rFonts w:hint="default" w:ascii="Times New Roman" w:hAnsi="Times New Roman" w:cs="Times New Roman"/>
          <w:color w:val="auto"/>
          <w:lang w:val="en-US" w:eastAsia="zh-CN"/>
        </w:rPr>
        <w:t>赋存在冲积平原碎石土、岩体空隙中，其含水量较弱，且受气候、降水变化影响较明显。遂址区地下水未出露，受气候、降水影响，隧道区水文地质条件简单，可不考虑地表水、地下水的影响。含水地层厚度不均，结构松散，透水性强，主要起过水通道作用，常处于干燥状态。根据拟建公路工程设计地质勘查报告对沿线隧道钻孔调查均</w:t>
      </w:r>
      <w:r>
        <w:rPr>
          <w:rFonts w:hint="eastAsia" w:cs="Times New Roman"/>
          <w:color w:val="auto"/>
          <w:lang w:val="en-US" w:eastAsia="zh-CN"/>
        </w:rPr>
        <w:t>未</w:t>
      </w:r>
      <w:r>
        <w:rPr>
          <w:rFonts w:hint="default" w:ascii="Times New Roman" w:hAnsi="Times New Roman" w:cs="Times New Roman"/>
          <w:color w:val="auto"/>
          <w:lang w:val="en-US" w:eastAsia="zh-CN"/>
        </w:rPr>
        <w:t>出现地下水，由于项目区地处南疆干旱气候隧道施工产生的涌水量很小。</w:t>
      </w:r>
    </w:p>
    <w:p w14:paraId="71FDED0D">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6.2.1.4</w:t>
      </w:r>
      <w:r>
        <w:rPr>
          <w:rFonts w:hint="eastAsia" w:cs="Times New Roman"/>
          <w:color w:val="auto"/>
          <w:lang w:val="en-US" w:eastAsia="zh-CN"/>
        </w:rPr>
        <w:t xml:space="preserve"> </w:t>
      </w:r>
      <w:r>
        <w:rPr>
          <w:rFonts w:hint="default" w:ascii="Times New Roman" w:hAnsi="Times New Roman" w:cs="Times New Roman"/>
          <w:color w:val="auto"/>
          <w:lang w:val="en-US" w:eastAsia="zh-CN"/>
        </w:rPr>
        <w:t>临时设施生产废水</w:t>
      </w:r>
    </w:p>
    <w:p w14:paraId="6D3D175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全线施工生产生活区设置三级沉淀池，混凝土拌合站搅拌过程中产生的废水，梁场预制构件养护废水以及车辆清洗废水经场站四周的防渗排水沟汇集到三级沉淀池中处理，用于项目施工或场站、道路的洒水抑尘，做到不外排。</w:t>
      </w:r>
    </w:p>
    <w:p w14:paraId="02060B3A">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6.2.1.5 施工机械冲洗废水处理</w:t>
      </w:r>
    </w:p>
    <w:p w14:paraId="6D68332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（1）施工场地车辆冲洗废水设置沉淀池处理后回用于车辆冲洗、洒水降尘等，不得排入地表水体，以免对水体造成影响。</w:t>
      </w:r>
    </w:p>
    <w:p w14:paraId="63D3709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（2）机械、设备及运输车辆的维修保养由第三方单位维修，各临时设施内不设置机械维修场地。维修产生含油垃圾由第三方机构自行处理。</w:t>
      </w:r>
    </w:p>
    <w:p w14:paraId="6D793470">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6.2.2 运营期</w:t>
      </w:r>
    </w:p>
    <w:p w14:paraId="6BCAD2FE">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6.2.2.1 路面径流污染防治措施</w:t>
      </w:r>
    </w:p>
    <w:p w14:paraId="2A4529B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（1）运营管理部门应制定具体的突发环境事件应急预案，配备相应的应急物资和设备，</w:t>
      </w:r>
      <w:r>
        <w:rPr>
          <w:rFonts w:hint="eastAsia" w:cs="Times New Roman"/>
          <w:color w:val="auto"/>
          <w:kern w:val="0"/>
          <w:sz w:val="24"/>
          <w:szCs w:val="24"/>
          <w:lang w:val="en-US" w:eastAsia="zh-CN" w:bidi="ar"/>
        </w:rPr>
        <w:t>以便</w:t>
      </w:r>
      <w:r>
        <w:rPr>
          <w:rFonts w:hint="default" w:ascii="Times New Roman" w:hAnsi="Times New Roman" w:eastAsia="宋体" w:cs="Times New Roman"/>
          <w:color w:val="auto"/>
          <w:kern w:val="0"/>
          <w:sz w:val="24"/>
          <w:szCs w:val="24"/>
          <w:lang w:val="en-US" w:eastAsia="zh-CN" w:bidi="ar"/>
        </w:rPr>
        <w:t>及时采取相应的应急措施，将环境污染减小到最低程度。</w:t>
      </w:r>
    </w:p>
    <w:p w14:paraId="0ECC598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（2）加强对路面和桥面的日常维护与管理，保持路面和桥面</w:t>
      </w:r>
      <w:r>
        <w:rPr>
          <w:rFonts w:hint="default" w:ascii="Times New Roman" w:hAnsi="Times New Roman" w:cs="Times New Roman"/>
          <w:color w:val="auto"/>
          <w:kern w:val="0"/>
          <w:sz w:val="24"/>
          <w:szCs w:val="24"/>
          <w:lang w:val="en-US" w:eastAsia="zh-CN" w:bidi="ar"/>
        </w:rPr>
        <w:t>清洁</w:t>
      </w:r>
      <w:r>
        <w:rPr>
          <w:rFonts w:hint="default" w:ascii="Times New Roman" w:hAnsi="Times New Roman" w:eastAsia="宋体" w:cs="Times New Roman"/>
          <w:color w:val="auto"/>
          <w:kern w:val="0"/>
          <w:sz w:val="24"/>
          <w:szCs w:val="24"/>
          <w:lang w:val="en-US" w:eastAsia="zh-CN" w:bidi="ar"/>
        </w:rPr>
        <w:t>及时清理路面和桥面上积累的尘土、碎屑、油污和吸附物等，减少随初期雨水冲刷</w:t>
      </w:r>
      <w:r>
        <w:rPr>
          <w:rFonts w:hint="eastAsia" w:cs="Times New Roman"/>
          <w:color w:val="auto"/>
          <w:kern w:val="0"/>
          <w:sz w:val="24"/>
          <w:szCs w:val="24"/>
          <w:lang w:val="en-US" w:eastAsia="zh-CN" w:bidi="ar"/>
        </w:rPr>
        <w:t>进入</w:t>
      </w:r>
      <w:r>
        <w:rPr>
          <w:rFonts w:hint="default" w:ascii="Times New Roman" w:hAnsi="Times New Roman" w:eastAsia="宋体" w:cs="Times New Roman"/>
          <w:color w:val="auto"/>
          <w:kern w:val="0"/>
          <w:sz w:val="24"/>
          <w:szCs w:val="24"/>
          <w:lang w:val="en-US" w:eastAsia="zh-CN" w:bidi="ar"/>
        </w:rPr>
        <w:t>地表</w:t>
      </w:r>
      <w:r>
        <w:rPr>
          <w:rFonts w:hint="eastAsia" w:cs="Times New Roman"/>
          <w:color w:val="auto"/>
          <w:kern w:val="0"/>
          <w:sz w:val="24"/>
          <w:szCs w:val="24"/>
          <w:lang w:val="en-US" w:eastAsia="zh-CN" w:bidi="ar"/>
        </w:rPr>
        <w:t>。</w:t>
      </w:r>
    </w:p>
    <w:p w14:paraId="2657AFB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（3）严禁各种泄漏、散装超载的车辆上路运行，以防止公路散失货物造成沿线水体污染。</w:t>
      </w:r>
    </w:p>
    <w:p w14:paraId="22BC056E">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（4）加强危险品运输管理登记制度，运输有毒有害物质的车辆必须向相关管理部门通报，经批准后方可驶入。加强运输危险品车辆的质量及运行状态检查，特别是安全防范措施的检查，消灭事故隐患。</w:t>
      </w:r>
    </w:p>
    <w:p w14:paraId="32C1E70A">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6.2.2.2 辅助设施污水治理措施</w:t>
      </w:r>
    </w:p>
    <w:p w14:paraId="14D02EB2">
      <w:pPr>
        <w:keepNext w:val="0"/>
        <w:keepLines w:val="0"/>
        <w:widowControl/>
        <w:suppressLineNumbers w:val="0"/>
        <w:jc w:val="left"/>
        <w:rPr>
          <w:rFonts w:hint="eastAsia"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w:t>
      </w:r>
      <w:r>
        <w:rPr>
          <w:rFonts w:hint="default" w:ascii="Times New Roman" w:hAnsi="Times New Roman" w:eastAsia="宋体" w:cs="Times New Roman"/>
          <w:color w:val="auto"/>
          <w:kern w:val="0"/>
          <w:sz w:val="24"/>
          <w:szCs w:val="24"/>
          <w:highlight w:val="none"/>
          <w:lang w:val="en-US" w:eastAsia="zh-CN" w:bidi="ar"/>
        </w:rPr>
        <w:t>设收费站</w:t>
      </w:r>
      <w:r>
        <w:rPr>
          <w:rFonts w:hint="default" w:ascii="Times New Roman" w:hAnsi="Times New Roman" w:cs="Times New Roman"/>
          <w:color w:val="auto"/>
          <w:kern w:val="0"/>
          <w:sz w:val="24"/>
          <w:szCs w:val="24"/>
          <w:highlight w:val="none"/>
          <w:lang w:val="en-US" w:eastAsia="zh-CN" w:bidi="ar"/>
        </w:rPr>
        <w:t>（隧道管理站合建）</w:t>
      </w:r>
      <w:r>
        <w:rPr>
          <w:rFonts w:hint="default" w:ascii="Times New Roman" w:hAnsi="Times New Roman" w:eastAsia="宋体" w:cs="Times New Roman"/>
          <w:color w:val="auto"/>
          <w:kern w:val="0"/>
          <w:sz w:val="24"/>
          <w:szCs w:val="24"/>
          <w:highlight w:val="none"/>
          <w:lang w:val="en-US" w:eastAsia="zh-CN" w:bidi="ar"/>
        </w:rPr>
        <w:t>1处，</w:t>
      </w:r>
      <w:r>
        <w:rPr>
          <w:rFonts w:hint="default" w:ascii="Times New Roman" w:hAnsi="Times New Roman" w:eastAsia="宋体" w:cs="Times New Roman"/>
          <w:color w:val="auto"/>
          <w:kern w:val="0"/>
          <w:sz w:val="24"/>
          <w:szCs w:val="24"/>
          <w:lang w:val="en-US" w:eastAsia="zh-CN" w:bidi="ar"/>
        </w:rPr>
        <w:t>设置一体化污水处理设施</w:t>
      </w:r>
      <w:r>
        <w:rPr>
          <w:rFonts w:hint="default" w:ascii="Times New Roman" w:hAnsi="Times New Roman" w:cs="Times New Roman"/>
          <w:color w:val="auto"/>
          <w:kern w:val="0"/>
          <w:sz w:val="24"/>
          <w:szCs w:val="24"/>
          <w:lang w:val="en-US" w:eastAsia="zh-CN" w:bidi="ar"/>
        </w:rPr>
        <w:t>1</w:t>
      </w:r>
      <w:r>
        <w:rPr>
          <w:rFonts w:hint="default" w:ascii="Times New Roman" w:hAnsi="Times New Roman" w:eastAsia="宋体" w:cs="Times New Roman"/>
          <w:color w:val="auto"/>
          <w:kern w:val="0"/>
          <w:sz w:val="24"/>
          <w:szCs w:val="24"/>
          <w:lang w:val="en-US" w:eastAsia="zh-CN" w:bidi="ar"/>
        </w:rPr>
        <w:t>套，生活污水经一体化污水处理设施处理</w:t>
      </w:r>
      <w:r>
        <w:rPr>
          <w:rFonts w:hint="eastAsia" w:cs="Times New Roman"/>
          <w:color w:val="auto"/>
          <w:kern w:val="0"/>
          <w:sz w:val="24"/>
          <w:szCs w:val="24"/>
          <w:lang w:val="en-US" w:eastAsia="zh-CN" w:bidi="ar"/>
        </w:rPr>
        <w:t>达到《农村生活污水处理排放标准》（DB65 4275-2019）A级标准后用于站内绿化</w:t>
      </w:r>
      <w:r>
        <w:rPr>
          <w:rFonts w:hint="default" w:ascii="Times New Roman" w:hAnsi="Times New Roman" w:eastAsia="宋体" w:cs="Times New Roman"/>
          <w:color w:val="auto"/>
          <w:kern w:val="0"/>
          <w:sz w:val="24"/>
          <w:szCs w:val="24"/>
          <w:lang w:val="en-US" w:eastAsia="zh-CN" w:bidi="ar"/>
        </w:rPr>
        <w:t>。</w:t>
      </w:r>
      <w:r>
        <w:rPr>
          <w:rFonts w:hint="eastAsia" w:cs="Times New Roman"/>
          <w:color w:val="auto"/>
          <w:kern w:val="0"/>
          <w:sz w:val="24"/>
          <w:szCs w:val="24"/>
          <w:lang w:val="en-US" w:eastAsia="zh-CN" w:bidi="ar"/>
        </w:rPr>
        <w:t>污水处理设备采用二级生化处理</w:t>
      </w:r>
      <w:r>
        <w:rPr>
          <w:rFonts w:hint="default" w:ascii="Times New Roman" w:hAnsi="Times New Roman" w:eastAsia="宋体" w:cs="Times New Roman"/>
          <w:color w:val="auto"/>
          <w:kern w:val="0"/>
          <w:sz w:val="24"/>
          <w:szCs w:val="24"/>
          <w:lang w:val="en-US" w:eastAsia="zh-CN" w:bidi="ar"/>
        </w:rPr>
        <w:t>工艺，处理能力</w:t>
      </w:r>
      <w:r>
        <w:rPr>
          <w:rFonts w:hint="eastAsia"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0m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/d，</w:t>
      </w:r>
      <w:r>
        <w:rPr>
          <w:rFonts w:hint="eastAsia" w:cs="Times New Roman"/>
          <w:color w:val="auto"/>
          <w:kern w:val="0"/>
          <w:sz w:val="24"/>
          <w:szCs w:val="24"/>
          <w:lang w:val="en-US" w:eastAsia="zh-CN" w:bidi="ar"/>
        </w:rPr>
        <w:t>收集池</w:t>
      </w:r>
      <w:r>
        <w:rPr>
          <w:rFonts w:hint="default" w:ascii="Times New Roman" w:hAnsi="Times New Roman" w:eastAsia="宋体" w:cs="Times New Roman"/>
          <w:color w:val="auto"/>
          <w:kern w:val="0"/>
          <w:sz w:val="24"/>
          <w:szCs w:val="24"/>
          <w:lang w:val="en-US" w:eastAsia="zh-CN" w:bidi="ar"/>
        </w:rPr>
        <w:t>容积</w:t>
      </w:r>
      <w:r>
        <w:rPr>
          <w:rFonts w:hint="eastAsia" w:cs="Times New Roman"/>
          <w:color w:val="auto"/>
          <w:kern w:val="0"/>
          <w:sz w:val="24"/>
          <w:szCs w:val="24"/>
          <w:lang w:val="en-US" w:eastAsia="zh-CN" w:bidi="ar"/>
        </w:rPr>
        <w:t>4</w:t>
      </w:r>
      <w:r>
        <w:rPr>
          <w:rFonts w:hint="default" w:ascii="Times New Roman" w:hAnsi="Times New Roman" w:eastAsia="宋体" w:cs="Times New Roman"/>
          <w:color w:val="auto"/>
          <w:kern w:val="0"/>
          <w:sz w:val="24"/>
          <w:szCs w:val="24"/>
          <w:lang w:val="en-US" w:eastAsia="zh-CN" w:bidi="ar"/>
        </w:rPr>
        <w:t>00m</w:t>
      </w:r>
      <w:r>
        <w:rPr>
          <w:rFonts w:hint="default" w:ascii="Times New Roman" w:hAnsi="Times New Roman" w:eastAsia="宋体" w:cs="Times New Roman"/>
          <w:color w:val="auto"/>
          <w:kern w:val="0"/>
          <w:sz w:val="24"/>
          <w:szCs w:val="24"/>
          <w:vertAlign w:val="superscript"/>
          <w:lang w:val="en-US" w:eastAsia="zh-CN" w:bidi="ar"/>
        </w:rPr>
        <w:t>3</w:t>
      </w:r>
      <w:r>
        <w:rPr>
          <w:rFonts w:hint="eastAsia" w:cs="Times New Roman"/>
          <w:color w:val="auto"/>
          <w:kern w:val="0"/>
          <w:sz w:val="24"/>
          <w:szCs w:val="24"/>
          <w:lang w:val="en-US" w:eastAsia="zh-CN" w:bidi="ar"/>
        </w:rPr>
        <w:t>。</w:t>
      </w:r>
    </w:p>
    <w:p w14:paraId="75CFAC1D">
      <w:pPr>
        <w:keepNext w:val="0"/>
        <w:keepLines w:val="0"/>
        <w:widowControl/>
        <w:suppressLineNumbers w:val="0"/>
        <w:jc w:val="left"/>
        <w:rPr>
          <w:rFonts w:hint="default" w:cs="Times New Roman"/>
          <w:color w:val="auto"/>
          <w:kern w:val="0"/>
          <w:sz w:val="24"/>
          <w:szCs w:val="24"/>
          <w:lang w:val="en-US" w:eastAsia="zh-CN" w:bidi="ar"/>
        </w:rPr>
      </w:pPr>
      <w:r>
        <w:rPr>
          <w:rFonts w:hint="default" w:cs="Times New Roman"/>
          <w:color w:val="auto"/>
          <w:kern w:val="0"/>
          <w:sz w:val="24"/>
          <w:szCs w:val="24"/>
          <w:lang w:val="en-US" w:eastAsia="zh-CN" w:bidi="ar"/>
        </w:rPr>
        <w:t>在污水处理系统运行及管理中，为了使污水处理系统运行良好，达到净化水质的目的。因此，对公路沿线附属设施污水处理设备提出如下要求：</w:t>
      </w:r>
    </w:p>
    <w:p w14:paraId="6D012DAB">
      <w:pPr>
        <w:keepNext w:val="0"/>
        <w:keepLines w:val="0"/>
        <w:widowControl/>
        <w:suppressLineNumbers w:val="0"/>
        <w:jc w:val="left"/>
        <w:rPr>
          <w:rFonts w:hint="default" w:cs="Times New Roman"/>
          <w:color w:val="auto"/>
          <w:kern w:val="0"/>
          <w:sz w:val="24"/>
          <w:szCs w:val="24"/>
          <w:lang w:val="en-US" w:eastAsia="zh-CN" w:bidi="ar"/>
        </w:rPr>
      </w:pPr>
      <w:r>
        <w:rPr>
          <w:rFonts w:hint="default" w:cs="Times New Roman"/>
          <w:color w:val="auto"/>
          <w:kern w:val="0"/>
          <w:sz w:val="24"/>
          <w:szCs w:val="24"/>
          <w:lang w:val="en-US" w:eastAsia="zh-CN" w:bidi="ar"/>
        </w:rPr>
        <w:t>（1）定期对污水处理设备进行养护维修，确保污水处理设备正常稳定运行。</w:t>
      </w:r>
    </w:p>
    <w:p w14:paraId="4C23E40C">
      <w:pPr>
        <w:keepNext w:val="0"/>
        <w:keepLines w:val="0"/>
        <w:widowControl/>
        <w:suppressLineNumbers w:val="0"/>
        <w:jc w:val="left"/>
        <w:rPr>
          <w:rFonts w:hint="default" w:cs="Times New Roman"/>
          <w:color w:val="auto"/>
          <w:kern w:val="0"/>
          <w:sz w:val="24"/>
          <w:szCs w:val="24"/>
          <w:lang w:val="en-US" w:eastAsia="zh-CN" w:bidi="ar"/>
        </w:rPr>
      </w:pPr>
      <w:r>
        <w:rPr>
          <w:rFonts w:hint="default" w:cs="Times New Roman"/>
          <w:color w:val="auto"/>
          <w:kern w:val="0"/>
          <w:sz w:val="24"/>
          <w:szCs w:val="24"/>
          <w:lang w:val="en-US" w:eastAsia="zh-CN" w:bidi="ar"/>
        </w:rPr>
        <w:t>（2）为准确控制污水处理设施的处理效果，建议营运管理单位配备一个能够掌握化验技术的管理人员，定期将处理后污水送至有监测资质的机构进行检测，以便及时掌握污水处理设备出水（尾水）的水质情况，并建立污水处理台账。</w:t>
      </w:r>
    </w:p>
    <w:p w14:paraId="252BEA17">
      <w:pPr>
        <w:pStyle w:val="3"/>
        <w:numPr>
          <w:ilvl w:val="1"/>
          <w:numId w:val="0"/>
        </w:numPr>
        <w:bidi w:val="0"/>
        <w:rPr>
          <w:rFonts w:hint="default" w:ascii="Times New Roman" w:hAnsi="Times New Roman" w:cs="Times New Roman"/>
          <w:color w:val="auto"/>
        </w:rPr>
      </w:pPr>
      <w:bookmarkStart w:id="1485" w:name="_Toc27718"/>
      <w:bookmarkStart w:id="1486" w:name="_Toc17562"/>
      <w:bookmarkStart w:id="1487" w:name="_Toc32160"/>
      <w:bookmarkStart w:id="1488" w:name="_Toc19610"/>
      <w:bookmarkStart w:id="1489" w:name="_Toc8818"/>
      <w:bookmarkStart w:id="1490" w:name="_Toc7545"/>
      <w:bookmarkStart w:id="1491" w:name="_Toc24439"/>
      <w:bookmarkStart w:id="1492" w:name="_Toc9624"/>
      <w:bookmarkStart w:id="1493" w:name="_Toc5457"/>
      <w:bookmarkStart w:id="1494" w:name="_Toc23136"/>
      <w:bookmarkStart w:id="1495" w:name="_Toc17767"/>
      <w:r>
        <w:rPr>
          <w:rFonts w:hint="default" w:ascii="Times New Roman" w:hAnsi="Times New Roman" w:cs="Times New Roman"/>
          <w:color w:val="auto"/>
          <w:lang w:val="en-US" w:eastAsia="zh-CN"/>
        </w:rPr>
        <w:t>6.3 环境空气影响减缓措施</w:t>
      </w:r>
      <w:bookmarkEnd w:id="1485"/>
      <w:bookmarkEnd w:id="1486"/>
      <w:bookmarkEnd w:id="1487"/>
      <w:bookmarkEnd w:id="1488"/>
      <w:bookmarkEnd w:id="1489"/>
      <w:bookmarkEnd w:id="1490"/>
      <w:bookmarkEnd w:id="1491"/>
      <w:bookmarkEnd w:id="1492"/>
      <w:bookmarkEnd w:id="1493"/>
      <w:bookmarkEnd w:id="1494"/>
      <w:bookmarkEnd w:id="1495"/>
    </w:p>
    <w:p w14:paraId="33A2A959">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6.3.1 施工期</w:t>
      </w:r>
    </w:p>
    <w:p w14:paraId="77FCAFF2">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6.3.1.1 施工扬尘污染防治要求</w:t>
      </w:r>
    </w:p>
    <w:p w14:paraId="6EEE43B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拟建工程在施工中耗用大量建筑材料，建材在装卸、堆放过程中会产生扬尘污染，为减缓项目地区环境空气中的TSP污染，施工单位应严格执行国家、自治区的相关规定，采取如下措施：</w:t>
      </w:r>
    </w:p>
    <w:p w14:paraId="38DC0C3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（1）施工场地管理</w:t>
      </w:r>
    </w:p>
    <w:p w14:paraId="518D78B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①施工场站设置于常年主导风向的下风向，且施工场站500m范围内无居民区、学校等环境保护目标</w:t>
      </w:r>
      <w:r>
        <w:rPr>
          <w:rFonts w:hint="eastAsia" w:cs="Times New Roman"/>
          <w:color w:val="auto"/>
          <w:kern w:val="0"/>
          <w:sz w:val="24"/>
          <w:szCs w:val="24"/>
          <w:lang w:val="en-US" w:eastAsia="zh-CN" w:bidi="ar"/>
        </w:rPr>
        <w:t>，</w:t>
      </w:r>
      <w:r>
        <w:rPr>
          <w:rFonts w:hint="default" w:ascii="Times New Roman" w:hAnsi="Times New Roman" w:cs="Times New Roman"/>
          <w:color w:val="auto"/>
          <w:kern w:val="0"/>
          <w:sz w:val="24"/>
          <w:szCs w:val="24"/>
          <w:lang w:val="en-US" w:eastAsia="zh-CN" w:bidi="ar"/>
        </w:rPr>
        <w:t>施工场地</w:t>
      </w:r>
      <w:r>
        <w:rPr>
          <w:rFonts w:hint="default" w:ascii="Times New Roman" w:hAnsi="Times New Roman" w:eastAsia="宋体" w:cs="Times New Roman"/>
          <w:color w:val="auto"/>
          <w:kern w:val="0"/>
          <w:sz w:val="24"/>
          <w:szCs w:val="24"/>
          <w:lang w:val="en-US" w:eastAsia="zh-CN" w:bidi="ar"/>
        </w:rPr>
        <w:t>四周应当设置不低于2m的硬质密闭围挡，施工作业层外侧必须使用密目安全网进行封闭。</w:t>
      </w:r>
    </w:p>
    <w:p w14:paraId="746DDDD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②施工工地出口处应当设置冲洗设施以及配套的排水、泥浆沉淀设施，运输车辆驶出施工现场前应当将槽帮和车轮冲洗干净。</w:t>
      </w:r>
    </w:p>
    <w:p w14:paraId="6FE26F1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③施工工地应当硬化并保持清洁；闲置三个月以上的施工工地，应当对其裸露泥地进行临时绿化或者采用铺装等防尘措施。</w:t>
      </w:r>
    </w:p>
    <w:p w14:paraId="5B1D97D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④拌合站、预制厂、物流堆放区和办公生活区等应进行硬化处理，并设置冲洗水导流槽，通往沉淀池。</w:t>
      </w:r>
    </w:p>
    <w:p w14:paraId="4BD6EAF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⑤加强施工现场管理，强化文明施工与作业。在选择施工单位时，建设单位应将施工期的环境减缓措施写入合同文本中，并加强督促与检查，确保施工期的环境减缓措施落到实处。</w:t>
      </w:r>
    </w:p>
    <w:p w14:paraId="340D30A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（2）道路运输防尘</w:t>
      </w:r>
    </w:p>
    <w:p w14:paraId="537A3F5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①施工场地内道路应配备洒水车定期清扫洒水，保证道路表面密实、湿润，防止因土质松散、干燥而产生扬尘。</w:t>
      </w:r>
    </w:p>
    <w:p w14:paraId="629497D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②土方和散货物料的运输采用密闭方式，运输车辆的车厢应配备顶棚或遮盖物，并对车辆经过的道路进行洒水降尘，以减少扬尘污染；对于不慎洒落的废渣、材料等派专人负责清扫，避免引起二次扬尘污染。</w:t>
      </w:r>
    </w:p>
    <w:p w14:paraId="28AC70B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③土方、水泥和石灰等散装物料运输、临时存放和装卸过程中，应采取防风遮挡措施或降尘措施。</w:t>
      </w:r>
    </w:p>
    <w:p w14:paraId="46E0223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④清运渣土时，施工企业选用具有渣土运输专业资格的建筑渣土运输企业，进出工地的渣土、垃圾、材料等运输车辆进行密闭，防止物料抛撒滴漏，定期在运输道路上清扫洒水。加强工程渣土运输和建筑垃圾运输企业管理，全面落实车辆营运证、准运证及通行证核发和建筑渣土处置许可制度。</w:t>
      </w:r>
    </w:p>
    <w:p w14:paraId="3134472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（3）材料堆场防尘</w:t>
      </w:r>
    </w:p>
    <w:p w14:paraId="4558062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①土方、石沙、水泥等散货物料的堆场四周设置围挡防风，控制堆垛的堆存高度小于5m。施工材料如油料、化学品等有害物质堆放场地应设围挡措施，并加</w:t>
      </w:r>
      <w:r>
        <w:rPr>
          <w:rFonts w:hint="eastAsia" w:cs="Times New Roman"/>
          <w:color w:val="auto"/>
          <w:kern w:val="0"/>
          <w:sz w:val="24"/>
          <w:szCs w:val="24"/>
          <w:lang w:val="en-US" w:eastAsia="zh-CN" w:bidi="ar"/>
        </w:rPr>
        <w:t>篷布</w:t>
      </w:r>
      <w:r>
        <w:rPr>
          <w:rFonts w:hint="default" w:ascii="Times New Roman" w:hAnsi="Times New Roman" w:eastAsia="宋体" w:cs="Times New Roman"/>
          <w:color w:val="auto"/>
          <w:kern w:val="0"/>
          <w:sz w:val="24"/>
          <w:szCs w:val="24"/>
          <w:lang w:val="en-US" w:eastAsia="zh-CN" w:bidi="ar"/>
        </w:rPr>
        <w:t>覆盖；</w:t>
      </w:r>
    </w:p>
    <w:p w14:paraId="0494AD5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②土方堆场采取定期洒水措施，保证堆垛的湿润，并配备篷布遮盖。</w:t>
      </w:r>
    </w:p>
    <w:p w14:paraId="1BB0C5A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③筑路材料堆放地点选在环境敏感点下风向，距离在300m以上。</w:t>
      </w:r>
    </w:p>
    <w:p w14:paraId="69C6576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④石灰、水泥等不宜洒水的物料应贮存在三面封闭的堆场内，上部设置防雨顶棚。施工工地内的散装物料、渣土和建筑垃圾应当遮盖或者在库房内存放，不得在施工工地外堆放。</w:t>
      </w:r>
    </w:p>
    <w:p w14:paraId="602804E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⑤施工运输车辆在运输</w:t>
      </w:r>
      <w:r>
        <w:rPr>
          <w:rFonts w:hint="eastAsia" w:cs="Times New Roman"/>
          <w:color w:val="auto"/>
          <w:kern w:val="0"/>
          <w:sz w:val="24"/>
          <w:szCs w:val="24"/>
          <w:lang w:val="en-US" w:eastAsia="zh-CN" w:bidi="ar"/>
        </w:rPr>
        <w:t>散装</w:t>
      </w:r>
      <w:r>
        <w:rPr>
          <w:rFonts w:hint="default" w:ascii="Times New Roman" w:hAnsi="Times New Roman" w:eastAsia="宋体" w:cs="Times New Roman"/>
          <w:color w:val="auto"/>
          <w:kern w:val="0"/>
          <w:sz w:val="24"/>
          <w:szCs w:val="24"/>
          <w:lang w:val="en-US" w:eastAsia="zh-CN" w:bidi="ar"/>
        </w:rPr>
        <w:t>物料时应加盖篷布，防止物料遗撒和扬尘；</w:t>
      </w:r>
    </w:p>
    <w:p w14:paraId="2C71500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⑥路基段施工便道定期洒水，最大限度地减少起尘量，污水禁止排入沿线水体。</w:t>
      </w:r>
    </w:p>
    <w:p w14:paraId="71DE164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（4）拌合站和预制场防尘</w:t>
      </w:r>
    </w:p>
    <w:p w14:paraId="29CF6A0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①拌合站和预制场要求采取全封闭作业。</w:t>
      </w:r>
    </w:p>
    <w:p w14:paraId="3BBC2E4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②石灰、水泥和砂石料及混凝土</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均采用站拌方式，</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站应远离居民区敏感点。</w:t>
      </w:r>
    </w:p>
    <w:p w14:paraId="5A84737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③拌合站采取全封闭车间化生产，原材料、上料、配料、搅拌设备以及料仓存料库全封闭，灰土拌合采用集中站拌方式，拌合站四周设置围挡防风阻尘，施工现场进行拌合作业时拌合装置必须封闭严密，同时配备二级除尘装置，降低粉尘飞扬。</w:t>
      </w:r>
    </w:p>
    <w:p w14:paraId="7FDFBA3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④拌合站和预制场应定时清扫、洒水，每天至少两次（</w:t>
      </w:r>
      <w:r>
        <w:rPr>
          <w:rFonts w:hint="default" w:ascii="Times New Roman" w:hAnsi="Times New Roman" w:cs="Times New Roman"/>
          <w:color w:val="auto"/>
          <w:kern w:val="0"/>
          <w:sz w:val="24"/>
          <w:szCs w:val="24"/>
          <w:lang w:val="en-US" w:eastAsia="zh-CN" w:bidi="ar"/>
        </w:rPr>
        <w:t>上下班</w:t>
      </w:r>
      <w:r>
        <w:rPr>
          <w:rFonts w:hint="default" w:ascii="Times New Roman" w:hAnsi="Times New Roman" w:eastAsia="宋体" w:cs="Times New Roman"/>
          <w:color w:val="auto"/>
          <w:kern w:val="0"/>
          <w:sz w:val="24"/>
          <w:szCs w:val="24"/>
          <w:lang w:val="en-US" w:eastAsia="zh-CN" w:bidi="ar"/>
        </w:rPr>
        <w:t>），在经过人员密集地区要加强洒水密度和强度。</w:t>
      </w:r>
    </w:p>
    <w:p w14:paraId="52EF79B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（5）混凝土搅拌站污染防治措施</w:t>
      </w:r>
    </w:p>
    <w:p w14:paraId="0B0307A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建议施工单位在技术经济可行的情况下，搅拌站应集中设置在</w:t>
      </w:r>
      <w:r>
        <w:rPr>
          <w:rFonts w:hint="default" w:ascii="Times New Roman" w:hAnsi="Times New Roman" w:cs="Times New Roman"/>
          <w:color w:val="auto"/>
          <w:kern w:val="0"/>
          <w:sz w:val="24"/>
          <w:szCs w:val="24"/>
          <w:lang w:val="en-US" w:eastAsia="zh-CN" w:bidi="ar"/>
        </w:rPr>
        <w:t>永久占地</w:t>
      </w:r>
      <w:r>
        <w:rPr>
          <w:rFonts w:hint="default" w:ascii="Times New Roman" w:hAnsi="Times New Roman" w:eastAsia="宋体" w:cs="Times New Roman"/>
          <w:color w:val="auto"/>
          <w:kern w:val="0"/>
          <w:sz w:val="24"/>
          <w:szCs w:val="24"/>
          <w:lang w:val="en-US" w:eastAsia="zh-CN" w:bidi="ar"/>
        </w:rPr>
        <w:t>范围内，按照《公路环境保护设计规范》（JTG B04-2010）要求，本项目拟设置的混凝土搅拌站与周围居民点的距离应在300m以上。水泥仓、输送带、搅拌仓设置集气罩，由风量不小于200m</w:t>
      </w:r>
      <w:r>
        <w:rPr>
          <w:rFonts w:hint="default" w:ascii="Times New Roman" w:hAnsi="Times New Roman" w:eastAsia="宋体" w:cs="Times New Roman"/>
          <w:color w:val="auto"/>
          <w:kern w:val="0"/>
          <w:sz w:val="21"/>
          <w:szCs w:val="21"/>
          <w:vertAlign w:val="superscript"/>
          <w:lang w:val="en-US" w:eastAsia="zh-CN" w:bidi="ar"/>
        </w:rPr>
        <w:t xml:space="preserve">3 </w:t>
      </w:r>
      <w:r>
        <w:rPr>
          <w:rFonts w:hint="default" w:ascii="Times New Roman" w:hAnsi="Times New Roman" w:eastAsia="宋体" w:cs="Times New Roman"/>
          <w:color w:val="auto"/>
          <w:kern w:val="0"/>
          <w:sz w:val="24"/>
          <w:szCs w:val="24"/>
          <w:lang w:val="en-US" w:eastAsia="zh-CN" w:bidi="ar"/>
        </w:rPr>
        <w:t>/min的引风机收集废气。废气收集管道下游设置布袋除尘器，布袋除尘器对粉尘的去除率不低于99%。</w:t>
      </w:r>
    </w:p>
    <w:p w14:paraId="6BDE71B3">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6.3.1.2 沥青烟气防治</w:t>
      </w:r>
    </w:p>
    <w:p w14:paraId="051D7F6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施工阶段的沥青烟气主要出现在沥青路面铺设过程中。按照《公路环境保护设计规范》（JTG B04-2010）的要求，采取以下措施：</w:t>
      </w:r>
    </w:p>
    <w:p w14:paraId="5787DCC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①沥青</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站采取封闭式站拌方式。沥青混搅拌站的选址充分考虑对环境的影响，避开居民集中区等环境敏感点，选在</w:t>
      </w:r>
      <w:r>
        <w:rPr>
          <w:rFonts w:hint="default" w:ascii="Times New Roman" w:hAnsi="Times New Roman" w:eastAsia="宋体" w:cs="Times New Roman"/>
          <w:color w:val="auto"/>
          <w:kern w:val="0"/>
          <w:sz w:val="24"/>
          <w:szCs w:val="24"/>
          <w:highlight w:val="none"/>
          <w:lang w:val="en-US" w:eastAsia="zh-CN" w:bidi="ar"/>
        </w:rPr>
        <w:t>距离</w:t>
      </w:r>
      <w:r>
        <w:rPr>
          <w:rFonts w:hint="default" w:ascii="Times New Roman" w:hAnsi="Times New Roman" w:cs="Times New Roman"/>
          <w:color w:val="auto"/>
          <w:kern w:val="0"/>
          <w:sz w:val="24"/>
          <w:szCs w:val="24"/>
          <w:highlight w:val="none"/>
          <w:lang w:val="en-US" w:eastAsia="zh-CN" w:bidi="ar"/>
        </w:rPr>
        <w:t>敏感点</w:t>
      </w:r>
      <w:r>
        <w:rPr>
          <w:rFonts w:hint="default" w:ascii="Times New Roman" w:hAnsi="Times New Roman" w:eastAsia="宋体" w:cs="Times New Roman"/>
          <w:color w:val="auto"/>
          <w:kern w:val="0"/>
          <w:sz w:val="24"/>
          <w:szCs w:val="24"/>
          <w:highlight w:val="none"/>
          <w:lang w:val="en-US" w:eastAsia="zh-CN" w:bidi="ar"/>
        </w:rPr>
        <w:t>300</w:t>
      </w:r>
      <w:r>
        <w:rPr>
          <w:rFonts w:hint="default" w:ascii="Times New Roman" w:hAnsi="Times New Roman" w:eastAsia="宋体" w:cs="Times New Roman"/>
          <w:color w:val="auto"/>
          <w:kern w:val="0"/>
          <w:sz w:val="24"/>
          <w:szCs w:val="24"/>
          <w:lang w:val="en-US" w:eastAsia="zh-CN" w:bidi="ar"/>
        </w:rPr>
        <w:t>m下风向处。</w:t>
      </w:r>
    </w:p>
    <w:p w14:paraId="3D5C1B3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②沥青加热罐、输送斗车、搅拌缸设置集气罩，由风量不小于200m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/min的引风机收集烟气。</w:t>
      </w:r>
    </w:p>
    <w:p w14:paraId="0AE62A5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③</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后的沥青混凝土采用带有无热源或高温容器的全封闭沥青运输车辆将沥青运至铺浇工地进行摊铺，为</w:t>
      </w:r>
      <w:r>
        <w:rPr>
          <w:rFonts w:hint="eastAsia" w:cs="Times New Roman"/>
          <w:color w:val="auto"/>
          <w:kern w:val="0"/>
          <w:sz w:val="24"/>
          <w:szCs w:val="24"/>
          <w:lang w:val="en-US" w:eastAsia="zh-CN" w:bidi="ar"/>
        </w:rPr>
        <w:t>减少</w:t>
      </w:r>
      <w:r>
        <w:rPr>
          <w:rFonts w:hint="default" w:ascii="Times New Roman" w:hAnsi="Times New Roman" w:eastAsia="宋体" w:cs="Times New Roman"/>
          <w:color w:val="auto"/>
          <w:kern w:val="0"/>
          <w:sz w:val="24"/>
          <w:szCs w:val="24"/>
          <w:lang w:val="en-US" w:eastAsia="zh-CN" w:bidi="ar"/>
        </w:rPr>
        <w:t>沥青铺滩时产生的沥青烟对周边大气环境的污染，在沥青铺滩时建议选择铺滩时段为昼间，气象参数选择为晴天并具有二级以上风速，以便于沥青铺滩时产生的烟气能够迅速扩散、稀释与转移。</w:t>
      </w:r>
    </w:p>
    <w:p w14:paraId="11F8A58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④要求沥青</w:t>
      </w:r>
      <w:r>
        <w:rPr>
          <w:rFonts w:hint="default" w:ascii="Times New Roman" w:hAnsi="Times New Roman" w:cs="Times New Roman"/>
          <w:color w:val="auto"/>
          <w:kern w:val="0"/>
          <w:sz w:val="24"/>
          <w:szCs w:val="24"/>
          <w:lang w:val="en-US" w:eastAsia="zh-CN" w:bidi="ar"/>
        </w:rPr>
        <w:t>拌合</w:t>
      </w:r>
      <w:r>
        <w:rPr>
          <w:rFonts w:hint="default" w:ascii="Times New Roman" w:hAnsi="Times New Roman" w:eastAsia="宋体" w:cs="Times New Roman"/>
          <w:color w:val="auto"/>
          <w:kern w:val="0"/>
          <w:sz w:val="24"/>
          <w:szCs w:val="24"/>
          <w:lang w:val="en-US" w:eastAsia="zh-CN" w:bidi="ar"/>
        </w:rPr>
        <w:t>作业机械有良好的密封性和除尘装置，烟气收集管道下游设置烟气净化装置净化烟气，经净化的烟气由15m高的排气筒排放。为确保沥青烟气处理效率，采用购置市面上较成熟的成套净化设备，净化工艺为“冷凝+活性炭吸附”，该处理工艺运行稳定，去除效率高，能高效去除苯并芘、轻质芳烃溶剂等VOC类污染物，根据采用类似工艺的沥青</w:t>
      </w:r>
      <w:r>
        <w:rPr>
          <w:rFonts w:hint="default" w:ascii="Times New Roman" w:hAnsi="Times New Roman" w:cs="Times New Roman"/>
          <w:color w:val="auto"/>
          <w:kern w:val="0"/>
          <w:sz w:val="24"/>
          <w:szCs w:val="24"/>
          <w:lang w:val="en-US" w:eastAsia="zh-CN" w:bidi="ar"/>
        </w:rPr>
        <w:t>混凝土拌合站</w:t>
      </w:r>
      <w:r>
        <w:rPr>
          <w:rFonts w:hint="default" w:ascii="Times New Roman" w:hAnsi="Times New Roman" w:eastAsia="宋体" w:cs="Times New Roman"/>
          <w:color w:val="auto"/>
          <w:kern w:val="0"/>
          <w:sz w:val="24"/>
          <w:szCs w:val="24"/>
          <w:lang w:val="en-US" w:eastAsia="zh-CN" w:bidi="ar"/>
        </w:rPr>
        <w:t>烟气出口监测结果，沥青烟和苯并[a]芘出口浓度可满足《大气污染物综合排放标准》（GB 16297-1996）表2中的二级排放标准要求；施工期产生的废活性炭集中收集后交由有资质的单位集中处理。</w:t>
      </w:r>
    </w:p>
    <w:p w14:paraId="682C964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⑤施工中采用温拌沥青、密闭搅拌。沥青拌合站加热热源为轻质柴油，禁止使用燃煤。沥青储罐应做好封闭措施，防止产生跑、冒、滴、漏现象，并做好防腐防渗措施。</w:t>
      </w:r>
    </w:p>
    <w:p w14:paraId="6C7D770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⑥施工单位必须选用符合国家标准的施工机械设备和运输工具，确保其废气排放符合国家有关标准。</w:t>
      </w:r>
    </w:p>
    <w:p w14:paraId="6492517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⑦施工过程中受环境空气污染的最为严重的是施工人员，施工单位应着重对施工人员采取防护和劳动保护措施，如缩短工作时间和发放防尘口罩等。</w:t>
      </w:r>
    </w:p>
    <w:p w14:paraId="690F4EE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⑧施工期间，当地生态环境局应加大监管力度，督促建设单位、施工单位严格落实各项降尘措施，减轻扬尘污染，减少各种环境纠纷。建设单位应责成施工单位在施工现场标明张布通告和投诉电话，建设单位在接到报案后应及时与当地</w:t>
      </w:r>
      <w:r>
        <w:rPr>
          <w:rFonts w:hint="default" w:ascii="Times New Roman" w:hAnsi="Times New Roman" w:cs="Times New Roman"/>
          <w:color w:val="auto"/>
          <w:kern w:val="0"/>
          <w:sz w:val="24"/>
          <w:szCs w:val="24"/>
          <w:lang w:val="en-US" w:eastAsia="zh-CN" w:bidi="ar"/>
        </w:rPr>
        <w:t>生态环境管理</w:t>
      </w:r>
      <w:r>
        <w:rPr>
          <w:rFonts w:hint="default" w:ascii="Times New Roman" w:hAnsi="Times New Roman" w:eastAsia="宋体" w:cs="Times New Roman"/>
          <w:color w:val="auto"/>
          <w:kern w:val="0"/>
          <w:sz w:val="24"/>
          <w:szCs w:val="24"/>
          <w:lang w:val="en-US" w:eastAsia="zh-CN" w:bidi="ar"/>
        </w:rPr>
        <w:t>部门取得联系，以便及时处理由扬尘引起的扰民事件。</w:t>
      </w:r>
    </w:p>
    <w:p w14:paraId="71208379">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6.3.1.3 施工运输车辆机械尾气控制</w:t>
      </w:r>
    </w:p>
    <w:p w14:paraId="29B61D0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（1）运输车辆严禁超载运输，避免超过车载负荷而尾气排放量呈几何级数上升。</w:t>
      </w:r>
    </w:p>
    <w:p w14:paraId="5DEBB9C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（2）运输车辆和施工机械要及时进行保养，保证其正常运行，避免因机械保养不当而导致的尾气排放量增大，对于排放量严重超标的机械应禁止使用。</w:t>
      </w:r>
    </w:p>
    <w:p w14:paraId="41B226A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（3）施工单位必须选用符合国家卫生防护标准的施工机械设备和运输工具，确保其废气排放符合国家有关标准。</w:t>
      </w:r>
    </w:p>
    <w:p w14:paraId="69845860">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6.3.2 运营期</w:t>
      </w:r>
    </w:p>
    <w:p w14:paraId="04C2E509">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6.3.2.1 汽车尾气污染防治措施</w:t>
      </w:r>
    </w:p>
    <w:p w14:paraId="7B1C2B7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（1）加强公路路基边坡绿化带等的日常养护管理，缓解机动车尾气排放对沿线大气环境的影响。</w:t>
      </w:r>
    </w:p>
    <w:p w14:paraId="5F949D8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（2）加强公路路面、交通设施的养护管理，保障公路畅通，提升公路的整体服务水平，使行驶的机动车保持良好的工况从而减少污染物排放。</w:t>
      </w:r>
    </w:p>
    <w:p w14:paraId="623B20F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（3）加强机动车管理，实施机动车尾气排放检查制度，限制尾气排放超标的机动车的通行。</w:t>
      </w:r>
    </w:p>
    <w:p w14:paraId="298F52E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（4）定期清扫路面和洒水，减少路面扬尘。</w:t>
      </w:r>
    </w:p>
    <w:p w14:paraId="0A8DEC96">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6.3.2.2 附属设施废气污染防治措施</w:t>
      </w:r>
    </w:p>
    <w:p w14:paraId="503DF9F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项目沿线收费站养护工区采用电锅炉，不会排放污染周边环境空气。</w:t>
      </w:r>
    </w:p>
    <w:p w14:paraId="72F6CE2C">
      <w:pPr>
        <w:pStyle w:val="3"/>
        <w:numPr>
          <w:ilvl w:val="1"/>
          <w:numId w:val="0"/>
        </w:numPr>
        <w:bidi w:val="0"/>
        <w:rPr>
          <w:rFonts w:hint="default" w:ascii="Times New Roman" w:hAnsi="Times New Roman" w:cs="Times New Roman"/>
          <w:color w:val="auto"/>
        </w:rPr>
      </w:pPr>
      <w:bookmarkStart w:id="1496" w:name="_Toc17620"/>
      <w:bookmarkStart w:id="1497" w:name="_Toc15783"/>
      <w:bookmarkStart w:id="1498" w:name="_Toc17674"/>
      <w:bookmarkStart w:id="1499" w:name="_Toc31282"/>
      <w:bookmarkStart w:id="1500" w:name="_Toc30020"/>
      <w:bookmarkStart w:id="1501" w:name="_Toc6057"/>
      <w:bookmarkStart w:id="1502" w:name="_Toc20917"/>
      <w:bookmarkStart w:id="1503" w:name="_Toc22222"/>
      <w:bookmarkStart w:id="1504" w:name="_Toc21387"/>
      <w:bookmarkStart w:id="1505" w:name="_Toc2625"/>
      <w:bookmarkStart w:id="1506" w:name="_Toc896"/>
      <w:r>
        <w:rPr>
          <w:rFonts w:hint="default" w:ascii="Times New Roman" w:hAnsi="Times New Roman" w:cs="Times New Roman"/>
          <w:color w:val="auto"/>
          <w:lang w:val="en-US" w:eastAsia="zh-CN"/>
        </w:rPr>
        <w:t>6.4 声环境影响减缓措施</w:t>
      </w:r>
      <w:bookmarkEnd w:id="1496"/>
      <w:bookmarkEnd w:id="1497"/>
      <w:bookmarkEnd w:id="1498"/>
      <w:bookmarkEnd w:id="1499"/>
      <w:bookmarkEnd w:id="1500"/>
      <w:bookmarkEnd w:id="1501"/>
      <w:bookmarkEnd w:id="1502"/>
      <w:bookmarkEnd w:id="1503"/>
      <w:bookmarkEnd w:id="1504"/>
      <w:bookmarkEnd w:id="1505"/>
      <w:bookmarkEnd w:id="1506"/>
    </w:p>
    <w:p w14:paraId="57E24A4C">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6.4.2 施工期的环保措施</w:t>
      </w:r>
    </w:p>
    <w:p w14:paraId="3A59703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施工期的噪声主要来自施工机械和运输车辆。施工过程中，施工单位必须选用符合国家有关标准的施工机具和运输车辆，尽量选用低噪声的施工机械和工艺。振动较大的固定机械设备应加装减振机座，固定强噪声源应考虑加装隔音罩（如发电车等），同时应加强各类施工设备的维护和保养，保持其良好的运转，以便从根本上降低噪声源强。</w:t>
      </w:r>
    </w:p>
    <w:p w14:paraId="45F6DCA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（2）根据拟建项目沿线敏感点分布情况，施工噪</w:t>
      </w:r>
      <w:r>
        <w:rPr>
          <w:rFonts w:hint="default" w:ascii="Times New Roman" w:hAnsi="Times New Roman" w:eastAsia="宋体" w:cs="Times New Roman"/>
          <w:color w:val="auto"/>
          <w:kern w:val="0"/>
          <w:sz w:val="24"/>
          <w:szCs w:val="24"/>
          <w:highlight w:val="none"/>
          <w:lang w:val="en-US" w:eastAsia="zh-CN" w:bidi="ar"/>
        </w:rPr>
        <w:t>声对</w:t>
      </w:r>
      <w:r>
        <w:rPr>
          <w:rFonts w:hint="default" w:ascii="Times New Roman" w:hAnsi="Times New Roman" w:cs="Times New Roman"/>
          <w:color w:val="auto"/>
          <w:kern w:val="0"/>
          <w:sz w:val="24"/>
          <w:szCs w:val="24"/>
          <w:highlight w:val="none"/>
          <w:lang w:val="en-US" w:eastAsia="zh-CN" w:bidi="ar"/>
        </w:rPr>
        <w:t>兰干村等</w:t>
      </w:r>
      <w:r>
        <w:rPr>
          <w:rFonts w:hint="default" w:ascii="Times New Roman" w:hAnsi="Times New Roman" w:eastAsia="宋体" w:cs="Times New Roman"/>
          <w:color w:val="auto"/>
          <w:kern w:val="0"/>
          <w:sz w:val="24"/>
          <w:szCs w:val="24"/>
          <w:highlight w:val="none"/>
          <w:lang w:val="en-US" w:eastAsia="zh-CN" w:bidi="ar"/>
        </w:rPr>
        <w:t>存在</w:t>
      </w:r>
      <w:r>
        <w:rPr>
          <w:rFonts w:hint="default" w:ascii="Times New Roman" w:hAnsi="Times New Roman" w:eastAsia="宋体" w:cs="Times New Roman"/>
          <w:color w:val="auto"/>
          <w:kern w:val="0"/>
          <w:sz w:val="24"/>
          <w:szCs w:val="24"/>
          <w:lang w:val="en-US" w:eastAsia="zh-CN" w:bidi="ar"/>
        </w:rPr>
        <w:t>影响，以上敏感点在夯土机、打桩机施工时设置临时声屏障进行遮挡，既可以避免沿线居民进入施工场地，也可对施工噪声进行遮挡。</w:t>
      </w:r>
    </w:p>
    <w:p w14:paraId="0A8DBA3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（3）为保护施工人员的健康，施工单位要合理安排工作人员轮流操作辐射</w:t>
      </w:r>
      <w:r>
        <w:rPr>
          <w:rFonts w:hint="eastAsia" w:cs="Times New Roman"/>
          <w:color w:val="auto"/>
          <w:kern w:val="0"/>
          <w:sz w:val="24"/>
          <w:szCs w:val="24"/>
          <w:lang w:val="en-US" w:eastAsia="zh-CN" w:bidi="ar"/>
        </w:rPr>
        <w:t>高</w:t>
      </w:r>
      <w:r>
        <w:rPr>
          <w:rFonts w:hint="default" w:ascii="Times New Roman" w:hAnsi="Times New Roman" w:eastAsia="宋体" w:cs="Times New Roman"/>
          <w:color w:val="auto"/>
          <w:kern w:val="0"/>
          <w:sz w:val="24"/>
          <w:szCs w:val="24"/>
          <w:lang w:val="en-US" w:eastAsia="zh-CN" w:bidi="ar"/>
        </w:rPr>
        <w:t>噪声的施工机械，减少接触高噪声的时间。对距辐射高强噪声源较近的施工人员，除采取戴保护耳塞或头盔等劳保措施外，还应适当缩短其劳动时间。</w:t>
      </w:r>
    </w:p>
    <w:p w14:paraId="1E10717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（4）施工便道尽量利用现有县乡道路，新开辟的施工便道尽量远离居民点和村镇等敏感建筑物。利用现有道路进行施工物料运输时，注意调整运输时间，在途经居民集中区时，应减速慢行，禁止鸣笛。</w:t>
      </w:r>
    </w:p>
    <w:p w14:paraId="02B9886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（5）对噪声大的施工机具在夜间（24:00～08:00）停止施工，必须连续施工作业的工点，施工单位应视具体情况及时与当地环保部门取得联系，按规定申领夜间施工证，同时发布公告最大限度地争取民众支持。</w:t>
      </w:r>
    </w:p>
    <w:p w14:paraId="5D67A23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（6）建设单位应责成施工单位在施工现场标明张布通告和投诉电话，建设单位在接到报案后应及时与当地环保部门取得联系，以便及时处理各种环境纠纷。</w:t>
      </w:r>
    </w:p>
    <w:p w14:paraId="726A9357">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（7）加强施工作业管理，合理安排作业时间，严格按照施工作业的有关规定。作业时设置硬质围墙。加强车辆的管理，建材等运输尽量在白天进行，并控制车辆鸣笛。</w:t>
      </w:r>
    </w:p>
    <w:p w14:paraId="4E7FE5AC">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6.4.3 运营期的环保措施</w:t>
      </w:r>
    </w:p>
    <w:p w14:paraId="3D172E6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根据环境保护部发布的最新发布的《地面交通噪声污染防治技术政策》（环发〔2010〕7号）</w:t>
      </w:r>
      <w:r>
        <w:rPr>
          <w:rFonts w:hint="default" w:ascii="Times New Roman" w:hAnsi="Times New Roman" w:cs="Times New Roman"/>
          <w:color w:val="auto"/>
          <w:kern w:val="0"/>
          <w:sz w:val="24"/>
          <w:szCs w:val="24"/>
          <w:lang w:val="en-US" w:eastAsia="zh-CN" w:bidi="ar"/>
        </w:rPr>
        <w:t>文件</w:t>
      </w:r>
      <w:r>
        <w:rPr>
          <w:rFonts w:hint="default" w:ascii="Times New Roman" w:hAnsi="Times New Roman" w:eastAsia="宋体" w:cs="Times New Roman"/>
          <w:color w:val="auto"/>
          <w:kern w:val="0"/>
          <w:sz w:val="24"/>
          <w:szCs w:val="24"/>
          <w:lang w:val="en-US" w:eastAsia="zh-CN" w:bidi="ar"/>
        </w:rPr>
        <w:t>要求：该技术政策规定了合理规划布局、噪声源控制、传声途径噪声削减、敏感建筑物噪声防护、加强交通噪声管理五个方面的地面交通噪声污染防治技术原则和方法。坚持预防为主的原则，在技术经济可行条件下，优先考虑对噪声源和传声途径采取工程技术措施，实施噪声主动控制。建设单位、运营单位应当采取间隔必要的距离、噪声源控制、传声途径噪声削减等有效措施，以使室外声环境质量达标；如通过技术经济论证，认为不宜对交通噪声实施主动控制的，建设单位、运营单位应对噪声敏感建筑物采取有效的噪声防护措施，保证室内合理的声环境质量。在4a类声环境功能区内宜进行绿化或作为交通服务设施、仓储物流设施等非噪声敏感性应用。如4a类声环境功能区有噪声敏感建筑物存在，宜采取声屏障、建筑物防护等</w:t>
      </w:r>
      <w:r>
        <w:rPr>
          <w:rFonts w:hint="default" w:ascii="Times New Roman" w:hAnsi="Times New Roman" w:cs="Times New Roman"/>
          <w:color w:val="auto"/>
          <w:kern w:val="0"/>
          <w:sz w:val="24"/>
          <w:szCs w:val="24"/>
          <w:lang w:val="en-US" w:eastAsia="zh-CN" w:bidi="ar"/>
        </w:rPr>
        <w:t>有效</w:t>
      </w:r>
      <w:r>
        <w:rPr>
          <w:rFonts w:hint="default" w:ascii="Times New Roman" w:hAnsi="Times New Roman" w:eastAsia="宋体" w:cs="Times New Roman"/>
          <w:color w:val="auto"/>
          <w:kern w:val="0"/>
          <w:sz w:val="24"/>
          <w:szCs w:val="24"/>
          <w:lang w:val="en-US" w:eastAsia="zh-CN" w:bidi="ar"/>
        </w:rPr>
        <w:t>噪声污染防治措施进行保护，有条件的可进行搬迁或置换。声屏障的位置、高度、长度、材料、形状等是声屏障设计的重要内容，应根据噪声源特性、噪声衰减要求、声屏障与噪声源及受声点三者之间的相对位置，考虑道路</w:t>
      </w:r>
      <w:r>
        <w:rPr>
          <w:rFonts w:hint="eastAsia" w:cs="Times New Roman"/>
          <w:color w:val="auto"/>
          <w:kern w:val="0"/>
          <w:sz w:val="24"/>
          <w:szCs w:val="24"/>
          <w:lang w:val="en-US" w:eastAsia="zh-CN" w:bidi="ar"/>
        </w:rPr>
        <w:t>结构</w:t>
      </w:r>
      <w:r>
        <w:rPr>
          <w:rFonts w:hint="default" w:ascii="Times New Roman" w:hAnsi="Times New Roman" w:eastAsia="宋体" w:cs="Times New Roman"/>
          <w:color w:val="auto"/>
          <w:kern w:val="0"/>
          <w:sz w:val="24"/>
          <w:szCs w:val="24"/>
          <w:lang w:val="en-US" w:eastAsia="zh-CN" w:bidi="ar"/>
        </w:rPr>
        <w:t>、气候特点、周围环境协调性、安全性、经济性等因素进行专业化设计。如采取室外达标的技术手段不可行，应考虑对噪声敏感建筑物采取被动防护措施（如隔声门窗、通风消声窗等），对室内声环境质量进行合理保护。对噪声敏感建筑物采取被动防护措施，建筑设计单位应依据《民用建筑隔声设计规范》（GB50118-2010）等有关规范文件要求，使室内声环境质量达到有关标准要求，同时宜合理考虑当地气候特点对通风的要求。</w:t>
      </w:r>
    </w:p>
    <w:p w14:paraId="362586E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针对拟建工程的具体建设情况和环境特点以及以上政策法规的要求，本评价提出以下声环境保护原则：</w:t>
      </w:r>
    </w:p>
    <w:p w14:paraId="1D9C7A1F">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6.4.3.1 工程管理措施</w:t>
      </w:r>
    </w:p>
    <w:p w14:paraId="363F2EB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（1）加强交通管理，严格执行限速和禁止超载等交通规则，设置限速</w:t>
      </w:r>
      <w:r>
        <w:rPr>
          <w:rFonts w:hint="eastAsia" w:cs="Times New Roman"/>
          <w:color w:val="auto"/>
          <w:kern w:val="0"/>
          <w:sz w:val="24"/>
          <w:szCs w:val="24"/>
          <w:lang w:val="en-US" w:eastAsia="zh-CN" w:bidi="ar"/>
        </w:rPr>
        <w:t>标志</w:t>
      </w:r>
      <w:r>
        <w:rPr>
          <w:rFonts w:hint="default" w:ascii="Times New Roman" w:hAnsi="Times New Roman" w:eastAsia="宋体" w:cs="Times New Roman"/>
          <w:color w:val="auto"/>
          <w:kern w:val="0"/>
          <w:sz w:val="24"/>
          <w:szCs w:val="24"/>
          <w:lang w:val="en-US" w:eastAsia="zh-CN" w:bidi="ar"/>
        </w:rPr>
        <w:t>，以减少交通噪声扰民问题。</w:t>
      </w:r>
    </w:p>
    <w:p w14:paraId="1A0F086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（2）经常养护路面，维持公路路面的平整度，避免因路况不佳造成车辆颠簸等引起交通噪声增大。</w:t>
      </w:r>
    </w:p>
    <w:p w14:paraId="1775BC97">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6.4.3.2 对沿线村镇规划建设的控制要求</w:t>
      </w:r>
    </w:p>
    <w:p w14:paraId="7C6130E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沿线乡镇应当调整城镇发展规划，在拟建公路预测的达标距离范围以内尽量布置仓储、工厂等对声环境不敏感的房屋功能，防止交通噪声污染。</w:t>
      </w:r>
    </w:p>
    <w:p w14:paraId="14FDDA75">
      <w:pPr>
        <w:pStyle w:val="3"/>
        <w:numPr>
          <w:ilvl w:val="1"/>
          <w:numId w:val="0"/>
        </w:numPr>
        <w:bidi w:val="0"/>
        <w:rPr>
          <w:rFonts w:hint="default" w:ascii="Times New Roman" w:hAnsi="Times New Roman" w:cs="Times New Roman"/>
          <w:color w:val="auto"/>
        </w:rPr>
      </w:pPr>
      <w:bookmarkStart w:id="1507" w:name="_Toc10195"/>
      <w:bookmarkStart w:id="1508" w:name="_Toc10815"/>
      <w:bookmarkStart w:id="1509" w:name="_Toc28643"/>
      <w:bookmarkStart w:id="1510" w:name="_Toc3989"/>
      <w:bookmarkStart w:id="1511" w:name="_Toc26985"/>
      <w:bookmarkStart w:id="1512" w:name="_Toc23926"/>
      <w:bookmarkStart w:id="1513" w:name="_Toc14464"/>
      <w:bookmarkStart w:id="1514" w:name="_Toc21790"/>
      <w:bookmarkStart w:id="1515" w:name="_Toc14336"/>
      <w:bookmarkStart w:id="1516" w:name="_Toc19151"/>
      <w:bookmarkStart w:id="1517" w:name="_Toc25957"/>
      <w:r>
        <w:rPr>
          <w:rFonts w:hint="default" w:ascii="Times New Roman" w:hAnsi="Times New Roman" w:cs="Times New Roman"/>
          <w:color w:val="auto"/>
          <w:lang w:val="en-US" w:eastAsia="zh-CN"/>
        </w:rPr>
        <w:t>6.5 固体废物环境保护措施</w:t>
      </w:r>
      <w:bookmarkEnd w:id="1507"/>
      <w:bookmarkEnd w:id="1508"/>
      <w:bookmarkEnd w:id="1509"/>
      <w:bookmarkEnd w:id="1510"/>
      <w:bookmarkEnd w:id="1511"/>
      <w:bookmarkEnd w:id="1512"/>
      <w:bookmarkEnd w:id="1513"/>
      <w:bookmarkEnd w:id="1514"/>
      <w:bookmarkEnd w:id="1515"/>
      <w:bookmarkEnd w:id="1516"/>
      <w:bookmarkEnd w:id="1517"/>
    </w:p>
    <w:p w14:paraId="3A8DAF4E">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6.5.1 施工期</w:t>
      </w:r>
    </w:p>
    <w:p w14:paraId="6B1D9401">
      <w:pPr>
        <w:pStyle w:val="72"/>
        <w:spacing w:line="360" w:lineRule="auto"/>
        <w:ind w:firstLine="480"/>
        <w:jc w:val="both"/>
        <w:rPr>
          <w:rFonts w:hint="default" w:ascii="Times New Roman" w:hAnsi="Times New Roman" w:eastAsia="宋体" w:cs="Times New Roman"/>
          <w:snapToGrid w:val="0"/>
          <w:color w:val="auto"/>
        </w:rPr>
      </w:pPr>
      <w:r>
        <w:rPr>
          <w:rFonts w:hint="default" w:ascii="Times New Roman" w:hAnsi="Times New Roman" w:eastAsia="宋体" w:cs="Times New Roman"/>
          <w:snapToGrid w:val="0"/>
          <w:color w:val="auto"/>
        </w:rPr>
        <w:t>为防止和减少施工期固体废物对环境的影响，建议采取如下措施：</w:t>
      </w:r>
    </w:p>
    <w:p w14:paraId="13862874">
      <w:pPr>
        <w:pStyle w:val="72"/>
        <w:spacing w:line="360" w:lineRule="auto"/>
        <w:ind w:firstLine="480"/>
        <w:jc w:val="both"/>
        <w:rPr>
          <w:rFonts w:hint="default" w:ascii="Times New Roman" w:hAnsi="Times New Roman" w:eastAsia="宋体" w:cs="Times New Roman"/>
          <w:color w:val="auto"/>
        </w:rPr>
      </w:pPr>
      <w:r>
        <w:rPr>
          <w:rFonts w:hint="default" w:ascii="Times New Roman" w:hAnsi="Times New Roman" w:eastAsia="宋体" w:cs="Times New Roman"/>
          <w:color w:val="auto"/>
        </w:rPr>
        <w:t>（1）加强施工人员的环境保护教育，施工生产生活垃圾应集中堆放并及时清运，不得随意丢弃。</w:t>
      </w:r>
    </w:p>
    <w:p w14:paraId="068D1384">
      <w:pPr>
        <w:pStyle w:val="72"/>
        <w:spacing w:line="360" w:lineRule="auto"/>
        <w:ind w:firstLine="480"/>
        <w:jc w:val="both"/>
        <w:rPr>
          <w:rFonts w:hint="default" w:ascii="Times New Roman" w:hAnsi="Times New Roman" w:eastAsia="宋体" w:cs="Times New Roman"/>
          <w:snapToGrid w:val="0"/>
          <w:color w:val="auto"/>
        </w:rPr>
      </w:pPr>
      <w:r>
        <w:rPr>
          <w:rFonts w:hint="default" w:ascii="Times New Roman" w:hAnsi="Times New Roman" w:eastAsia="宋体" w:cs="Times New Roman"/>
          <w:snapToGrid w:val="0"/>
          <w:color w:val="auto"/>
        </w:rPr>
        <w:t>（2）施工开挖的表层土应单独存放，并采取篷布遮盖等防护措施，防止雨水冲刷，以备施工结束后绿化和复垦用。</w:t>
      </w:r>
    </w:p>
    <w:p w14:paraId="7D229527">
      <w:pPr>
        <w:pStyle w:val="72"/>
        <w:spacing w:line="360" w:lineRule="auto"/>
        <w:ind w:firstLine="480"/>
        <w:jc w:val="both"/>
        <w:rPr>
          <w:rFonts w:hint="default" w:ascii="Times New Roman" w:hAnsi="Times New Roman" w:eastAsia="宋体" w:cs="Times New Roman"/>
          <w:snapToGrid w:val="0"/>
          <w:color w:val="auto"/>
        </w:rPr>
      </w:pPr>
      <w:r>
        <w:rPr>
          <w:rFonts w:hint="default" w:ascii="Times New Roman" w:hAnsi="Times New Roman" w:eastAsia="宋体" w:cs="Times New Roman"/>
          <w:snapToGrid w:val="0"/>
          <w:color w:val="auto"/>
        </w:rPr>
        <w:t>（3）施工过程中产生的建筑垃圾等及时清运，并做好清运前和堆存过程中的水土流失防治工作。清运必须限制在规定时段内进行，按指定路段行驶。车辆运输散体物和废弃物时，运输车辆必须做到装载适量，需要穿越施工场地外区域的车辆应加盖篷布，出工地前做好外部清洗，沿途不漏泥土、不飞扬。</w:t>
      </w:r>
    </w:p>
    <w:p w14:paraId="36DF972F">
      <w:pPr>
        <w:pStyle w:val="72"/>
        <w:spacing w:line="360" w:lineRule="auto"/>
        <w:ind w:firstLine="480"/>
        <w:jc w:val="both"/>
        <w:rPr>
          <w:rFonts w:hint="default" w:ascii="Times New Roman" w:hAnsi="Times New Roman" w:eastAsia="宋体" w:cs="Times New Roman"/>
          <w:snapToGrid w:val="0"/>
          <w:color w:val="auto"/>
        </w:rPr>
      </w:pPr>
      <w:r>
        <w:rPr>
          <w:rFonts w:hint="default" w:ascii="Times New Roman" w:hAnsi="Times New Roman" w:eastAsia="宋体" w:cs="Times New Roman"/>
          <w:snapToGrid w:val="0"/>
          <w:color w:val="auto"/>
        </w:rPr>
        <w:t>（4）对有扬尘的废物，采用围隔的堆放方法处置；对砖瓦等块状和颗粒废物，可采用一般堆存的方法处理，但一定要将其最终运送到指定的场地。</w:t>
      </w:r>
    </w:p>
    <w:p w14:paraId="40F7E85D">
      <w:pPr>
        <w:pStyle w:val="72"/>
        <w:spacing w:line="360" w:lineRule="auto"/>
        <w:ind w:firstLine="480"/>
        <w:jc w:val="both"/>
        <w:rPr>
          <w:rFonts w:hint="default" w:ascii="Times New Roman" w:hAnsi="Times New Roman" w:eastAsia="宋体" w:cs="Times New Roman"/>
          <w:snapToGrid w:val="0"/>
          <w:color w:val="auto"/>
        </w:rPr>
      </w:pPr>
      <w:r>
        <w:rPr>
          <w:rFonts w:hint="default" w:ascii="Times New Roman" w:hAnsi="Times New Roman" w:eastAsia="宋体" w:cs="Times New Roman"/>
          <w:snapToGrid w:val="0"/>
          <w:color w:val="auto"/>
        </w:rPr>
        <w:t>（5）设置施工围挡，尽可能使施工期间的污染和影响控制在施工场地范围内，尽量减少对周围环境的影响。</w:t>
      </w:r>
    </w:p>
    <w:p w14:paraId="59C5271F">
      <w:pPr>
        <w:pStyle w:val="72"/>
        <w:spacing w:line="360" w:lineRule="auto"/>
        <w:ind w:firstLine="480"/>
        <w:jc w:val="both"/>
        <w:rPr>
          <w:rFonts w:hint="default" w:ascii="Times New Roman" w:hAnsi="Times New Roman" w:eastAsia="宋体" w:cs="Times New Roman"/>
          <w:snapToGrid w:val="0"/>
          <w:color w:val="auto"/>
        </w:rPr>
      </w:pPr>
      <w:r>
        <w:rPr>
          <w:rFonts w:hint="default" w:ascii="Times New Roman" w:hAnsi="Times New Roman" w:eastAsia="宋体" w:cs="Times New Roman"/>
          <w:snapToGrid w:val="0"/>
          <w:color w:val="auto"/>
        </w:rPr>
        <w:t>（6）对于施工垃圾要求进行分类和处理，其中可利用的物料，应重复利用或收购，如纸质、木质、</w:t>
      </w:r>
      <w:r>
        <w:rPr>
          <w:rFonts w:hint="default" w:ascii="Times New Roman" w:hAnsi="Times New Roman" w:eastAsia="宋体" w:cs="Times New Roman"/>
          <w:snapToGrid w:val="0"/>
          <w:color w:val="auto"/>
          <w:lang w:eastAsia="zh-CN"/>
        </w:rPr>
        <w:t>金属</w:t>
      </w:r>
      <w:r>
        <w:rPr>
          <w:rFonts w:hint="default" w:ascii="Times New Roman" w:hAnsi="Times New Roman" w:eastAsia="宋体" w:cs="Times New Roman"/>
          <w:snapToGrid w:val="0"/>
          <w:color w:val="auto"/>
        </w:rPr>
        <w:t>和玻璃质的垃圾可供收购站再利用，对不能利用的，应按要求运送到指定地点。</w:t>
      </w:r>
    </w:p>
    <w:p w14:paraId="1B327163">
      <w:pPr>
        <w:keepNext w:val="0"/>
        <w:keepLines w:val="0"/>
        <w:widowControl/>
        <w:suppressLineNumbers w:val="0"/>
        <w:spacing w:line="360" w:lineRule="auto"/>
        <w:jc w:val="both"/>
        <w:rPr>
          <w:rFonts w:hint="default" w:ascii="Times New Roman" w:hAnsi="Times New Roman" w:eastAsia="宋体" w:cs="Times New Roman"/>
          <w:snapToGrid w:val="0"/>
          <w:color w:val="auto"/>
        </w:rPr>
      </w:pPr>
      <w:r>
        <w:rPr>
          <w:rFonts w:hint="default" w:ascii="Times New Roman" w:hAnsi="Times New Roman" w:eastAsia="宋体" w:cs="Times New Roman"/>
          <w:snapToGrid w:val="0"/>
          <w:color w:val="auto"/>
        </w:rPr>
        <w:t>（7）施工人员集中的生活区，要设兼职的环境卫生管理人员，负责宿营区的生活垃圾集中统一收集，并交由环卫部门进行无害化处理，不可沿线随意倾倒。对于由施工人员产生的较集中的生活垃圾，应采用定点收集方式，设立专门的容器（如垃圾箱）加以收集，并按时每天清运。对于人员活动产生的分散垃圾，除对施工人员加强环境保护教育外，也应设立一些分散的小型垃圾收集器，如废物箱等加以收集，并派专人定时打扫清理。</w:t>
      </w:r>
    </w:p>
    <w:p w14:paraId="0B605F04">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6.5.2 运营期</w:t>
      </w:r>
    </w:p>
    <w:p w14:paraId="36B1C312">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（1）通过制定和宣传法规，禁止乘客在公路上乱丢饮料袋、易拉罐等垃圾，设置“请勿乱弃垃圾”标识牌，运营单位及时清理沿线垃圾以保证行车安全和公路两侧的清洁卫生。</w:t>
      </w:r>
    </w:p>
    <w:p w14:paraId="0A8912C9">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（2）本项目沿线附属设施均设置垃圾桶，委托有关单位定期清运过往车辆产生的生活垃圾，严禁随意丢弃。</w:t>
      </w:r>
    </w:p>
    <w:p w14:paraId="2D78477C">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强化项目沿线的固体废弃物污染治理的监督工作，除向司乘人员加强宣传教育工作外，项目沿线的固体废弃物按路段承包，定期进行清理。强化公路沿线固体废弃物污染治理的监督工作，严禁过往车辆乱扔方便袋、饮料罐等固体垃圾。运输含尘物料的汽车要求加盖篷布。</w:t>
      </w:r>
    </w:p>
    <w:p w14:paraId="27C44794">
      <w:pPr>
        <w:pStyle w:val="3"/>
        <w:numPr>
          <w:ilvl w:val="1"/>
          <w:numId w:val="0"/>
        </w:numPr>
        <w:bidi w:val="0"/>
        <w:rPr>
          <w:rFonts w:hint="default" w:ascii="Times New Roman" w:hAnsi="Times New Roman" w:cs="Times New Roman"/>
          <w:color w:val="auto"/>
        </w:rPr>
      </w:pPr>
      <w:bookmarkStart w:id="1518" w:name="_Toc12941"/>
      <w:bookmarkStart w:id="1519" w:name="_Toc27128"/>
      <w:bookmarkStart w:id="1520" w:name="_Toc30883"/>
      <w:bookmarkStart w:id="1521" w:name="_Toc4621"/>
      <w:bookmarkStart w:id="1522" w:name="_Toc13716"/>
      <w:bookmarkStart w:id="1523" w:name="_Toc8744"/>
      <w:bookmarkStart w:id="1524" w:name="_Toc21370"/>
      <w:bookmarkStart w:id="1525" w:name="_Toc32243"/>
      <w:bookmarkStart w:id="1526" w:name="_Toc20479"/>
      <w:bookmarkStart w:id="1527" w:name="_Toc12816"/>
      <w:bookmarkStart w:id="1528" w:name="_Toc30312"/>
      <w:r>
        <w:rPr>
          <w:rFonts w:hint="default" w:ascii="Times New Roman" w:hAnsi="Times New Roman" w:cs="Times New Roman"/>
          <w:color w:val="auto"/>
          <w:lang w:val="en-US" w:eastAsia="zh-CN"/>
        </w:rPr>
        <w:t>6.6 环境风险防范措施</w:t>
      </w:r>
      <w:bookmarkEnd w:id="1518"/>
      <w:bookmarkEnd w:id="1519"/>
      <w:bookmarkEnd w:id="1520"/>
      <w:bookmarkEnd w:id="1521"/>
      <w:bookmarkEnd w:id="1522"/>
      <w:bookmarkEnd w:id="1523"/>
      <w:bookmarkEnd w:id="1524"/>
      <w:bookmarkEnd w:id="1525"/>
      <w:bookmarkEnd w:id="1526"/>
      <w:bookmarkEnd w:id="1527"/>
      <w:bookmarkEnd w:id="1528"/>
    </w:p>
    <w:p w14:paraId="1226324A">
      <w:pPr>
        <w:pStyle w:val="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6.6.1 交通运输事故风险防范措施</w:t>
      </w:r>
    </w:p>
    <w:p w14:paraId="15C71B7B">
      <w:pPr>
        <w:keepNext w:val="0"/>
        <w:keepLines w:val="0"/>
        <w:pageBreakBefore w:val="0"/>
        <w:widowControl/>
        <w:suppressLineNumbers w:val="0"/>
        <w:kinsoku/>
        <w:wordWrap/>
        <w:overflowPunct/>
        <w:topLinePunct w:val="0"/>
        <w:autoSpaceDE/>
        <w:autoSpaceDN/>
        <w:bidi w:val="0"/>
        <w:adjustRightInd/>
        <w:snapToGrid/>
        <w:spacing w:line="360" w:lineRule="auto"/>
        <w:ind w:firstLine="520" w:firstLineChars="200"/>
        <w:jc w:val="left"/>
        <w:textAlignment w:val="auto"/>
        <w:rPr>
          <w:rFonts w:hint="default" w:ascii="Times New Roman" w:hAnsi="Times New Roman" w:eastAsia="宋体" w:cs="Times New Roman"/>
          <w:b w:val="0"/>
          <w:bCs/>
          <w:color w:val="auto"/>
          <w:spacing w:val="10"/>
          <w:kern w:val="2"/>
          <w:sz w:val="24"/>
          <w:szCs w:val="24"/>
          <w:lang w:val="en-US" w:eastAsia="zh-CN" w:bidi="ar-SA"/>
        </w:rPr>
      </w:pPr>
      <w:r>
        <w:rPr>
          <w:rFonts w:hint="default" w:ascii="Times New Roman" w:hAnsi="Times New Roman" w:eastAsia="宋体" w:cs="Times New Roman"/>
          <w:b w:val="0"/>
          <w:bCs/>
          <w:color w:val="auto"/>
          <w:spacing w:val="10"/>
          <w:kern w:val="2"/>
          <w:sz w:val="24"/>
          <w:szCs w:val="24"/>
          <w:lang w:val="en-US" w:eastAsia="zh-CN" w:bidi="ar-SA"/>
        </w:rPr>
        <w:t>（1）公路运营单位应严格执行《危险化学品安全管理条例</w:t>
      </w:r>
      <w:r>
        <w:rPr>
          <w:rFonts w:hint="eastAsia" w:cs="Times New Roman"/>
          <w:b w:val="0"/>
          <w:bCs/>
          <w:color w:val="auto"/>
          <w:spacing w:val="10"/>
          <w:kern w:val="2"/>
          <w:sz w:val="24"/>
          <w:szCs w:val="24"/>
          <w:lang w:val="en-US" w:eastAsia="zh-CN" w:bidi="ar-SA"/>
        </w:rPr>
        <w:t>》《</w:t>
      </w:r>
      <w:r>
        <w:rPr>
          <w:rFonts w:hint="default" w:ascii="Times New Roman" w:hAnsi="Times New Roman" w:eastAsia="宋体" w:cs="Times New Roman"/>
          <w:b w:val="0"/>
          <w:bCs/>
          <w:color w:val="auto"/>
          <w:spacing w:val="10"/>
          <w:kern w:val="2"/>
          <w:sz w:val="24"/>
          <w:szCs w:val="24"/>
          <w:lang w:val="en-US" w:eastAsia="zh-CN" w:bidi="ar-SA"/>
        </w:rPr>
        <w:t>中华人民共和国监控化学品管理条例</w:t>
      </w:r>
      <w:r>
        <w:rPr>
          <w:rFonts w:hint="eastAsia" w:cs="Times New Roman"/>
          <w:b w:val="0"/>
          <w:bCs/>
          <w:color w:val="auto"/>
          <w:spacing w:val="10"/>
          <w:kern w:val="2"/>
          <w:sz w:val="24"/>
          <w:szCs w:val="24"/>
          <w:lang w:val="en-US" w:eastAsia="zh-CN" w:bidi="ar-SA"/>
        </w:rPr>
        <w:t>》《</w:t>
      </w:r>
      <w:r>
        <w:rPr>
          <w:rFonts w:hint="default" w:ascii="Times New Roman" w:hAnsi="Times New Roman" w:eastAsia="宋体" w:cs="Times New Roman"/>
          <w:b w:val="0"/>
          <w:bCs/>
          <w:color w:val="auto"/>
          <w:spacing w:val="10"/>
          <w:kern w:val="2"/>
          <w:sz w:val="24"/>
          <w:szCs w:val="24"/>
          <w:lang w:val="en-US" w:eastAsia="zh-CN" w:bidi="ar-SA"/>
        </w:rPr>
        <w:t xml:space="preserve">全国道路化学危险货物运输专项整治实施方案》等法律法规关于危险化学品公路运输的有关规定，贯彻交通运输部《关于继续进行道路危险货物运输专项整治的通知》（交公路发〔2002〕226号）的相关要求。遇有危险化学品运输车辆应重点检查相关登记报批证明，运输人员上岗资格证，危险化学品的品名、数量、危害、应急措施等情况说明和必要的安全防护设施。严禁超载车辆、“三证”不全车辆上路行驶。 </w:t>
      </w:r>
    </w:p>
    <w:p w14:paraId="70B1613F">
      <w:pPr>
        <w:keepNext w:val="0"/>
        <w:keepLines w:val="0"/>
        <w:pageBreakBefore w:val="0"/>
        <w:widowControl/>
        <w:suppressLineNumbers w:val="0"/>
        <w:kinsoku/>
        <w:wordWrap/>
        <w:overflowPunct/>
        <w:topLinePunct w:val="0"/>
        <w:autoSpaceDE/>
        <w:autoSpaceDN/>
        <w:bidi w:val="0"/>
        <w:adjustRightInd/>
        <w:snapToGrid/>
        <w:spacing w:line="360" w:lineRule="auto"/>
        <w:ind w:firstLine="520" w:firstLineChars="200"/>
        <w:jc w:val="left"/>
        <w:textAlignment w:val="auto"/>
        <w:rPr>
          <w:rFonts w:hint="default" w:ascii="Times New Roman" w:hAnsi="Times New Roman" w:eastAsia="宋体" w:cs="Times New Roman"/>
          <w:b w:val="0"/>
          <w:bCs/>
          <w:color w:val="auto"/>
          <w:spacing w:val="10"/>
          <w:kern w:val="2"/>
          <w:sz w:val="24"/>
          <w:szCs w:val="24"/>
          <w:lang w:val="en-US" w:eastAsia="zh-CN" w:bidi="ar-SA"/>
        </w:rPr>
      </w:pPr>
      <w:r>
        <w:rPr>
          <w:rFonts w:hint="default" w:ascii="Times New Roman" w:hAnsi="Times New Roman" w:eastAsia="宋体" w:cs="Times New Roman"/>
          <w:b w:val="0"/>
          <w:bCs/>
          <w:color w:val="auto"/>
          <w:spacing w:val="10"/>
          <w:kern w:val="2"/>
          <w:sz w:val="24"/>
          <w:szCs w:val="24"/>
          <w:lang w:val="en-US" w:eastAsia="zh-CN" w:bidi="ar-SA"/>
        </w:rPr>
        <w:t xml:space="preserve">（2）危险化学品运输车辆必须配备押运人员，并随时处于押运人员的监管之下，不得超装、超载，事先向当地路政管理部门报告，由路政管理部门为其指定行车时间和路线，运输车辆必须遵守规定的行车时间和路线。 </w:t>
      </w:r>
    </w:p>
    <w:p w14:paraId="2686324B">
      <w:pPr>
        <w:keepNext w:val="0"/>
        <w:keepLines w:val="0"/>
        <w:pageBreakBefore w:val="0"/>
        <w:widowControl/>
        <w:suppressLineNumbers w:val="0"/>
        <w:kinsoku/>
        <w:wordWrap/>
        <w:overflowPunct/>
        <w:topLinePunct w:val="0"/>
        <w:autoSpaceDE/>
        <w:autoSpaceDN/>
        <w:bidi w:val="0"/>
        <w:adjustRightInd/>
        <w:snapToGrid/>
        <w:spacing w:line="360" w:lineRule="auto"/>
        <w:ind w:firstLine="520" w:firstLineChars="200"/>
        <w:jc w:val="left"/>
        <w:textAlignment w:val="auto"/>
        <w:rPr>
          <w:rFonts w:hint="default" w:ascii="Times New Roman" w:hAnsi="Times New Roman" w:eastAsia="宋体" w:cs="Times New Roman"/>
          <w:b w:val="0"/>
          <w:bCs/>
          <w:color w:val="auto"/>
          <w:spacing w:val="10"/>
          <w:kern w:val="2"/>
          <w:sz w:val="24"/>
          <w:szCs w:val="24"/>
          <w:lang w:val="en-US" w:eastAsia="zh-CN" w:bidi="ar-SA"/>
        </w:rPr>
      </w:pPr>
      <w:r>
        <w:rPr>
          <w:rFonts w:hint="default" w:ascii="Times New Roman" w:hAnsi="Times New Roman" w:eastAsia="宋体" w:cs="Times New Roman"/>
          <w:b w:val="0"/>
          <w:bCs/>
          <w:color w:val="auto"/>
          <w:spacing w:val="10"/>
          <w:kern w:val="2"/>
          <w:sz w:val="24"/>
          <w:szCs w:val="24"/>
          <w:lang w:val="en-US" w:eastAsia="zh-CN" w:bidi="ar-SA"/>
        </w:rPr>
        <w:t xml:space="preserve">（3）公路投入运营后，运营单位应当制定本单位事故应急救援预案，配备应急救援人员和必要的应急救援器材、设备，并定期组织演练。危险化学品事故应急救援预案应当报地市级人民政府负责危险化学品安全监督管理综合工作的部门备案。 </w:t>
      </w:r>
    </w:p>
    <w:p w14:paraId="79859E4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b w:val="0"/>
          <w:bCs/>
          <w:color w:val="auto"/>
          <w:spacing w:val="10"/>
          <w:kern w:val="2"/>
          <w:sz w:val="24"/>
          <w:szCs w:val="24"/>
          <w:lang w:val="en-US" w:eastAsia="zh-CN" w:bidi="ar-SA"/>
        </w:rPr>
        <w:t>（4）日常加强对应急人员培训和应急设备的维护，确保应急系统时刻处于良好状态。</w:t>
      </w:r>
    </w:p>
    <w:p w14:paraId="03749A81">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6.6.2 应急预案</w:t>
      </w:r>
    </w:p>
    <w:p w14:paraId="4AED6F28">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项目在竣工验收前需编制“</w:t>
      </w:r>
      <w:r>
        <w:rPr>
          <w:rFonts w:hint="default" w:ascii="Times New Roman" w:hAnsi="Times New Roman" w:cs="Times New Roman"/>
          <w:color w:val="auto"/>
          <w:kern w:val="0"/>
          <w:sz w:val="24"/>
          <w:szCs w:val="24"/>
          <w:lang w:val="en-US" w:eastAsia="zh-CN" w:bidi="ar"/>
        </w:rPr>
        <w:t>S227阿图什至喀什公路新建工程（隧道）</w:t>
      </w:r>
      <w:r>
        <w:rPr>
          <w:rFonts w:hint="default" w:ascii="Times New Roman" w:hAnsi="Times New Roman" w:eastAsia="宋体" w:cs="Times New Roman"/>
          <w:color w:val="auto"/>
          <w:kern w:val="0"/>
          <w:sz w:val="24"/>
          <w:szCs w:val="24"/>
          <w:lang w:val="en-US" w:eastAsia="zh-CN" w:bidi="ar"/>
        </w:rPr>
        <w:t>运营期环境风险应急预案”，预案内容包含总则、组织体系和职责、预防和预警、应急处置、后期处置、保障措施等方面的内容，具体内容可根据报告中编制的应急预案进行细化和补充。</w:t>
      </w:r>
    </w:p>
    <w:p w14:paraId="7B2D6B59">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（一）总则</w:t>
      </w:r>
    </w:p>
    <w:p w14:paraId="45C278D3">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1、适用范围</w:t>
      </w:r>
    </w:p>
    <w:p w14:paraId="15DDBB2C">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本预案适用于</w:t>
      </w:r>
      <w:r>
        <w:rPr>
          <w:rFonts w:hint="default" w:ascii="Times New Roman" w:hAnsi="Times New Roman" w:cs="Times New Roman"/>
          <w:color w:val="auto"/>
          <w:kern w:val="0"/>
          <w:sz w:val="24"/>
          <w:szCs w:val="24"/>
          <w:lang w:val="en-US" w:eastAsia="zh-CN" w:bidi="ar"/>
        </w:rPr>
        <w:t>S227阿图什至喀什公路新建工程（隧道）</w:t>
      </w:r>
      <w:r>
        <w:rPr>
          <w:rFonts w:hint="default" w:ascii="Times New Roman" w:hAnsi="Times New Roman" w:eastAsia="宋体" w:cs="Times New Roman"/>
          <w:color w:val="auto"/>
          <w:kern w:val="0"/>
          <w:sz w:val="24"/>
          <w:szCs w:val="24"/>
          <w:lang w:val="en-US" w:eastAsia="zh-CN" w:bidi="ar"/>
        </w:rPr>
        <w:t>运营期公路范围内发生的危险化学品运输事故造</w:t>
      </w:r>
      <w:r>
        <w:rPr>
          <w:rFonts w:hint="default" w:ascii="Times New Roman" w:hAnsi="Times New Roman" w:cs="Times New Roman"/>
          <w:color w:val="auto"/>
          <w:kern w:val="0"/>
          <w:sz w:val="24"/>
          <w:szCs w:val="24"/>
          <w:lang w:val="en-US" w:eastAsia="zh-CN" w:bidi="ar"/>
        </w:rPr>
        <w:t>成的</w:t>
      </w:r>
      <w:r>
        <w:rPr>
          <w:rFonts w:hint="eastAsia" w:cs="Times New Roman"/>
          <w:color w:val="auto"/>
          <w:kern w:val="0"/>
          <w:sz w:val="24"/>
          <w:szCs w:val="24"/>
          <w:lang w:val="en-US" w:eastAsia="zh-CN" w:bidi="ar"/>
        </w:rPr>
        <w:t>土壤、</w:t>
      </w:r>
      <w:r>
        <w:rPr>
          <w:rFonts w:hint="default" w:ascii="Times New Roman" w:hAnsi="Times New Roman" w:eastAsia="宋体" w:cs="Times New Roman"/>
          <w:color w:val="auto"/>
          <w:kern w:val="0"/>
          <w:sz w:val="24"/>
          <w:szCs w:val="24"/>
          <w:lang w:val="en-US" w:eastAsia="zh-CN" w:bidi="ar"/>
        </w:rPr>
        <w:t>水质污染。</w:t>
      </w:r>
    </w:p>
    <w:p w14:paraId="74C69819">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环境风险事故应急预案应以《新疆维吾尔自治区突发环境事件应急预案（修订稿）》（新政办发〔2022〕4号）等文件为依据，在地方原有危险品安全运输管理体系的基础上，联合相关部门，建立更加完善通畅的信息网络，将市、区县、乡镇的事故应急预案、企业危险品事故应急预案和公路事故应急预案相衔接，完善地区公路监控通信收费系统的基础上，增加环境保护的指挥功能。</w:t>
      </w:r>
    </w:p>
    <w:p w14:paraId="5AAFDB3C">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本预案的实施时间自项目竣工通车之日起。</w:t>
      </w:r>
    </w:p>
    <w:p w14:paraId="067072AD">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2、环境风险源识别</w:t>
      </w:r>
    </w:p>
    <w:p w14:paraId="6F07CC3E">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根据环境影响报告书分析，本项目运营期环境风险为：公路和桥梁上行驶的危险化学品运输车辆发生交通事故造成装载的危险化学品泄漏，主要污染物与具体装载的化学品种类有关。</w:t>
      </w:r>
    </w:p>
    <w:p w14:paraId="42D1BC19">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（二）组织体系和职责</w:t>
      </w:r>
    </w:p>
    <w:p w14:paraId="6658DB2C">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1、组织体系</w:t>
      </w:r>
    </w:p>
    <w:p w14:paraId="2BDC4B42">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运营期运营单位为运营期环境风险事故应急的责任主体。运营单位应急办公室为本项目运营期运营单位内部环境风险应急领导机构，领导运营单位各部门在职责范围内开展应急处置工作，并及时向上报告事故情况，接受市级环境风险应急体系和区县级环境风险应急体系的领导，建立健全安全保障合作联动工作机制，加强与地方政府、水利、农村农业等管理单位等相关</w:t>
      </w:r>
      <w:r>
        <w:rPr>
          <w:rFonts w:hint="eastAsia" w:cs="Times New Roman"/>
          <w:color w:val="auto"/>
          <w:kern w:val="0"/>
          <w:sz w:val="24"/>
          <w:szCs w:val="24"/>
          <w:lang w:val="en-US" w:eastAsia="zh-CN" w:bidi="ar"/>
        </w:rPr>
        <w:t>部门</w:t>
      </w:r>
      <w:r>
        <w:rPr>
          <w:rFonts w:hint="default" w:ascii="Times New Roman" w:hAnsi="Times New Roman" w:eastAsia="宋体" w:cs="Times New Roman"/>
          <w:color w:val="auto"/>
          <w:kern w:val="0"/>
          <w:sz w:val="24"/>
          <w:szCs w:val="24"/>
          <w:lang w:val="en-US" w:eastAsia="zh-CN" w:bidi="ar"/>
        </w:rPr>
        <w:t>的协调配合，每个单位指定联络员直接进行对接联系，一旦发现问题，第一时间进行通报反馈，联合开展现地调查，通过整合各方资源，共同研究解决办法，切实提高工作效能，以更大工作成效保障生态安全。</w:t>
      </w:r>
    </w:p>
    <w:p w14:paraId="6B7AF083">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2、运营单位应急办公室：</w:t>
      </w:r>
    </w:p>
    <w:p w14:paraId="4D6E50AC">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运营单位应急办公室（以下简称应急办公室）为本项目运营期运营单位内部环境风险应急领导机构。运营单位总经理为应急办公室主任和运营期环境风险事故负责人。应急办公室职责如下：</w:t>
      </w:r>
    </w:p>
    <w:p w14:paraId="54BC6A4B">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（1）负责相关市、区、县的环境风险应急预案在本项目运营期的贯彻落实，建立运营单位内部运营期环境风险应急管理体系，负责运营单位职责范围内的运营期环境风险应急处置工作的组织管理和协调。</w:t>
      </w:r>
    </w:p>
    <w:p w14:paraId="6D543E26">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（2）监督接收建设单位移交的已竣工的环境风险防范与应急工程设施并检查其有效性。</w:t>
      </w:r>
    </w:p>
    <w:p w14:paraId="096BE0DE">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（3）监督检查运营单位相关部门在运营期采取的环境风险防范措施、人员和设备配置、巡查检修制度的落实情况和有效性。</w:t>
      </w:r>
    </w:p>
    <w:p w14:paraId="45EBBD1B">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w:t>
      </w:r>
      <w:r>
        <w:rPr>
          <w:rFonts w:hint="eastAsia" w:cs="Times New Roman"/>
          <w:color w:val="auto"/>
          <w:kern w:val="0"/>
          <w:sz w:val="24"/>
          <w:szCs w:val="24"/>
          <w:lang w:val="en-US" w:eastAsia="zh-CN" w:bidi="ar"/>
        </w:rPr>
        <w:t>接收</w:t>
      </w:r>
      <w:r>
        <w:rPr>
          <w:rFonts w:hint="default" w:ascii="Times New Roman" w:hAnsi="Times New Roman" w:eastAsia="宋体" w:cs="Times New Roman"/>
          <w:color w:val="auto"/>
          <w:kern w:val="0"/>
          <w:sz w:val="24"/>
          <w:szCs w:val="24"/>
          <w:lang w:val="en-US" w:eastAsia="zh-CN" w:bidi="ar"/>
        </w:rPr>
        <w:t>运营单位相关部门或其他公众的环境报警信息，迅速</w:t>
      </w:r>
      <w:r>
        <w:rPr>
          <w:rFonts w:hint="default" w:ascii="Times New Roman" w:hAnsi="Times New Roman" w:cs="Times New Roman"/>
          <w:color w:val="auto"/>
          <w:kern w:val="0"/>
          <w:sz w:val="24"/>
          <w:szCs w:val="24"/>
          <w:lang w:val="en-US" w:eastAsia="zh-CN" w:bidi="ar"/>
        </w:rPr>
        <w:t>勘查现场</w:t>
      </w:r>
      <w:r>
        <w:rPr>
          <w:rFonts w:hint="default" w:ascii="Times New Roman" w:hAnsi="Times New Roman" w:eastAsia="宋体" w:cs="Times New Roman"/>
          <w:color w:val="auto"/>
          <w:kern w:val="0"/>
          <w:sz w:val="24"/>
          <w:szCs w:val="24"/>
          <w:lang w:val="en-US" w:eastAsia="zh-CN" w:bidi="ar"/>
        </w:rPr>
        <w:t>，判断事故的严重程度，依据市级环境风险应急预案规定，及时向相关市、区、县环境保护主管部门报告。</w:t>
      </w:r>
    </w:p>
    <w:p w14:paraId="0468BAD9">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（5）接受事故所在市环境风险应急体系的领导，在上级应急体系的规范下，与各级应急单位协同合作开展环境风险应急处置工作</w:t>
      </w:r>
    </w:p>
    <w:p w14:paraId="5AE15AAE">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（6）总结本单位在事故应急处置工作中的经验教训，配合政府有关部门调查事故原因。</w:t>
      </w:r>
    </w:p>
    <w:p w14:paraId="0D87E65B">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3、运营单位各相关部门职责</w:t>
      </w:r>
    </w:p>
    <w:p w14:paraId="23C5694C">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（1）养护部门：负责桥梁防撞护栏、排水沟渠、警示标牌的维护保养，加强巡查，发现损坏及时修复。</w:t>
      </w:r>
    </w:p>
    <w:p w14:paraId="21D4B657">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（2）运营部门：协调交警部门进行重点路段的实时监控，加强危险品运输车辆的管理和监控，发现事故及时报告应急办公室。</w:t>
      </w:r>
    </w:p>
    <w:p w14:paraId="54BAF63B">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（3）机电部门：负责维护公路照明设备、监控设备的正常运行，提供环境风险应急处置必要的机械设备和装备器材。</w:t>
      </w:r>
    </w:p>
    <w:p w14:paraId="43076013">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（4）人力资源部门：负责单位内部人员环境风险应急知识的教育培训，组织本单位环境风险应急处置队伍，建立和维护突发环境事件应急信息平台，制定应急演练计划。</w:t>
      </w:r>
    </w:p>
    <w:p w14:paraId="20B9D1B6">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（5）办公室：负责环境应急处置的文件、档案管理和后勤保障。</w:t>
      </w:r>
    </w:p>
    <w:p w14:paraId="77E95085">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（三）预防和预警</w:t>
      </w:r>
    </w:p>
    <w:p w14:paraId="43D3BA24">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1、预防</w:t>
      </w:r>
    </w:p>
    <w:p w14:paraId="488D70FF">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（1）在桥梁两端设置限速和禁止超车标志，防止交通事故的发生。</w:t>
      </w:r>
    </w:p>
    <w:p w14:paraId="7400B053">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（2）协同交警部门加强危险化学品运输车辆的管理和监控。</w:t>
      </w:r>
    </w:p>
    <w:p w14:paraId="71289B61">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（3）加强公路照明设备的维护保养，保证夜间照明。</w:t>
      </w:r>
    </w:p>
    <w:p w14:paraId="4DCDAE12">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（4）运营单位加强巡查，发现隐患问题及时纠正。</w:t>
      </w:r>
    </w:p>
    <w:p w14:paraId="193ABA35">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2、预警</w:t>
      </w:r>
    </w:p>
    <w:p w14:paraId="1B64C919">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根据环境风险应急预案规定，预警信息由运营单位应急办公室上报环境保护行政主管部门后，由人民政府统一发布。</w:t>
      </w:r>
    </w:p>
    <w:p w14:paraId="15A9CACE">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（四）应急处置</w:t>
      </w:r>
    </w:p>
    <w:p w14:paraId="5E426460">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1、应急响应程序</w:t>
      </w:r>
    </w:p>
    <w:p w14:paraId="2F282822">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（1）运营单位应急办公室接到事故报告后，立即查看事故现场，核实情况，在接到事故报告后10分钟内电话通知事故所在地环保主管部门，启动</w:t>
      </w:r>
      <w:r>
        <w:rPr>
          <w:rFonts w:hint="default" w:ascii="Times New Roman" w:hAnsi="Times New Roman" w:cs="Times New Roman"/>
          <w:color w:val="auto"/>
          <w:kern w:val="0"/>
          <w:sz w:val="24"/>
          <w:szCs w:val="24"/>
          <w:lang w:val="en-US" w:eastAsia="zh-CN" w:bidi="ar"/>
        </w:rPr>
        <w:t>相应的</w:t>
      </w:r>
      <w:r>
        <w:rPr>
          <w:rFonts w:hint="default" w:ascii="Times New Roman" w:hAnsi="Times New Roman" w:eastAsia="宋体" w:cs="Times New Roman"/>
          <w:color w:val="auto"/>
          <w:kern w:val="0"/>
          <w:sz w:val="24"/>
          <w:szCs w:val="24"/>
          <w:lang w:val="en-US" w:eastAsia="zh-CN" w:bidi="ar"/>
        </w:rPr>
        <w:t>环境风险应急预案。</w:t>
      </w:r>
    </w:p>
    <w:p w14:paraId="131F159A">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（2）运营部门应加强与当地农林水利部门的沟通协调，建立与公路跨越河流下游联动机制。一旦发生事故，及时控制事故径流污染的影响范围。</w:t>
      </w:r>
    </w:p>
    <w:p w14:paraId="0074BF89">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在事故所在县应急领导机构的命令下达前，运营单位应急办公室指挥本单位应急处置队伍按照本预案的应急处置措施开展应急处置工作，进行及时补救，尽量减少环境污染影响，并将处置情况及时报告市级应急领导机构。</w:t>
      </w:r>
    </w:p>
    <w:p w14:paraId="307309C8">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（4）在事故所在县应急领导机构的命令下达后，运营单位应急办公室指挥 </w:t>
      </w:r>
    </w:p>
    <w:p w14:paraId="14938CB8">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本单位应急处置队伍按照上级命令，同有关应急处置单位协同合作，按照县环境风险应急预案要求开展应急处置工作，并将处置情况及时报告县应急领导机构。</w:t>
      </w:r>
    </w:p>
    <w:p w14:paraId="19B5DF5F">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（5）在事故所在县应急领导机构派出的应急处置单位到达事故现场后，运营单位应为现场应急工作的开展提供便利和协助。</w:t>
      </w:r>
    </w:p>
    <w:p w14:paraId="66A5AE05">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2、现场处置</w:t>
      </w:r>
    </w:p>
    <w:p w14:paraId="19A70EF4">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（1）防护：做好自身防护，凡是进入危险区的人员均实施一级防护，凡留在现场处置的人员也必须达到最低防护等级。</w:t>
      </w:r>
    </w:p>
    <w:p w14:paraId="75F419E6">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（2）询情：现场处置人员配合市级应急领导机构需询问事故相关人员，现场勘查，查明有关泄漏物质、时间、部位、形式、已影响范围、周边影响情况、初步处置措施等一系列情况。</w:t>
      </w:r>
    </w:p>
    <w:p w14:paraId="2E148ACA">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（3）侦检：现场处置人员市级应急领导机构搜寻被困人员；使用仪器测定泄漏物质浓度、扩散范围；确认道路环境、存在的险情；确定攻防路线、阵地；现场及周边污染情况等。</w:t>
      </w:r>
    </w:p>
    <w:p w14:paraId="3FB59D06">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（4）救生：现场处置人员携带、配备相关器具设备进入危险区域，采取有效措施将遇险人员转移，并对获救人员进行登记和标识，转移急救人员到医疗部门等。</w:t>
      </w:r>
    </w:p>
    <w:p w14:paraId="48ED5F11">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（5）展开：配合设置警戒范围，调集应急物资，提出相关灾情处置措施。</w:t>
      </w:r>
    </w:p>
    <w:p w14:paraId="6488534A">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（6）堵漏：根据现场情况进行分析和研究，及时制定堵漏方案，切断泄漏源。</w:t>
      </w:r>
    </w:p>
    <w:p w14:paraId="3D9A7657">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（7）清理：将事故车辆装载化学危险品的驳载转移，将事故车辆拖离现场，并将现场清理出的危险品处置废弃物运送到指定地点。</w:t>
      </w:r>
    </w:p>
    <w:p w14:paraId="24DE4173">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3、事故分类应急处置措施</w:t>
      </w:r>
    </w:p>
    <w:p w14:paraId="38EB2177">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（1）发生危化品泄漏处置</w:t>
      </w:r>
    </w:p>
    <w:p w14:paraId="472D48DB">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①首先应查明泄漏物质的品名、性质，危化品泄漏的原因、设施等状况，制定相应的抢险措施。</w:t>
      </w:r>
    </w:p>
    <w:p w14:paraId="50292E36">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救援人员应当根据危化品的危险特性，配备必要的个人防护用品、器具。易燃易爆物质的泄漏，应配备防静电防护服、工具，严禁火种，切断电源，禁止车辆进入；不得使用手机等通讯设备（防爆通讯设备除外）。有毒物质的泄漏，应配备防毒面具、空气呼吸器，专用防护服。腐蚀性液体的泄漏，应当配备防酸服，防护面具、目镜。</w:t>
      </w:r>
    </w:p>
    <w:p w14:paraId="19F6625C">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③事故现场应设立隔离区，在该区域内除事故抢险人员外，其他人员不得进入；根据事故情况和事故发展，确定事故波及区域人员的撤离。根据事故发生的部位、物质的性质、泄漏原因等，采取相应的控制措施，选用合适的材料和方法堵漏，切断或控制泄漏源。</w:t>
      </w:r>
    </w:p>
    <w:p w14:paraId="60FFCDBA">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④根据泄漏部位，确定堵漏措施。</w:t>
      </w:r>
    </w:p>
    <w:p w14:paraId="17B1B4DA">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⑤如泄漏危险品为固态物质，应急处置时一般可通过清扫加以处置，可就近调动人力物力，清除污染物、铲除地表土层。同时杜绝应急处置时，各类固态物质进入周边水体，固体物质请处置应急专家确认完成清理干净位置。善后工作接收后对事故进行备案。</w:t>
      </w:r>
    </w:p>
    <w:p w14:paraId="116FC707">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⑥如泄漏危险品为气态物质，且为剧毒气体时，一般不会对周边水体造成污染。在泄漏无法避免的情况下，突发事件处置的现场人员应戴防毒面具进行处理，同时需马上通知地方人民政府及其应急指挥机构，请求启动应急疏散预案，对处于污染范围内的人员进行疏散，避免发生人员伤亡事故。</w:t>
      </w:r>
    </w:p>
    <w:p w14:paraId="63D517C0">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⑦如泄漏危险品为液态物质，对于少量的液体泄漏物，现场应急处置可用砂土或其他</w:t>
      </w:r>
      <w:r>
        <w:rPr>
          <w:rFonts w:hint="eastAsia" w:cs="Times New Roman"/>
          <w:color w:val="auto"/>
          <w:kern w:val="0"/>
          <w:sz w:val="24"/>
          <w:szCs w:val="24"/>
          <w:lang w:val="en-US" w:eastAsia="zh-CN" w:bidi="ar"/>
        </w:rPr>
        <w:t>天然</w:t>
      </w:r>
      <w:r>
        <w:rPr>
          <w:rFonts w:hint="default" w:ascii="Times New Roman" w:hAnsi="Times New Roman" w:eastAsia="宋体" w:cs="Times New Roman"/>
          <w:color w:val="auto"/>
          <w:kern w:val="0"/>
          <w:sz w:val="24"/>
          <w:szCs w:val="24"/>
          <w:lang w:val="en-US" w:eastAsia="zh-CN" w:bidi="ar"/>
        </w:rPr>
        <w:t>吸附剂吸附，收集于容器内后进行妥善处理。而如果大量液体泄漏后四处蔓延扩散，难以收集处理，现场应急处置可以采用沙袋筑堤堵截，然后用防爆泵抽吸至专用应急事故处置车辆，而后事故废液运送专门的处理机构处理进行集中处置。</w:t>
      </w:r>
    </w:p>
    <w:p w14:paraId="138277D6">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（2）根据事故所在市级或区县应急领导机构的命令采取相应的应急处置措施。</w:t>
      </w:r>
    </w:p>
    <w:p w14:paraId="7CEE207D">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4、应急终止</w:t>
      </w:r>
    </w:p>
    <w:p w14:paraId="49020DB5">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由事故所在县环境风险应急领导机构根据突发环境事件应急预案的规定宣布应急终止。</w:t>
      </w:r>
    </w:p>
    <w:p w14:paraId="209957B7">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（五）后期处置</w:t>
      </w:r>
    </w:p>
    <w:p w14:paraId="4832BD07">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1、在事故所在县环境风险应急领导机构的统一部署下组织实施后期处置工作。因运营单位责任造成的环境风险事故影响，由责任单位依据有关规定进行赔偿，责任人员依据有关规定追究责任。</w:t>
      </w:r>
    </w:p>
    <w:p w14:paraId="13FF3103">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2、及时总结，对事故发生的起因、经过、引发的结果以及应急处置工作进行全面客观</w:t>
      </w:r>
      <w:r>
        <w:rPr>
          <w:rFonts w:hint="default" w:ascii="Times New Roman" w:hAnsi="Times New Roman" w:cs="Times New Roman"/>
          <w:color w:val="auto"/>
          <w:kern w:val="0"/>
          <w:sz w:val="24"/>
          <w:szCs w:val="24"/>
          <w:lang w:val="en-US" w:eastAsia="zh-CN" w:bidi="ar"/>
        </w:rPr>
        <w:t>地</w:t>
      </w:r>
      <w:r>
        <w:rPr>
          <w:rFonts w:hint="default" w:ascii="Times New Roman" w:hAnsi="Times New Roman" w:eastAsia="宋体" w:cs="Times New Roman"/>
          <w:color w:val="auto"/>
          <w:kern w:val="0"/>
          <w:sz w:val="24"/>
          <w:szCs w:val="24"/>
          <w:lang w:val="en-US" w:eastAsia="zh-CN" w:bidi="ar"/>
        </w:rPr>
        <w:t>评估。将事故发生和处置的经验教训反馈到运营管理制度和应急预案的修订中，降低事故再次发生的概率。</w:t>
      </w:r>
    </w:p>
    <w:p w14:paraId="3000EB3D">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（六）保障措施</w:t>
      </w:r>
    </w:p>
    <w:p w14:paraId="28377A40">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1、资金保障</w:t>
      </w:r>
    </w:p>
    <w:p w14:paraId="5B961A4A">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运营单位在日常预算中预留必要的环境风险防范与应急费用。费用专款专用，不得挪作他用，费用支出由审计部门监督。</w:t>
      </w:r>
    </w:p>
    <w:p w14:paraId="6970E553">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2、设备保障</w:t>
      </w:r>
    </w:p>
    <w:p w14:paraId="4DCC3C15">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运营单位配备必要的环境风险应急设备和安全防护装备，如灭火器、围油栏、吸油机、吸油毡、土袋、沙箱、防护服、防毒面具等。并按照相关要求对物资和设备进行定期的维护和保养，保证其正常</w:t>
      </w:r>
      <w:r>
        <w:rPr>
          <w:rFonts w:hint="default" w:ascii="Times New Roman" w:hAnsi="Times New Roman" w:cs="Times New Roman"/>
          <w:color w:val="auto"/>
          <w:kern w:val="0"/>
          <w:sz w:val="24"/>
          <w:szCs w:val="24"/>
          <w:lang w:val="en-US" w:eastAsia="zh-CN" w:bidi="ar"/>
        </w:rPr>
        <w:t>地</w:t>
      </w:r>
      <w:r>
        <w:rPr>
          <w:rFonts w:hint="default" w:ascii="Times New Roman" w:hAnsi="Times New Roman" w:eastAsia="宋体" w:cs="Times New Roman"/>
          <w:color w:val="auto"/>
          <w:kern w:val="0"/>
          <w:sz w:val="24"/>
          <w:szCs w:val="24"/>
          <w:lang w:val="en-US" w:eastAsia="zh-CN" w:bidi="ar"/>
        </w:rPr>
        <w:t>使用，本项目应急物资依托沿线养护工区存放。</w:t>
      </w:r>
    </w:p>
    <w:p w14:paraId="57F6B3C5">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3、人员保障</w:t>
      </w:r>
    </w:p>
    <w:p w14:paraId="1C70C9A4">
      <w:pPr>
        <w:keepNext w:val="0"/>
        <w:keepLines w:val="0"/>
        <w:widowControl/>
        <w:suppressLineNumbers w:val="0"/>
        <w:jc w:val="both"/>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运营单位成立环境风险应急办公室，成立兼职的环境风险应急处置队伍，其人员经培训合格后具备一定的环境风险应急处置技能。可以联系沿线市、县以及消防队、医院、公安、交通、安监局以及各相关职能部门，请求救援力量的支持。</w:t>
      </w:r>
    </w:p>
    <w:p w14:paraId="1F234B92">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4、制度保障</w:t>
      </w:r>
    </w:p>
    <w:p w14:paraId="325FAD29">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运营单位应将本应急预案纳入运营基本管理制度体系并遵照实施，随着应急相关法律法规的制定、修改和完善，部门职责或应急资源发生变化，或者应急演练过程中发现存在的问题和出现新的情况，应及时修订完善预案，并及时完成备案。</w:t>
      </w:r>
    </w:p>
    <w:p w14:paraId="4D80F9E9">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建立突发环境事件隐患排查治理制度，按照《企业突发环境事件隐患排查和治理工作指南》建立以日常排查为主的隐患排查工作机制，及时发现并治理隐患，并建立隐患和整改清单。排查内容包括应急管理隐患排查和风险防控措施排查。其中综合排查一年应不少于一次，日常排查每月不少于一次。</w:t>
      </w:r>
    </w:p>
    <w:p w14:paraId="1A509F12">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（3）加强环境应急资源管理制度，按要求配备必要的应急设施及装备，及时补充和不断完善应急物资。并按照相关要求对物资和设备进行定期的维护和保养，保证其正常</w:t>
      </w:r>
      <w:r>
        <w:rPr>
          <w:rFonts w:hint="default" w:ascii="Times New Roman" w:hAnsi="Times New Roman" w:cs="Times New Roman"/>
          <w:color w:val="auto"/>
          <w:kern w:val="0"/>
          <w:sz w:val="24"/>
          <w:szCs w:val="24"/>
          <w:lang w:val="en-US" w:eastAsia="zh-CN" w:bidi="ar"/>
        </w:rPr>
        <w:t>地</w:t>
      </w:r>
      <w:r>
        <w:rPr>
          <w:rFonts w:hint="default" w:ascii="Times New Roman" w:hAnsi="Times New Roman" w:eastAsia="宋体" w:cs="Times New Roman"/>
          <w:color w:val="auto"/>
          <w:kern w:val="0"/>
          <w:sz w:val="24"/>
          <w:szCs w:val="24"/>
          <w:lang w:val="en-US" w:eastAsia="zh-CN" w:bidi="ar"/>
        </w:rPr>
        <w:t>使用。</w:t>
      </w:r>
    </w:p>
    <w:p w14:paraId="5A289421">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（4）依据《国家突发环境事件应急预案》及有关规定建立突发环境事件报告和处置制度，包括内部报告，信息上报，信息传递、信息通报等流程。</w:t>
      </w:r>
    </w:p>
    <w:p w14:paraId="086D4F86">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5、预案演练</w:t>
      </w:r>
    </w:p>
    <w:p w14:paraId="2DC281BB">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①应急培训</w:t>
      </w:r>
    </w:p>
    <w:p w14:paraId="5BE7FD9B">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基本应急培训是指对参与应急行动所有相关人员进行的最低程序的应急培训，要求应急人员了解和掌握如何识别危险、如何采取必要的应急措施、如何启动紧急警报系统、如何安全疏散人群等基本操作，尤其是环境突发事故火灾应急培训以及危险化学品泄漏事故应急的培训。因此，培训中要加强与灭火操作有关的训练，强调危险物质事故的不同应急水平和注意事项等内容。</w:t>
      </w:r>
    </w:p>
    <w:p w14:paraId="7AB638C6">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培训的主要内容包括应急救援人员应熟悉应急预案的程序、实施内容和方式。明确应急预案和程序中各自的职责及任务。熟知应急响应预案和实施过程控制情况。让应急反应组织中各级人员时刻保持应急准备状态。</w:t>
      </w:r>
    </w:p>
    <w:p w14:paraId="40354BBF">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使应急人员了解并掌握如何利用身边的工具最快最有效地报警，比如使用移动电话、固定电话、网络或其他方式报警。使应急人员熟悉发布紧急情况通告的方法，如使用警笛、警钟、电话或广播等。当事故发生后，为及时疏散事故现场的所有人员，应急队员应掌握如何在现场发放警示标志。为避免事故中不必要的人员伤亡，应培训足够的应急队员在事故现场安全、有序地疏散被困人员或周围人员。对人员疏散的培训主要在应急演习中进行，通过演习还可以测试应急人员的疏散能力。如上所述，由于火灾的易发性和多发性，对火灾应急的培训显得尤为重要，要求应急队员必须掌握必要的灭火技术以便在着火初期迅速灭火，降低或减少导致灾难性事故的危险，掌握灭火装置的识别、使用、保养、维修等基本技术。由于灭火主要是消防队员的职责，因此，火灾应急培训主要也是针对消防队员开展的。</w:t>
      </w:r>
    </w:p>
    <w:p w14:paraId="666E9BBA">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②应急演练</w:t>
      </w:r>
    </w:p>
    <w:p w14:paraId="65922060">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为了保证应急人员和现场人员在对应急预案进行培训学习的基础上，能够用于实际的应急操作和活动，一旦事故发生，能够迅速按照预案的要求做出正确的响应，完成应急中的任务，使相关人员正确逃生、避难，使突发环境事件得到及时控制，最大限度</w:t>
      </w:r>
      <w:r>
        <w:rPr>
          <w:rFonts w:hint="eastAsia" w:cs="Times New Roman"/>
          <w:color w:val="auto"/>
          <w:kern w:val="0"/>
          <w:sz w:val="24"/>
          <w:szCs w:val="24"/>
          <w:lang w:val="en-US" w:eastAsia="zh-CN" w:bidi="ar"/>
        </w:rPr>
        <w:t>地</w:t>
      </w:r>
      <w:r>
        <w:rPr>
          <w:rFonts w:hint="default" w:ascii="Times New Roman" w:hAnsi="Times New Roman" w:eastAsia="宋体" w:cs="Times New Roman"/>
          <w:color w:val="auto"/>
          <w:kern w:val="0"/>
          <w:sz w:val="24"/>
          <w:szCs w:val="24"/>
          <w:lang w:val="en-US" w:eastAsia="zh-CN" w:bidi="ar"/>
        </w:rPr>
        <w:t>减少事故造成的损失和影响。</w:t>
      </w:r>
    </w:p>
    <w:p w14:paraId="282B65FC">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参加演练人员每年根据具体情况确定。主要对象是管理人员，抢救队，救护队及管理处主管人员，对全体职工也要普及教育安排，每年演练一次，并写出演练总结。</w:t>
      </w:r>
    </w:p>
    <w:p w14:paraId="1572A093">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应急演练的内容包括凡涉及有可能影响公路环保、安全生产发生的所有事故，具体有：向公路外机构迅速通报、当地支援机构的通讯联络、各种应急设施的启动、应急小组任务的执行、实施程序的内容和充分性、相关应急设备的功能、执行分配任务的人员的应急能力、危险物质泄漏的模拟或监测显示。</w:t>
      </w:r>
    </w:p>
    <w:p w14:paraId="6E914B26">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应急预案演练是对应急能力的综合检验。应以多种形式组织由应急各方参加的预案训练和演习，使应急人员熟悉各类应急处置和整个应急行动程序，明确自身职责，提高协同作战能力，保证应急救援工作协调、有效、迅速</w:t>
      </w:r>
      <w:r>
        <w:rPr>
          <w:rFonts w:hint="default" w:ascii="Times New Roman" w:hAnsi="Times New Roman" w:cs="Times New Roman"/>
          <w:color w:val="auto"/>
          <w:kern w:val="0"/>
          <w:sz w:val="24"/>
          <w:szCs w:val="24"/>
          <w:lang w:val="en-US" w:eastAsia="zh-CN" w:bidi="ar"/>
        </w:rPr>
        <w:t>地</w:t>
      </w:r>
      <w:r>
        <w:rPr>
          <w:rFonts w:hint="default" w:ascii="Times New Roman" w:hAnsi="Times New Roman" w:eastAsia="宋体" w:cs="Times New Roman"/>
          <w:color w:val="auto"/>
          <w:kern w:val="0"/>
          <w:sz w:val="24"/>
          <w:szCs w:val="24"/>
          <w:lang w:val="en-US" w:eastAsia="zh-CN" w:bidi="ar"/>
        </w:rPr>
        <w:t>开展。</w:t>
      </w:r>
    </w:p>
    <w:p w14:paraId="7B499095">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根据应急预案，运营单位每年至少组织两次包含各养护工区的应急培训，针对培训内容进行应急演练；每年应对应急通讯设备进行测试，并保持测试记录。</w:t>
      </w:r>
    </w:p>
    <w:p w14:paraId="2DA120BF">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不足之处加以改进。通过不同形式的培训和演练，不断提高全体人员的应急反应能力和救援能力。</w:t>
      </w:r>
    </w:p>
    <w:p w14:paraId="357DB8E9">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演习范围在全管理处范围内，所有人员按照事故应急救援预案的规定执行，演练频次：每年选择春季或冬季进行一次。</w:t>
      </w:r>
    </w:p>
    <w:p w14:paraId="39CABD0D">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演练由运营单位负责组织领导，综合办公室具体落实。参加人员由运营单位</w:t>
      </w:r>
      <w:r>
        <w:rPr>
          <w:rFonts w:hint="eastAsia" w:cs="Times New Roman"/>
          <w:color w:val="auto"/>
          <w:kern w:val="0"/>
          <w:sz w:val="24"/>
          <w:szCs w:val="24"/>
          <w:lang w:val="en-US" w:eastAsia="zh-CN" w:bidi="ar"/>
        </w:rPr>
        <w:t>领导和各个应急救援小组为主</w:t>
      </w:r>
      <w:r>
        <w:rPr>
          <w:rFonts w:hint="default" w:ascii="Times New Roman" w:hAnsi="Times New Roman" w:eastAsia="宋体" w:cs="Times New Roman"/>
          <w:color w:val="auto"/>
          <w:kern w:val="0"/>
          <w:sz w:val="24"/>
          <w:szCs w:val="24"/>
          <w:lang w:val="en-US" w:eastAsia="zh-CN" w:bidi="ar"/>
        </w:rPr>
        <w:t>，同时邀请环保局派员参加。演练内容以环境污染或容易发生火灾、泄漏、爆炸事故为模拟课题进行。提前15天通知所有参加人员做好思想、物质材料、工具的准备。养护科、稽查科和安全办做好灭火器材、演练后的补充工作。</w:t>
      </w:r>
    </w:p>
    <w:p w14:paraId="10036741">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每一次演习结束，都要组织相关人员对整个演习过程进行全面正确的评价，及时进行总结，组织力量针对演习过程中出现的问题以及需要保持的内容对预案进行修编完善。演练的组织和预防的修编都要报上级主管部门登记备案；环保专责</w:t>
      </w:r>
      <w:r>
        <w:rPr>
          <w:rFonts w:hint="eastAsia" w:cs="Times New Roman"/>
          <w:color w:val="auto"/>
          <w:kern w:val="0"/>
          <w:sz w:val="24"/>
          <w:szCs w:val="24"/>
          <w:lang w:val="en-US" w:eastAsia="zh-CN" w:bidi="ar"/>
        </w:rPr>
        <w:t>人员</w:t>
      </w:r>
      <w:r>
        <w:rPr>
          <w:rFonts w:hint="default" w:ascii="Times New Roman" w:hAnsi="Times New Roman" w:eastAsia="宋体" w:cs="Times New Roman"/>
          <w:color w:val="auto"/>
          <w:kern w:val="0"/>
          <w:sz w:val="24"/>
          <w:szCs w:val="24"/>
          <w:lang w:val="en-US" w:eastAsia="zh-CN" w:bidi="ar"/>
        </w:rPr>
        <w:t>做好演练的详细计划，实施记录及台账管理。</w:t>
      </w:r>
    </w:p>
    <w:p w14:paraId="68C2B919">
      <w:pPr>
        <w:ind w:firstLine="480"/>
        <w:rPr>
          <w:rFonts w:hint="default" w:ascii="Times New Roman" w:hAnsi="Times New Roman" w:cs="Times New Roman"/>
          <w:color w:val="auto"/>
        </w:rPr>
      </w:pPr>
    </w:p>
    <w:p w14:paraId="79BF05A1">
      <w:pPr>
        <w:pStyle w:val="2"/>
        <w:bidi w:val="0"/>
        <w:rPr>
          <w:rStyle w:val="46"/>
          <w:rFonts w:hint="default" w:ascii="Times New Roman" w:hAnsi="Times New Roman" w:cs="Times New Roman"/>
          <w:b/>
          <w:color w:val="auto"/>
          <w:szCs w:val="22"/>
          <w:lang w:val="en-US" w:eastAsia="zh-CN"/>
        </w:rPr>
        <w:sectPr>
          <w:headerReference r:id="rId12" w:type="default"/>
          <w:footerReference r:id="rId13"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bookmarkStart w:id="1529" w:name="_Toc28570"/>
      <w:bookmarkStart w:id="1530" w:name="_Toc15127"/>
      <w:bookmarkStart w:id="1531" w:name="_Toc7456"/>
      <w:bookmarkStart w:id="1532" w:name="_Toc15904"/>
      <w:bookmarkStart w:id="1533" w:name="_Toc17544"/>
      <w:bookmarkStart w:id="1534" w:name="_Toc32284"/>
      <w:bookmarkStart w:id="1535" w:name="_Toc9510"/>
      <w:bookmarkStart w:id="1536" w:name="_Toc5901"/>
      <w:bookmarkStart w:id="1537" w:name="_Toc4519"/>
      <w:bookmarkStart w:id="1538" w:name="_Toc22474"/>
      <w:bookmarkStart w:id="1539" w:name="_Toc15914"/>
      <w:bookmarkStart w:id="1540" w:name="_Toc30902"/>
      <w:bookmarkStart w:id="1541" w:name="_Toc20431"/>
      <w:bookmarkStart w:id="1542" w:name="_Toc17319"/>
      <w:bookmarkStart w:id="1543" w:name="_Toc30787"/>
      <w:bookmarkStart w:id="1544" w:name="_Toc2689"/>
      <w:bookmarkStart w:id="1545" w:name="_Toc16177"/>
      <w:bookmarkStart w:id="1546" w:name="_Toc21887"/>
      <w:bookmarkStart w:id="1547" w:name="_Toc3684"/>
      <w:bookmarkStart w:id="1548" w:name="_Toc4450"/>
      <w:bookmarkStart w:id="1549" w:name="_Toc12894"/>
      <w:bookmarkStart w:id="1550" w:name="_Toc28155"/>
      <w:bookmarkStart w:id="1551" w:name="_Toc283"/>
      <w:bookmarkStart w:id="1552" w:name="_Toc24945"/>
      <w:bookmarkStart w:id="1553" w:name="_Toc27736"/>
      <w:bookmarkStart w:id="1554" w:name="_Toc482529142"/>
      <w:bookmarkStart w:id="1555" w:name="_Toc9446"/>
      <w:bookmarkStart w:id="1556" w:name="_Toc26713"/>
      <w:bookmarkStart w:id="1557" w:name="_Toc26919"/>
      <w:bookmarkStart w:id="1558" w:name="_Toc28875"/>
    </w:p>
    <w:p w14:paraId="70B4539D">
      <w:pPr>
        <w:pStyle w:val="2"/>
        <w:bidi w:val="0"/>
        <w:rPr>
          <w:rFonts w:hint="default" w:ascii="Times New Roman" w:hAnsi="Times New Roman" w:cs="Times New Roman"/>
          <w:b/>
          <w:color w:val="auto"/>
          <w:szCs w:val="32"/>
        </w:rPr>
      </w:pPr>
      <w:bookmarkStart w:id="1559" w:name="_Toc4586"/>
      <w:bookmarkStart w:id="1560" w:name="_Toc15132"/>
      <w:bookmarkStart w:id="1561" w:name="_Toc17501"/>
      <w:bookmarkStart w:id="1562" w:name="_Toc2214"/>
      <w:bookmarkStart w:id="1563" w:name="_Toc12760"/>
      <w:bookmarkStart w:id="1564" w:name="_Toc16719"/>
      <w:bookmarkStart w:id="1565" w:name="_Toc18294"/>
      <w:bookmarkStart w:id="1566" w:name="_Toc22390"/>
      <w:bookmarkStart w:id="1567" w:name="_Toc1128"/>
      <w:bookmarkStart w:id="1568" w:name="_Toc11587"/>
      <w:bookmarkStart w:id="1569" w:name="_Toc19502"/>
      <w:bookmarkStart w:id="1570" w:name="_Toc25913"/>
      <w:bookmarkStart w:id="1571" w:name="_Toc24214"/>
      <w:bookmarkStart w:id="1572" w:name="_Toc24169"/>
      <w:bookmarkStart w:id="1573" w:name="_Toc3905"/>
      <w:bookmarkStart w:id="1574" w:name="_Toc31367"/>
      <w:bookmarkStart w:id="1575" w:name="_Toc11087"/>
      <w:bookmarkStart w:id="1576" w:name="_Toc18415"/>
      <w:bookmarkStart w:id="1577" w:name="_Toc11398"/>
      <w:bookmarkStart w:id="1578" w:name="_Toc6480"/>
      <w:bookmarkStart w:id="1579" w:name="_Toc21593"/>
      <w:bookmarkStart w:id="1580" w:name="_Toc6784"/>
      <w:bookmarkStart w:id="1581" w:name="_Toc29261"/>
      <w:bookmarkStart w:id="1582" w:name="_Toc9519"/>
      <w:bookmarkStart w:id="1583" w:name="_Toc12232"/>
      <w:bookmarkStart w:id="1584" w:name="_Toc14875"/>
      <w:bookmarkStart w:id="1585" w:name="_Toc26974"/>
      <w:bookmarkStart w:id="1586" w:name="_Toc14180"/>
      <w:bookmarkStart w:id="1587" w:name="_Toc29159"/>
      <w:bookmarkStart w:id="1588" w:name="_Toc9580"/>
      <w:bookmarkStart w:id="1589" w:name="_Toc23757"/>
      <w:bookmarkStart w:id="1590" w:name="_Toc7548"/>
      <w:bookmarkStart w:id="1591" w:name="_Toc883"/>
      <w:bookmarkStart w:id="1592" w:name="_Toc18896"/>
      <w:bookmarkStart w:id="1593" w:name="_Toc30022"/>
      <w:bookmarkStart w:id="1594" w:name="_Toc14214"/>
      <w:bookmarkStart w:id="1595" w:name="_Toc13285"/>
      <w:bookmarkStart w:id="1596" w:name="_Toc18245"/>
      <w:r>
        <w:rPr>
          <w:rFonts w:hint="default" w:ascii="Times New Roman" w:hAnsi="Times New Roman" w:cs="Times New Roman"/>
          <w:color w:val="auto"/>
          <w:lang w:val="en-US" w:eastAsia="zh-CN"/>
        </w:rPr>
        <w:t>7 环境影响经济损益分析</w:t>
      </w:r>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p>
    <w:p w14:paraId="525B61F4">
      <w:pPr>
        <w:keepNext w:val="0"/>
        <w:keepLines w:val="0"/>
        <w:pageBreakBefore w:val="0"/>
        <w:widowControl w:val="0"/>
        <w:kinsoku/>
        <w:wordWrap w:val="0"/>
        <w:overflowPunct/>
        <w:topLinePunct/>
        <w:autoSpaceDE/>
        <w:autoSpaceDN/>
        <w:bidi w:val="0"/>
        <w:adjustRightInd w:val="0"/>
        <w:snapToGrid w:val="0"/>
        <w:spacing w:line="360" w:lineRule="auto"/>
        <w:ind w:firstLine="480" w:firstLineChars="200"/>
        <w:textAlignment w:val="auto"/>
        <w:rPr>
          <w:rFonts w:hint="default" w:ascii="Times New Roman" w:hAnsi="Times New Roman" w:cs="Times New Roman"/>
          <w:snapToGrid w:val="0"/>
          <w:color w:val="auto"/>
          <w:sz w:val="24"/>
          <w:szCs w:val="24"/>
          <w:highlight w:val="none"/>
          <w:lang w:val="zh-CN"/>
        </w:rPr>
      </w:pPr>
      <w:bookmarkStart w:id="1597" w:name="_Toc12376"/>
      <w:bookmarkStart w:id="1598" w:name="_Toc24620"/>
      <w:bookmarkStart w:id="1599" w:name="_Toc24122"/>
      <w:bookmarkStart w:id="1600" w:name="_Toc22625"/>
      <w:bookmarkStart w:id="1601" w:name="_Toc23811"/>
      <w:bookmarkStart w:id="1602" w:name="_Toc32639"/>
      <w:bookmarkStart w:id="1603" w:name="_Toc27118"/>
      <w:bookmarkStart w:id="1604" w:name="_Toc30495"/>
      <w:bookmarkStart w:id="1605" w:name="_Toc834"/>
      <w:bookmarkStart w:id="1606" w:name="_Toc31091"/>
      <w:bookmarkStart w:id="1607" w:name="_Toc26094"/>
      <w:r>
        <w:rPr>
          <w:rFonts w:hint="default" w:ascii="Times New Roman" w:hAnsi="Times New Roman" w:cs="Times New Roman"/>
          <w:snapToGrid w:val="0"/>
          <w:color w:val="auto"/>
          <w:sz w:val="24"/>
          <w:szCs w:val="24"/>
          <w:highlight w:val="none"/>
          <w:lang w:val="zh-CN"/>
        </w:rPr>
        <w:t>工程建成后获得的效益是多方面的，可分为经济效益、社会效益和环境效益三部分。经济效益又可分为直接经济效益和间接经济效益。直接经济效益是指道路使用者获得的效益，主要是由于交通条件改善而产生的节约效益（包括车辆运行成本的节约和行驶时间的节约）、车辆行驶里程缩短而得到的效益、交通运输网得到改善而产生的效益和交通事故减少产生的效益等；间接经济效益是指随着交通条件的改善，地区经济得以更好地发展，沿线土地增值、地区财政收入增加等。社会效益主要指项目的建成可改善区域交通状况和当地人员生活质量、环境保护、改善投资环境等。环境效益主要指项目对生态环境的正效益。</w:t>
      </w:r>
    </w:p>
    <w:p w14:paraId="6132844B">
      <w:pPr>
        <w:keepNext w:val="0"/>
        <w:keepLines w:val="0"/>
        <w:pageBreakBefore w:val="0"/>
        <w:widowControl w:val="0"/>
        <w:kinsoku/>
        <w:overflowPunct/>
        <w:autoSpaceDE/>
        <w:autoSpaceDN/>
        <w:bidi w:val="0"/>
        <w:adjustRightInd w:val="0"/>
        <w:snapToGrid w:val="0"/>
        <w:textAlignment w:val="auto"/>
        <w:rPr>
          <w:rFonts w:hint="default" w:ascii="Times New Roman" w:hAnsi="Times New Roman" w:cs="Times New Roman"/>
          <w:snapToGrid w:val="0"/>
          <w:color w:val="auto"/>
          <w:sz w:val="24"/>
          <w:szCs w:val="24"/>
          <w:highlight w:val="none"/>
          <w:lang w:val="zh-CN"/>
        </w:rPr>
      </w:pPr>
      <w:r>
        <w:rPr>
          <w:rFonts w:hint="default" w:ascii="Times New Roman" w:hAnsi="Times New Roman" w:cs="Times New Roman"/>
          <w:snapToGrid w:val="0"/>
          <w:color w:val="auto"/>
          <w:sz w:val="24"/>
          <w:szCs w:val="24"/>
          <w:highlight w:val="none"/>
          <w:lang w:val="zh-CN"/>
        </w:rPr>
        <w:t>项目实施的投资效果，通常取决于它所带来的经济效益、社会效益和环境效益的优劣。本项目的建设加强了</w:t>
      </w:r>
      <w:r>
        <w:rPr>
          <w:rFonts w:hint="default" w:ascii="Times New Roman" w:hAnsi="Times New Roman" w:cs="Times New Roman"/>
          <w:snapToGrid w:val="0"/>
          <w:color w:val="auto"/>
          <w:sz w:val="24"/>
          <w:szCs w:val="24"/>
          <w:highlight w:val="none"/>
          <w:lang w:val="en-US" w:eastAsia="zh-CN"/>
        </w:rPr>
        <w:t>阿图什市</w:t>
      </w:r>
      <w:r>
        <w:rPr>
          <w:rFonts w:hint="default" w:ascii="Times New Roman" w:hAnsi="Times New Roman" w:cs="Times New Roman"/>
          <w:snapToGrid w:val="0"/>
          <w:color w:val="auto"/>
          <w:sz w:val="24"/>
          <w:szCs w:val="24"/>
          <w:highlight w:val="none"/>
        </w:rPr>
        <w:t>、</w:t>
      </w:r>
      <w:r>
        <w:rPr>
          <w:rFonts w:hint="default" w:ascii="Times New Roman" w:hAnsi="Times New Roman" w:cs="Times New Roman"/>
          <w:snapToGrid w:val="0"/>
          <w:color w:val="auto"/>
          <w:sz w:val="24"/>
          <w:szCs w:val="24"/>
          <w:highlight w:val="none"/>
          <w:lang w:val="en-US" w:eastAsia="zh-CN"/>
        </w:rPr>
        <w:t>喀什市</w:t>
      </w:r>
      <w:r>
        <w:rPr>
          <w:rFonts w:hint="default" w:ascii="Times New Roman" w:hAnsi="Times New Roman" w:cs="Times New Roman"/>
          <w:snapToGrid w:val="0"/>
          <w:color w:val="auto"/>
          <w:sz w:val="24"/>
          <w:szCs w:val="24"/>
          <w:highlight w:val="none"/>
          <w:lang w:val="zh-CN"/>
        </w:rPr>
        <w:t>之间的联系，进一步完善了</w:t>
      </w:r>
      <w:r>
        <w:rPr>
          <w:rFonts w:hint="default" w:ascii="Times New Roman" w:hAnsi="Times New Roman" w:cs="Times New Roman"/>
          <w:snapToGrid w:val="0"/>
          <w:color w:val="auto"/>
          <w:sz w:val="24"/>
          <w:szCs w:val="24"/>
          <w:highlight w:val="none"/>
          <w:lang w:val="en-US" w:eastAsia="zh-CN"/>
        </w:rPr>
        <w:t>克州</w:t>
      </w:r>
      <w:r>
        <w:rPr>
          <w:rFonts w:hint="default" w:ascii="Times New Roman" w:hAnsi="Times New Roman" w:cs="Times New Roman"/>
          <w:snapToGrid w:val="0"/>
          <w:color w:val="auto"/>
          <w:sz w:val="24"/>
          <w:szCs w:val="24"/>
          <w:highlight w:val="none"/>
          <w:lang w:val="zh-CN"/>
        </w:rPr>
        <w:t>及</w:t>
      </w:r>
      <w:r>
        <w:rPr>
          <w:rFonts w:hint="default" w:ascii="Times New Roman" w:hAnsi="Times New Roman" w:cs="Times New Roman"/>
          <w:snapToGrid w:val="0"/>
          <w:color w:val="auto"/>
          <w:sz w:val="24"/>
          <w:szCs w:val="24"/>
          <w:highlight w:val="none"/>
          <w:lang w:val="en-US" w:eastAsia="zh-CN"/>
        </w:rPr>
        <w:t>喀什地区</w:t>
      </w:r>
      <w:r>
        <w:rPr>
          <w:rFonts w:hint="default" w:ascii="Times New Roman" w:hAnsi="Times New Roman" w:cs="Times New Roman"/>
          <w:snapToGrid w:val="0"/>
          <w:color w:val="auto"/>
          <w:sz w:val="24"/>
          <w:szCs w:val="24"/>
          <w:highlight w:val="none"/>
          <w:lang w:val="zh-CN"/>
        </w:rPr>
        <w:t>公路网，有利于促进</w:t>
      </w:r>
      <w:r>
        <w:rPr>
          <w:rFonts w:hint="default" w:ascii="Times New Roman" w:hAnsi="Times New Roman" w:cs="Times New Roman"/>
          <w:snapToGrid w:val="0"/>
          <w:color w:val="auto"/>
          <w:sz w:val="24"/>
          <w:szCs w:val="24"/>
          <w:highlight w:val="none"/>
          <w:lang w:val="en-US" w:eastAsia="zh-CN"/>
        </w:rPr>
        <w:t>克州与喀什地区</w:t>
      </w:r>
      <w:r>
        <w:rPr>
          <w:rFonts w:hint="default" w:ascii="Times New Roman" w:hAnsi="Times New Roman" w:cs="Times New Roman"/>
          <w:snapToGrid w:val="0"/>
          <w:color w:val="auto"/>
          <w:sz w:val="24"/>
          <w:szCs w:val="24"/>
          <w:highlight w:val="none"/>
          <w:lang w:val="zh-CN"/>
        </w:rPr>
        <w:t>的经济社会发展，有利于维护南疆社会稳定。此项目的实施对提高社会效益、路网功能改善意义重大。</w:t>
      </w:r>
    </w:p>
    <w:p w14:paraId="03FCB164">
      <w:pPr>
        <w:pStyle w:val="3"/>
        <w:numPr>
          <w:ilvl w:val="1"/>
          <w:numId w:val="0"/>
        </w:numPr>
        <w:bidi w:val="0"/>
        <w:rPr>
          <w:rFonts w:hint="default" w:ascii="Times New Roman" w:hAnsi="Times New Roman" w:eastAsia="宋体" w:cs="Times New Roman"/>
          <w:b/>
          <w:color w:val="auto"/>
          <w:kern w:val="2"/>
          <w:szCs w:val="30"/>
          <w:highlight w:val="none"/>
          <w:lang w:val="en-US" w:eastAsia="zh-CN" w:bidi="ar-SA"/>
        </w:rPr>
      </w:pPr>
      <w:bookmarkStart w:id="1608" w:name="_Toc4460"/>
      <w:bookmarkStart w:id="1609" w:name="_Toc22959"/>
      <w:bookmarkStart w:id="1610" w:name="_Toc187080721"/>
      <w:bookmarkStart w:id="1611" w:name="_Toc4464"/>
      <w:r>
        <w:rPr>
          <w:rFonts w:hint="default" w:ascii="Times New Roman" w:hAnsi="Times New Roman" w:cs="Times New Roman"/>
          <w:color w:val="auto"/>
          <w:lang w:val="en-US" w:eastAsia="zh-CN"/>
        </w:rPr>
        <w:t>7.1 经济效益分析</w:t>
      </w:r>
      <w:bookmarkEnd w:id="1608"/>
      <w:bookmarkEnd w:id="1609"/>
      <w:bookmarkEnd w:id="1610"/>
      <w:bookmarkEnd w:id="1611"/>
    </w:p>
    <w:p w14:paraId="20C6421E">
      <w:pPr>
        <w:pStyle w:val="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7.1.1 直接经济效益</w:t>
      </w:r>
    </w:p>
    <w:p w14:paraId="1D5ABB45">
      <w:pPr>
        <w:keepNext w:val="0"/>
        <w:keepLines w:val="0"/>
        <w:pageBreakBefore w:val="0"/>
        <w:widowControl w:val="0"/>
        <w:kinsoku/>
        <w:wordWrap w:val="0"/>
        <w:overflowPunct/>
        <w:topLinePunct/>
        <w:autoSpaceDE/>
        <w:autoSpaceDN/>
        <w:bidi w:val="0"/>
        <w:adjustRightInd w:val="0"/>
        <w:snapToGrid w:val="0"/>
        <w:spacing w:beforeLines="0" w:afterLines="0" w:line="360" w:lineRule="auto"/>
        <w:ind w:firstLine="480" w:firstLineChars="200"/>
        <w:rPr>
          <w:rFonts w:hint="default" w:ascii="Times New Roman" w:hAnsi="Times New Roman" w:cs="Times New Roman"/>
          <w:snapToGrid w:val="0"/>
          <w:color w:val="auto"/>
          <w:sz w:val="24"/>
          <w:szCs w:val="24"/>
          <w:highlight w:val="none"/>
          <w:lang w:val="zh-CN"/>
        </w:rPr>
      </w:pPr>
      <w:r>
        <w:rPr>
          <w:rFonts w:hint="default" w:ascii="Times New Roman" w:hAnsi="Times New Roman" w:cs="Times New Roman"/>
          <w:snapToGrid w:val="0"/>
          <w:color w:val="auto"/>
          <w:sz w:val="24"/>
          <w:szCs w:val="24"/>
          <w:highlight w:val="none"/>
          <w:lang w:val="zh-CN"/>
        </w:rPr>
        <w:t>本项目的实施</w:t>
      </w:r>
      <w:r>
        <w:rPr>
          <w:rFonts w:hint="default" w:ascii="Times New Roman" w:hAnsi="Times New Roman" w:cs="Times New Roman"/>
          <w:color w:val="auto"/>
          <w:sz w:val="24"/>
          <w:szCs w:val="24"/>
          <w:highlight w:val="none"/>
        </w:rPr>
        <w:t>将对加快沿线地区产品资源、旅游资源开发，为沿线人民群众创造就业机会、增加当地居民的收入，提高人民群众的生活水平，促进区域经济协调发展都将起到积极作用。同时，项目的快速实施能够有效</w:t>
      </w:r>
      <w:r>
        <w:rPr>
          <w:rFonts w:hint="default" w:ascii="Times New Roman" w:hAnsi="Times New Roman" w:cs="Times New Roman"/>
          <w:color w:val="auto"/>
          <w:sz w:val="24"/>
          <w:szCs w:val="24"/>
          <w:highlight w:val="none"/>
          <w:lang w:eastAsia="zh-CN"/>
        </w:rPr>
        <w:t>地</w:t>
      </w:r>
      <w:r>
        <w:rPr>
          <w:rFonts w:hint="default" w:ascii="Times New Roman" w:hAnsi="Times New Roman" w:cs="Times New Roman"/>
          <w:color w:val="auto"/>
          <w:sz w:val="24"/>
          <w:szCs w:val="24"/>
          <w:highlight w:val="none"/>
        </w:rPr>
        <w:t>提高</w:t>
      </w:r>
      <w:r>
        <w:rPr>
          <w:rFonts w:hint="default" w:ascii="Times New Roman" w:hAnsi="Times New Roman" w:cs="Times New Roman"/>
          <w:snapToGrid w:val="0"/>
          <w:color w:val="auto"/>
          <w:sz w:val="24"/>
          <w:szCs w:val="24"/>
          <w:highlight w:val="none"/>
          <w:lang w:val="en-US" w:eastAsia="zh-CN"/>
        </w:rPr>
        <w:t>阿图什市</w:t>
      </w:r>
      <w:r>
        <w:rPr>
          <w:rFonts w:hint="default" w:ascii="Times New Roman" w:hAnsi="Times New Roman" w:cs="Times New Roman"/>
          <w:snapToGrid w:val="0"/>
          <w:color w:val="auto"/>
          <w:sz w:val="24"/>
          <w:szCs w:val="24"/>
          <w:highlight w:val="none"/>
        </w:rPr>
        <w:t>、</w:t>
      </w:r>
      <w:r>
        <w:rPr>
          <w:rFonts w:hint="default" w:ascii="Times New Roman" w:hAnsi="Times New Roman" w:cs="Times New Roman"/>
          <w:snapToGrid w:val="0"/>
          <w:color w:val="auto"/>
          <w:sz w:val="24"/>
          <w:szCs w:val="24"/>
          <w:highlight w:val="none"/>
          <w:lang w:val="en-US" w:eastAsia="zh-CN"/>
        </w:rPr>
        <w:t>喀什市</w:t>
      </w:r>
      <w:r>
        <w:rPr>
          <w:rFonts w:hint="default" w:ascii="Times New Roman" w:hAnsi="Times New Roman" w:cs="Times New Roman"/>
          <w:color w:val="auto"/>
          <w:sz w:val="24"/>
          <w:szCs w:val="24"/>
          <w:highlight w:val="none"/>
        </w:rPr>
        <w:t>的运输效率。因此，建设项目是积极有利的。</w:t>
      </w:r>
    </w:p>
    <w:p w14:paraId="374090BB">
      <w:pPr>
        <w:keepNext w:val="0"/>
        <w:keepLines w:val="0"/>
        <w:pageBreakBefore w:val="0"/>
        <w:widowControl w:val="0"/>
        <w:kinsoku/>
        <w:wordWrap w:val="0"/>
        <w:overflowPunct/>
        <w:topLinePunct/>
        <w:autoSpaceDE/>
        <w:autoSpaceDN/>
        <w:bidi w:val="0"/>
        <w:adjustRightInd w:val="0"/>
        <w:snapToGrid w:val="0"/>
        <w:spacing w:beforeLines="0" w:afterLines="0" w:line="360" w:lineRule="auto"/>
        <w:ind w:firstLine="480" w:firstLineChars="200"/>
        <w:textAlignment w:val="auto"/>
        <w:rPr>
          <w:rFonts w:hint="default" w:ascii="Times New Roman" w:hAnsi="Times New Roman" w:cs="Times New Roman"/>
          <w:snapToGrid w:val="0"/>
          <w:color w:val="auto"/>
          <w:sz w:val="24"/>
          <w:szCs w:val="24"/>
          <w:highlight w:val="none"/>
          <w:lang w:val="zh-CN"/>
        </w:rPr>
      </w:pPr>
      <w:r>
        <w:rPr>
          <w:rFonts w:hint="default" w:ascii="Times New Roman" w:hAnsi="Times New Roman" w:cs="Times New Roman"/>
          <w:snapToGrid w:val="0"/>
          <w:color w:val="auto"/>
          <w:sz w:val="24"/>
          <w:szCs w:val="24"/>
          <w:highlight w:val="none"/>
          <w:lang w:val="zh-CN"/>
        </w:rPr>
        <w:t>交通是国家的基础产业，是社会发展的重要前提和先行行业，它在国民经济中起着举足轻重的作用。本项目的建设在加强民族团结、维护国家统一、巩固边防、促进商品流通、扩大对外贸易及改善人民群众的生活条件等方面都具有重大意义。</w:t>
      </w:r>
    </w:p>
    <w:p w14:paraId="192A48DD">
      <w:pPr>
        <w:keepNext w:val="0"/>
        <w:keepLines w:val="0"/>
        <w:pageBreakBefore w:val="0"/>
        <w:widowControl w:val="0"/>
        <w:kinsoku/>
        <w:wordWrap w:val="0"/>
        <w:overflowPunct/>
        <w:topLinePunct/>
        <w:autoSpaceDE/>
        <w:autoSpaceDN/>
        <w:bidi w:val="0"/>
        <w:adjustRightInd w:val="0"/>
        <w:snapToGrid w:val="0"/>
        <w:spacing w:before="0" w:after="0" w:line="360" w:lineRule="auto"/>
        <w:ind w:firstLine="0" w:firstLineChars="0"/>
        <w:jc w:val="both"/>
        <w:textAlignment w:val="auto"/>
        <w:outlineLvl w:val="2"/>
        <w:rPr>
          <w:rFonts w:hint="default" w:ascii="Times New Roman" w:hAnsi="Times New Roman" w:eastAsia="宋体" w:cs="Times New Roman"/>
          <w:b/>
          <w:color w:val="auto"/>
          <w:kern w:val="2"/>
          <w:sz w:val="28"/>
          <w:szCs w:val="28"/>
          <w:highlight w:val="none"/>
          <w:lang w:val="en-US" w:eastAsia="zh-CN" w:bidi="ar-SA"/>
        </w:rPr>
      </w:pPr>
      <w:r>
        <w:rPr>
          <w:rFonts w:hint="default" w:ascii="Times New Roman" w:hAnsi="Times New Roman" w:eastAsia="宋体" w:cs="Times New Roman"/>
          <w:b/>
          <w:color w:val="auto"/>
          <w:kern w:val="2"/>
          <w:sz w:val="28"/>
          <w:szCs w:val="28"/>
          <w:highlight w:val="none"/>
          <w:lang w:val="en-US" w:eastAsia="zh-CN" w:bidi="ar-SA"/>
        </w:rPr>
        <w:t>7.1.2 经济评价结果</w:t>
      </w:r>
    </w:p>
    <w:p w14:paraId="608B8FB7">
      <w:pPr>
        <w:keepNext w:val="0"/>
        <w:keepLines w:val="0"/>
        <w:pageBreakBefore w:val="0"/>
        <w:widowControl w:val="0"/>
        <w:suppressLineNumbers w:val="0"/>
        <w:kinsoku/>
        <w:wordWrap w:val="0"/>
        <w:overflowPunct/>
        <w:topLinePunct/>
        <w:autoSpaceDE/>
        <w:autoSpaceDN/>
        <w:bidi w:val="0"/>
        <w:adjustRightInd w:val="0"/>
        <w:snapToGrid w:val="0"/>
        <w:ind w:firstLine="200"/>
        <w:jc w:val="left"/>
        <w:textAlignment w:val="auto"/>
        <w:rPr>
          <w:rFonts w:hint="default" w:ascii="Times New Roman" w:hAnsi="Times New Roman" w:cs="Times New Roman"/>
          <w:snapToGrid w:val="0"/>
          <w:color w:val="auto"/>
          <w:sz w:val="24"/>
          <w:szCs w:val="24"/>
          <w:highlight w:val="none"/>
          <w:lang w:val="zh-CN"/>
        </w:rPr>
      </w:pPr>
      <w:r>
        <w:rPr>
          <w:rFonts w:hint="default" w:ascii="Times New Roman" w:hAnsi="Times New Roman" w:cs="Times New Roman"/>
          <w:snapToGrid w:val="0"/>
          <w:color w:val="auto"/>
          <w:sz w:val="24"/>
          <w:szCs w:val="24"/>
          <w:highlight w:val="none"/>
          <w:lang w:val="zh-CN"/>
        </w:rPr>
        <w:t>本项目推荐方案全长</w:t>
      </w:r>
      <w:r>
        <w:rPr>
          <w:rFonts w:hint="default" w:ascii="Times New Roman" w:hAnsi="Times New Roman" w:cs="Times New Roman"/>
          <w:snapToGrid w:val="0"/>
          <w:color w:val="auto"/>
          <w:sz w:val="24"/>
          <w:szCs w:val="24"/>
          <w:highlight w:val="none"/>
          <w:lang w:val="en-US" w:eastAsia="zh-CN"/>
        </w:rPr>
        <w:t>5.385km</w:t>
      </w:r>
      <w:r>
        <w:rPr>
          <w:rFonts w:hint="default" w:ascii="Times New Roman" w:hAnsi="Times New Roman" w:cs="Times New Roman"/>
          <w:snapToGrid w:val="0"/>
          <w:color w:val="auto"/>
          <w:sz w:val="24"/>
          <w:szCs w:val="24"/>
          <w:highlight w:val="none"/>
          <w:lang w:val="zh-CN"/>
        </w:rPr>
        <w:t>，</w:t>
      </w:r>
      <w:r>
        <w:rPr>
          <w:rFonts w:hint="default" w:ascii="Times New Roman" w:hAnsi="Times New Roman" w:cs="Times New Roman"/>
          <w:snapToGrid w:val="0"/>
          <w:color w:val="auto"/>
          <w:sz w:val="24"/>
          <w:szCs w:val="24"/>
          <w:highlight w:val="none"/>
        </w:rPr>
        <w:t>本工程总估算投资</w:t>
      </w:r>
      <w:r>
        <w:rPr>
          <w:rFonts w:hint="default" w:ascii="Times New Roman" w:hAnsi="Times New Roman" w:cs="Times New Roman"/>
          <w:color w:val="auto"/>
          <w:kern w:val="0"/>
          <w:sz w:val="24"/>
          <w:szCs w:val="24"/>
          <w:highlight w:val="none"/>
          <w:lang w:val="en-US" w:eastAsia="zh-CN" w:bidi="ar"/>
        </w:rPr>
        <w:t>59989.40</w:t>
      </w:r>
      <w:r>
        <w:rPr>
          <w:rFonts w:hint="default" w:ascii="Times New Roman" w:hAnsi="Times New Roman" w:eastAsia="宋体" w:cs="Times New Roman"/>
          <w:color w:val="auto"/>
          <w:kern w:val="0"/>
          <w:sz w:val="24"/>
          <w:szCs w:val="24"/>
          <w:highlight w:val="none"/>
          <w:lang w:val="en-US" w:eastAsia="zh-CN" w:bidi="ar"/>
        </w:rPr>
        <w:t>万元</w:t>
      </w:r>
      <w:r>
        <w:rPr>
          <w:rFonts w:hint="default" w:ascii="Times New Roman" w:hAnsi="Times New Roman" w:cs="Times New Roman"/>
          <w:snapToGrid w:val="0"/>
          <w:color w:val="auto"/>
          <w:sz w:val="24"/>
          <w:szCs w:val="24"/>
          <w:highlight w:val="none"/>
        </w:rPr>
        <w:t>。</w:t>
      </w:r>
      <w:r>
        <w:rPr>
          <w:rFonts w:hint="default" w:ascii="Times New Roman" w:hAnsi="Times New Roman" w:cs="Times New Roman"/>
          <w:snapToGrid w:val="0"/>
          <w:color w:val="auto"/>
          <w:sz w:val="24"/>
          <w:szCs w:val="24"/>
          <w:highlight w:val="none"/>
          <w:lang w:val="zh-CN"/>
        </w:rPr>
        <w:t>根据国民经济评价结果该项目经济</w:t>
      </w:r>
      <w:r>
        <w:rPr>
          <w:rFonts w:hint="default" w:ascii="Times New Roman" w:hAnsi="Times New Roman" w:eastAsia="宋体" w:cs="Times New Roman"/>
          <w:color w:val="auto"/>
          <w:kern w:val="0"/>
          <w:sz w:val="24"/>
          <w:szCs w:val="24"/>
          <w:highlight w:val="none"/>
          <w:lang w:val="en-US" w:eastAsia="zh-CN" w:bidi="ar"/>
        </w:rPr>
        <w:t>内部收益率</w:t>
      </w:r>
      <w:r>
        <w:rPr>
          <w:rFonts w:hint="default" w:ascii="Times New Roman" w:hAnsi="Times New Roman" w:cs="Times New Roman"/>
          <w:color w:val="auto"/>
          <w:kern w:val="0"/>
          <w:sz w:val="24"/>
          <w:szCs w:val="24"/>
          <w:highlight w:val="none"/>
          <w:lang w:val="en-US" w:eastAsia="zh-CN" w:bidi="ar"/>
        </w:rPr>
        <w:t>9.37</w:t>
      </w:r>
      <w:r>
        <w:rPr>
          <w:rFonts w:hint="default" w:ascii="Times New Roman" w:hAnsi="Times New Roman" w:eastAsia="宋体" w:cs="Times New Roman"/>
          <w:color w:val="auto"/>
          <w:kern w:val="0"/>
          <w:sz w:val="24"/>
          <w:szCs w:val="24"/>
          <w:highlight w:val="none"/>
          <w:lang w:val="en-US" w:eastAsia="zh-CN" w:bidi="ar"/>
        </w:rPr>
        <w:t>%，效益费用比1.</w:t>
      </w:r>
      <w:r>
        <w:rPr>
          <w:rFonts w:hint="default" w:ascii="Times New Roman" w:hAnsi="Times New Roman" w:cs="Times New Roman"/>
          <w:color w:val="auto"/>
          <w:kern w:val="0"/>
          <w:sz w:val="24"/>
          <w:szCs w:val="24"/>
          <w:highlight w:val="none"/>
          <w:lang w:val="en-US" w:eastAsia="zh-CN" w:bidi="ar"/>
        </w:rPr>
        <w:t>49</w:t>
      </w:r>
      <w:r>
        <w:rPr>
          <w:rFonts w:hint="default" w:ascii="Times New Roman" w:hAnsi="Times New Roman" w:eastAsia="宋体" w:cs="Times New Roman"/>
          <w:color w:val="auto"/>
          <w:kern w:val="0"/>
          <w:sz w:val="24"/>
          <w:szCs w:val="24"/>
          <w:highlight w:val="none"/>
          <w:lang w:val="en-US" w:eastAsia="zh-CN" w:bidi="ar"/>
        </w:rPr>
        <w:t>，大于1</w:t>
      </w:r>
      <w:r>
        <w:rPr>
          <w:rFonts w:hint="default" w:ascii="Times New Roman" w:hAnsi="Times New Roman" w:cs="Times New Roman"/>
          <w:snapToGrid w:val="0"/>
          <w:color w:val="auto"/>
          <w:sz w:val="24"/>
          <w:szCs w:val="24"/>
          <w:highlight w:val="none"/>
          <w:lang w:val="zh-CN"/>
        </w:rPr>
        <w:t>。动态投资回收期</w:t>
      </w:r>
      <w:r>
        <w:rPr>
          <w:rFonts w:hint="default" w:ascii="Times New Roman" w:hAnsi="Times New Roman" w:cs="Times New Roman"/>
          <w:snapToGrid w:val="0"/>
          <w:color w:val="auto"/>
          <w:sz w:val="24"/>
          <w:szCs w:val="24"/>
          <w:highlight w:val="none"/>
          <w:lang w:val="en-US" w:eastAsia="zh-CN"/>
        </w:rPr>
        <w:t>15.48</w:t>
      </w:r>
      <w:r>
        <w:rPr>
          <w:rFonts w:hint="default" w:ascii="Times New Roman" w:hAnsi="Times New Roman" w:cs="Times New Roman"/>
          <w:snapToGrid w:val="0"/>
          <w:color w:val="auto"/>
          <w:sz w:val="24"/>
          <w:szCs w:val="24"/>
          <w:highlight w:val="none"/>
          <w:lang w:val="zh-CN"/>
        </w:rPr>
        <w:t>年，分析表明本项目具备一定的经济效益。</w:t>
      </w:r>
    </w:p>
    <w:p w14:paraId="4D78E8A9">
      <w:pPr>
        <w:pStyle w:val="3"/>
        <w:numPr>
          <w:ilvl w:val="1"/>
          <w:numId w:val="0"/>
        </w:numPr>
        <w:bidi w:val="0"/>
        <w:rPr>
          <w:rFonts w:hint="default" w:ascii="Times New Roman" w:hAnsi="Times New Roman" w:cs="Times New Roman"/>
          <w:color w:val="auto"/>
        </w:rPr>
      </w:pPr>
      <w:bookmarkStart w:id="1612" w:name="_Toc17888"/>
      <w:bookmarkStart w:id="1613" w:name="_Toc31636"/>
      <w:r>
        <w:rPr>
          <w:rFonts w:hint="default" w:ascii="Times New Roman" w:hAnsi="Times New Roman" w:cs="Times New Roman"/>
          <w:color w:val="auto"/>
          <w:lang w:val="en-US" w:eastAsia="zh-CN"/>
        </w:rPr>
        <w:t>7.2 社会效益分析</w:t>
      </w:r>
      <w:bookmarkEnd w:id="1597"/>
      <w:bookmarkEnd w:id="1598"/>
      <w:bookmarkEnd w:id="1599"/>
      <w:bookmarkEnd w:id="1600"/>
      <w:bookmarkEnd w:id="1601"/>
      <w:bookmarkEnd w:id="1602"/>
      <w:bookmarkEnd w:id="1603"/>
      <w:bookmarkEnd w:id="1604"/>
      <w:bookmarkEnd w:id="1605"/>
      <w:bookmarkEnd w:id="1606"/>
      <w:bookmarkEnd w:id="1607"/>
      <w:bookmarkEnd w:id="1612"/>
      <w:bookmarkEnd w:id="1613"/>
    </w:p>
    <w:p w14:paraId="6C272E8C">
      <w:pPr>
        <w:pStyle w:val="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7.2.1 社会正面效益分析</w:t>
      </w:r>
    </w:p>
    <w:p w14:paraId="27E2B36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（1）直接效益</w:t>
      </w:r>
    </w:p>
    <w:p w14:paraId="76194A8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本工程的直接社会经济效益主要表现在以下方面：</w:t>
      </w:r>
    </w:p>
    <w:p w14:paraId="6841790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①降低车辆运输成本效益</w:t>
      </w:r>
    </w:p>
    <w:p w14:paraId="23258EC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本工程建成运营后，使区域内现有道路路况得到改善，道路运输条件得到改善，缩短了车辆的运输距离，车辆的运输费用随之减少。</w:t>
      </w:r>
    </w:p>
    <w:p w14:paraId="0DABF9F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②节约居民出行时间效益</w:t>
      </w:r>
    </w:p>
    <w:p w14:paraId="4846DBD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本工程建成运营后，缩短车辆行驶距离，通过完善现有道路网络从而缩短车辆运行距离，节约了居民出行的时间。</w:t>
      </w:r>
    </w:p>
    <w:p w14:paraId="71C4D18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③减少交通事故效益</w:t>
      </w:r>
    </w:p>
    <w:p w14:paraId="34E9F69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本工程建成运营后，改善现有路网的运输条件，减少了交通事故的</w:t>
      </w:r>
      <w:r>
        <w:rPr>
          <w:rFonts w:hint="default" w:ascii="Times New Roman" w:hAnsi="Times New Roman" w:cs="Times New Roman"/>
          <w:color w:val="auto"/>
          <w:kern w:val="0"/>
          <w:sz w:val="24"/>
          <w:szCs w:val="24"/>
          <w:lang w:val="en-US" w:eastAsia="zh-CN" w:bidi="ar"/>
        </w:rPr>
        <w:t>发生概率</w:t>
      </w:r>
      <w:r>
        <w:rPr>
          <w:rFonts w:hint="default" w:ascii="Times New Roman" w:hAnsi="Times New Roman" w:eastAsia="宋体" w:cs="Times New Roman"/>
          <w:color w:val="auto"/>
          <w:kern w:val="0"/>
          <w:sz w:val="24"/>
          <w:szCs w:val="24"/>
          <w:lang w:val="en-US" w:eastAsia="zh-CN" w:bidi="ar"/>
        </w:rPr>
        <w:t>，减少了因交通事故造成的社会经济损失。</w:t>
      </w:r>
    </w:p>
    <w:p w14:paraId="03D0CFC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④节约能源效益</w:t>
      </w:r>
    </w:p>
    <w:p w14:paraId="2E9CABE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本工程建成运营后，道路网络得到改善，车速的提高、道路拥堵的减少和运输距离的缩短都有助于油料的节约。</w:t>
      </w:r>
    </w:p>
    <w:p w14:paraId="5D2B322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（2）间接效益</w:t>
      </w:r>
    </w:p>
    <w:p w14:paraId="4878EFF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本工程的间接社会经济效益主要表现在以下方面：</w:t>
      </w:r>
    </w:p>
    <w:p w14:paraId="2395CB1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①本工程的建设将带动沿线城镇的建设和发展，促进土地资源的开发利用。</w:t>
      </w:r>
    </w:p>
    <w:p w14:paraId="58CCED2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②本工程道路的建设完善，使道路交通参与者感觉更加舒适、安全，项目相关公众的社会幸福感增强。</w:t>
      </w:r>
    </w:p>
    <w:p w14:paraId="03DFF790">
      <w:pPr>
        <w:bidi w:val="0"/>
        <w:rPr>
          <w:rFonts w:hint="default" w:ascii="Times New Roman" w:hAnsi="Times New Roman" w:eastAsia="宋体" w:cs="Times New Roman"/>
          <w:b/>
          <w:color w:val="auto"/>
          <w:kern w:val="2"/>
          <w:szCs w:val="20"/>
          <w:lang w:val="en-US" w:eastAsia="zh-CN" w:bidi="ar-SA"/>
        </w:rPr>
      </w:pPr>
      <w:r>
        <w:rPr>
          <w:rFonts w:hint="default" w:ascii="Times New Roman" w:hAnsi="Times New Roman" w:cs="Times New Roman"/>
          <w:color w:val="auto"/>
          <w:lang w:val="en-US" w:eastAsia="zh-CN"/>
        </w:rPr>
        <w:t>因此，从国民经济的角度来看，本工程的建设具有良好的社会经济效益。</w:t>
      </w:r>
    </w:p>
    <w:p w14:paraId="6657AFA1">
      <w:pPr>
        <w:pStyle w:val="4"/>
        <w:bidi w:val="0"/>
        <w:rPr>
          <w:rFonts w:hint="default" w:ascii="Times New Roman" w:hAnsi="Times New Roman" w:eastAsia="宋体" w:cs="Times New Roman"/>
          <w:b/>
          <w:color w:val="auto"/>
          <w:kern w:val="2"/>
          <w:sz w:val="28"/>
          <w:szCs w:val="20"/>
          <w:lang w:val="en-US" w:eastAsia="zh-CN" w:bidi="ar-SA"/>
        </w:rPr>
      </w:pPr>
      <w:r>
        <w:rPr>
          <w:rFonts w:hint="default" w:ascii="Times New Roman" w:hAnsi="Times New Roman" w:eastAsia="宋体" w:cs="Times New Roman"/>
          <w:b/>
          <w:color w:val="auto"/>
          <w:kern w:val="2"/>
          <w:sz w:val="28"/>
          <w:szCs w:val="20"/>
          <w:lang w:val="en-US" w:eastAsia="zh-CN" w:bidi="ar-SA"/>
        </w:rPr>
        <w:t>7.</w:t>
      </w:r>
      <w:r>
        <w:rPr>
          <w:rFonts w:hint="default" w:ascii="Times New Roman" w:hAnsi="Times New Roman" w:cs="Times New Roman"/>
          <w:b/>
          <w:color w:val="auto"/>
          <w:kern w:val="2"/>
          <w:sz w:val="28"/>
          <w:szCs w:val="20"/>
          <w:lang w:val="en-US" w:eastAsia="zh-CN" w:bidi="ar-SA"/>
        </w:rPr>
        <w:t>2</w:t>
      </w:r>
      <w:r>
        <w:rPr>
          <w:rFonts w:hint="default" w:ascii="Times New Roman" w:hAnsi="Times New Roman" w:eastAsia="宋体" w:cs="Times New Roman"/>
          <w:b/>
          <w:color w:val="auto"/>
          <w:kern w:val="2"/>
          <w:sz w:val="28"/>
          <w:szCs w:val="20"/>
          <w:lang w:val="en-US" w:eastAsia="zh-CN" w:bidi="ar-SA"/>
        </w:rPr>
        <w:t>.2 社会负面效益分析</w:t>
      </w:r>
    </w:p>
    <w:p w14:paraId="2FC5E09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（1）土地资源利用形式的改变</w:t>
      </w:r>
    </w:p>
    <w:p w14:paraId="44AD6B7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建设将使土地资源利用形式发生改变，从环境保护的角度分析，这种土地资源利用形式的改变将造成原生态环境的切割和破坏，项目造成的生态损失是不可逆的。从经济价值角度分析，道路建设占用的土地资源是促进当地社会经济发展的。</w:t>
      </w:r>
    </w:p>
    <w:p w14:paraId="3356E99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（2）土地征用造成生物量损失</w:t>
      </w:r>
    </w:p>
    <w:p w14:paraId="111CF9B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工程永久占地和临时占地会造成生物量的损失，但项目沿线主要为</w:t>
      </w:r>
      <w:r>
        <w:rPr>
          <w:rFonts w:hint="default" w:ascii="Times New Roman" w:hAnsi="Times New Roman" w:eastAsia="宋体" w:cs="Times New Roman"/>
          <w:color w:val="auto"/>
          <w:spacing w:val="-8"/>
          <w:kern w:val="2"/>
          <w:sz w:val="24"/>
          <w:szCs w:val="24"/>
          <w:highlight w:val="none"/>
          <w:lang w:val="en-US" w:eastAsia="zh-CN" w:bidi="ar-SA"/>
        </w:rPr>
        <w:t>耕地、</w:t>
      </w:r>
      <w:r>
        <w:rPr>
          <w:rFonts w:hint="default" w:ascii="Times New Roman" w:hAnsi="Times New Roman" w:cs="Times New Roman"/>
          <w:color w:val="auto"/>
          <w:spacing w:val="-8"/>
          <w:kern w:val="2"/>
          <w:sz w:val="24"/>
          <w:szCs w:val="24"/>
          <w:highlight w:val="none"/>
          <w:lang w:val="en-US" w:eastAsia="zh-CN" w:bidi="ar-SA"/>
        </w:rPr>
        <w:t>园地、林地、</w:t>
      </w:r>
      <w:r>
        <w:rPr>
          <w:rFonts w:hint="default" w:ascii="Times New Roman" w:hAnsi="Times New Roman" w:eastAsia="宋体" w:cs="Times New Roman"/>
          <w:color w:val="auto"/>
          <w:spacing w:val="-8"/>
          <w:kern w:val="2"/>
          <w:sz w:val="24"/>
          <w:szCs w:val="24"/>
          <w:highlight w:val="none"/>
          <w:lang w:val="en-US" w:eastAsia="zh-CN" w:bidi="ar-SA"/>
        </w:rPr>
        <w:t>草地、</w:t>
      </w:r>
      <w:r>
        <w:rPr>
          <w:rFonts w:hint="default" w:ascii="Times New Roman" w:hAnsi="Times New Roman" w:cs="Times New Roman"/>
          <w:color w:val="auto"/>
          <w:spacing w:val="-8"/>
          <w:kern w:val="2"/>
          <w:sz w:val="24"/>
          <w:szCs w:val="24"/>
          <w:highlight w:val="none"/>
          <w:lang w:val="en-US" w:eastAsia="zh-CN" w:bidi="ar-SA"/>
        </w:rPr>
        <w:t>其他农用</w:t>
      </w:r>
      <w:r>
        <w:rPr>
          <w:rFonts w:hint="default" w:ascii="Times New Roman" w:hAnsi="Times New Roman" w:eastAsia="宋体" w:cs="Times New Roman"/>
          <w:color w:val="auto"/>
          <w:spacing w:val="-8"/>
          <w:kern w:val="2"/>
          <w:sz w:val="24"/>
          <w:szCs w:val="24"/>
          <w:highlight w:val="none"/>
          <w:lang w:val="en-US" w:eastAsia="zh-CN" w:bidi="ar-SA"/>
        </w:rPr>
        <w:t>地</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cs="Times New Roman"/>
          <w:color w:val="auto"/>
          <w:kern w:val="0"/>
          <w:sz w:val="24"/>
          <w:szCs w:val="24"/>
          <w:lang w:val="en-US" w:eastAsia="zh-CN" w:bidi="ar"/>
        </w:rPr>
        <w:t>需</w:t>
      </w:r>
      <w:r>
        <w:rPr>
          <w:rFonts w:hint="default" w:ascii="Times New Roman" w:hAnsi="Times New Roman" w:eastAsia="宋体" w:cs="Times New Roman"/>
          <w:color w:val="auto"/>
          <w:kern w:val="0"/>
          <w:sz w:val="24"/>
          <w:szCs w:val="24"/>
          <w:lang w:val="en-US" w:eastAsia="zh-CN" w:bidi="ar"/>
        </w:rPr>
        <w:t>按要求进行补偿。</w:t>
      </w:r>
    </w:p>
    <w:p w14:paraId="1AA48DD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（3）环境质量现状改变</w:t>
      </w:r>
    </w:p>
    <w:p w14:paraId="324CA24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项目的建设将会改变沿线环境质量现状</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尤其是沿线居民受交通噪声影响的程度加剧，将会给他们的生活和健康带来较大的影响，从而带来间接的经济损失。</w:t>
      </w:r>
    </w:p>
    <w:p w14:paraId="1399D5D1">
      <w:pPr>
        <w:pStyle w:val="3"/>
        <w:numPr>
          <w:ilvl w:val="1"/>
          <w:numId w:val="0"/>
        </w:numPr>
        <w:bidi w:val="0"/>
        <w:rPr>
          <w:rFonts w:hint="default" w:ascii="Times New Roman" w:hAnsi="Times New Roman" w:cs="Times New Roman"/>
          <w:color w:val="auto"/>
          <w:lang w:val="en-US" w:eastAsia="zh-CN"/>
        </w:rPr>
      </w:pPr>
      <w:bookmarkStart w:id="1614" w:name="_Toc19977"/>
      <w:bookmarkStart w:id="1615" w:name="_Toc187080723"/>
      <w:bookmarkStart w:id="1616" w:name="_Toc2023"/>
      <w:bookmarkStart w:id="1617" w:name="_Toc16347"/>
      <w:bookmarkStart w:id="1618" w:name="_Toc5954"/>
      <w:bookmarkStart w:id="1619" w:name="_Toc17128"/>
      <w:bookmarkStart w:id="1620" w:name="_Toc30419547"/>
      <w:bookmarkStart w:id="1621" w:name="_Toc586"/>
      <w:bookmarkStart w:id="1622" w:name="_Toc24151"/>
      <w:bookmarkStart w:id="1623" w:name="_Toc20983"/>
      <w:bookmarkStart w:id="1624" w:name="_Toc533050976"/>
      <w:bookmarkStart w:id="1625" w:name="_Toc12393"/>
      <w:bookmarkStart w:id="1626" w:name="_Toc14571"/>
      <w:bookmarkStart w:id="1627" w:name="_Toc982"/>
      <w:bookmarkStart w:id="1628" w:name="_Toc27329"/>
      <w:bookmarkStart w:id="1629" w:name="_Toc2749"/>
      <w:bookmarkStart w:id="1630" w:name="_Toc22450"/>
      <w:bookmarkStart w:id="1631" w:name="_Toc12090"/>
      <w:bookmarkStart w:id="1632" w:name="_Toc31580"/>
      <w:bookmarkStart w:id="1633" w:name="_Toc27183"/>
      <w:bookmarkStart w:id="1634" w:name="_Toc3264"/>
      <w:bookmarkStart w:id="1635" w:name="_Toc1683"/>
      <w:bookmarkStart w:id="1636" w:name="_Toc456"/>
      <w:bookmarkStart w:id="1637" w:name="_Toc25349"/>
      <w:bookmarkStart w:id="1638" w:name="_Toc8954"/>
      <w:bookmarkStart w:id="1639" w:name="_Toc23060"/>
      <w:bookmarkStart w:id="1640" w:name="_Toc30211"/>
      <w:bookmarkStart w:id="1641" w:name="_Toc12206"/>
      <w:bookmarkStart w:id="1642" w:name="_Toc11006"/>
      <w:bookmarkStart w:id="1643" w:name="_Toc21617"/>
      <w:bookmarkStart w:id="1644" w:name="_Toc25158"/>
      <w:bookmarkStart w:id="1645" w:name="_Toc18178"/>
      <w:bookmarkStart w:id="1646" w:name="_Toc432"/>
      <w:bookmarkStart w:id="1647" w:name="_Toc21725"/>
      <w:bookmarkStart w:id="1648" w:name="_Toc17001"/>
      <w:bookmarkStart w:id="1649" w:name="_Toc529449724"/>
      <w:bookmarkStart w:id="1650" w:name="_Toc9165"/>
      <w:r>
        <w:rPr>
          <w:rFonts w:hint="default" w:ascii="Times New Roman" w:hAnsi="Times New Roman" w:cs="Times New Roman"/>
          <w:color w:val="auto"/>
          <w:lang w:val="en-US" w:eastAsia="zh-CN"/>
        </w:rPr>
        <w:t>7.3 环境效益分析</w:t>
      </w:r>
      <w:bookmarkEnd w:id="1614"/>
      <w:bookmarkEnd w:id="1615"/>
      <w:bookmarkEnd w:id="1616"/>
      <w:bookmarkEnd w:id="1617"/>
    </w:p>
    <w:p w14:paraId="58F35A4C">
      <w:pPr>
        <w:keepNext w:val="0"/>
        <w:keepLines w:val="0"/>
        <w:pageBreakBefore w:val="0"/>
        <w:widowControl w:val="0"/>
        <w:kinsoku/>
        <w:wordWrap w:val="0"/>
        <w:overflowPunct/>
        <w:topLinePunct/>
        <w:autoSpaceDE/>
        <w:autoSpaceDN/>
        <w:bidi w:val="0"/>
        <w:adjustRightInd w:val="0"/>
        <w:snapToGrid w:val="0"/>
        <w:spacing w:beforeLines="0" w:afterLines="0" w:line="360" w:lineRule="auto"/>
        <w:ind w:firstLine="480" w:firstLineChars="200"/>
        <w:rPr>
          <w:rFonts w:hint="default" w:ascii="Times New Roman" w:hAnsi="Times New Roman" w:cs="Times New Roman"/>
          <w:snapToGrid w:val="0"/>
          <w:color w:val="auto"/>
          <w:sz w:val="24"/>
          <w:szCs w:val="24"/>
          <w:highlight w:val="none"/>
          <w:lang w:val="zh-CN"/>
        </w:rPr>
      </w:pPr>
      <w:r>
        <w:rPr>
          <w:rFonts w:hint="default" w:ascii="Times New Roman" w:hAnsi="Times New Roman" w:cs="Times New Roman"/>
          <w:snapToGrid w:val="0"/>
          <w:color w:val="auto"/>
          <w:sz w:val="24"/>
          <w:szCs w:val="24"/>
          <w:highlight w:val="none"/>
          <w:lang w:val="zh-CN"/>
        </w:rPr>
        <w:t>拟建公路穿越的区域主要为</w:t>
      </w:r>
      <w:r>
        <w:rPr>
          <w:rFonts w:hint="default" w:ascii="Times New Roman" w:hAnsi="Times New Roman" w:cs="Times New Roman"/>
          <w:snapToGrid w:val="0"/>
          <w:color w:val="auto"/>
          <w:sz w:val="24"/>
          <w:szCs w:val="24"/>
          <w:highlight w:val="none"/>
          <w:lang w:val="en-US" w:eastAsia="zh-CN"/>
        </w:rPr>
        <w:t>荒漠</w:t>
      </w:r>
      <w:r>
        <w:rPr>
          <w:rFonts w:hint="default" w:ascii="Times New Roman" w:hAnsi="Times New Roman" w:cs="Times New Roman"/>
          <w:snapToGrid w:val="0"/>
          <w:color w:val="auto"/>
          <w:sz w:val="24"/>
          <w:szCs w:val="24"/>
          <w:highlight w:val="none"/>
          <w:lang w:val="zh-CN"/>
        </w:rPr>
        <w:t>，项目的建设会使沿线地区的生态环境发生变化，主要表现在修建公路路基填料要占用一定土地，打破了拟建公路沿线自然环境要素之间的平衡，造成生态环境问题、地表植被破坏及工程活动引发的地质病害等几个方面生态环境问题。但是，生态补偿费以及各项环境保护措施的实施，可以在一定程度上补偿公路建设带来的负面影响，使拟建公路产生经济和社会效益的同时，也产生一定的环境效益。</w:t>
      </w:r>
    </w:p>
    <w:p w14:paraId="102841F5">
      <w:pPr>
        <w:pStyle w:val="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7.3.1 环境损失评价</w:t>
      </w:r>
    </w:p>
    <w:p w14:paraId="00B22D88">
      <w:pPr>
        <w:keepNext w:val="0"/>
        <w:keepLines w:val="0"/>
        <w:pageBreakBefore w:val="0"/>
        <w:widowControl w:val="0"/>
        <w:kinsoku/>
        <w:wordWrap w:val="0"/>
        <w:overflowPunct/>
        <w:topLinePunct/>
        <w:autoSpaceDE/>
        <w:autoSpaceDN/>
        <w:bidi w:val="0"/>
        <w:adjustRightInd w:val="0"/>
        <w:snapToGrid w:val="0"/>
        <w:spacing w:beforeLines="0" w:afterLines="0" w:line="360" w:lineRule="auto"/>
        <w:ind w:firstLine="480" w:firstLineChars="200"/>
        <w:rPr>
          <w:rFonts w:hint="default" w:ascii="Times New Roman" w:hAnsi="Times New Roman" w:cs="Times New Roman"/>
          <w:snapToGrid w:val="0"/>
          <w:color w:val="auto"/>
          <w:sz w:val="24"/>
          <w:szCs w:val="24"/>
          <w:highlight w:val="none"/>
          <w:lang w:val="zh-CN"/>
        </w:rPr>
      </w:pPr>
      <w:r>
        <w:rPr>
          <w:rFonts w:hint="default" w:ascii="Times New Roman" w:hAnsi="Times New Roman" w:cs="Times New Roman"/>
          <w:snapToGrid w:val="0"/>
          <w:color w:val="auto"/>
          <w:sz w:val="24"/>
          <w:szCs w:val="24"/>
          <w:highlight w:val="none"/>
          <w:lang w:val="zh-CN"/>
        </w:rPr>
        <w:t>在不采取任何环保措施的情况下，公路在施工期和运营期将会使沿线的自然生态环境、农业生产、自然景观等受到不同程度的影响。</w:t>
      </w:r>
    </w:p>
    <w:p w14:paraId="46E6CF74">
      <w:pPr>
        <w:keepNext w:val="0"/>
        <w:keepLines w:val="0"/>
        <w:pageBreakBefore w:val="0"/>
        <w:widowControl w:val="0"/>
        <w:kinsoku/>
        <w:wordWrap w:val="0"/>
        <w:overflowPunct/>
        <w:topLinePunct/>
        <w:autoSpaceDE/>
        <w:autoSpaceDN/>
        <w:bidi w:val="0"/>
        <w:adjustRightInd w:val="0"/>
        <w:snapToGrid w:val="0"/>
        <w:spacing w:beforeLines="0" w:afterLines="0" w:line="360" w:lineRule="auto"/>
        <w:ind w:firstLine="448" w:firstLineChars="200"/>
        <w:rPr>
          <w:rFonts w:hint="default" w:ascii="Times New Roman" w:hAnsi="Times New Roman" w:cs="Times New Roman"/>
          <w:snapToGrid w:val="0"/>
          <w:color w:val="auto"/>
          <w:spacing w:val="-8"/>
          <w:sz w:val="24"/>
          <w:szCs w:val="24"/>
          <w:highlight w:val="none"/>
          <w:lang w:val="zh-CN"/>
        </w:rPr>
      </w:pPr>
      <w:r>
        <w:rPr>
          <w:rFonts w:hint="default" w:ascii="Times New Roman" w:hAnsi="Times New Roman" w:cs="Times New Roman"/>
          <w:snapToGrid w:val="0"/>
          <w:color w:val="auto"/>
          <w:spacing w:val="-8"/>
          <w:sz w:val="24"/>
          <w:szCs w:val="24"/>
          <w:highlight w:val="none"/>
          <w:lang w:val="zh-CN"/>
        </w:rPr>
        <w:t>（1）自然资源和景观资源损失</w:t>
      </w:r>
    </w:p>
    <w:p w14:paraId="7FAE13E6">
      <w:pPr>
        <w:keepNext w:val="0"/>
        <w:keepLines w:val="0"/>
        <w:pageBreakBefore w:val="0"/>
        <w:widowControl w:val="0"/>
        <w:kinsoku/>
        <w:wordWrap w:val="0"/>
        <w:overflowPunct/>
        <w:topLinePunct/>
        <w:autoSpaceDE/>
        <w:autoSpaceDN/>
        <w:bidi w:val="0"/>
        <w:adjustRightInd w:val="0"/>
        <w:snapToGrid w:val="0"/>
        <w:spacing w:beforeLines="0" w:beforeAutospacing="0" w:afterLines="0" w:line="360" w:lineRule="auto"/>
        <w:ind w:left="0" w:firstLine="448" w:firstLineChars="200"/>
        <w:jc w:val="both"/>
        <w:textAlignment w:val="auto"/>
        <w:rPr>
          <w:rFonts w:hint="default" w:ascii="Times New Roman" w:hAnsi="Times New Roman" w:eastAsia="宋体" w:cs="Times New Roman"/>
          <w:color w:val="auto"/>
          <w:spacing w:val="-8"/>
          <w:kern w:val="2"/>
          <w:sz w:val="24"/>
          <w:szCs w:val="24"/>
          <w:highlight w:val="none"/>
          <w:lang w:val="en-US" w:eastAsia="zh-CN" w:bidi="ar-SA"/>
        </w:rPr>
      </w:pPr>
      <w:r>
        <w:rPr>
          <w:rFonts w:hint="default" w:ascii="Times New Roman" w:hAnsi="Times New Roman" w:eastAsia="宋体" w:cs="Times New Roman"/>
          <w:snapToGrid w:val="0"/>
          <w:color w:val="auto"/>
          <w:spacing w:val="-8"/>
          <w:kern w:val="2"/>
          <w:sz w:val="24"/>
          <w:szCs w:val="24"/>
          <w:highlight w:val="none"/>
          <w:lang w:val="zh-CN" w:eastAsia="zh-CN" w:bidi="ar-SA"/>
        </w:rPr>
        <w:t>根据可研本项目路线全长</w:t>
      </w:r>
      <w:r>
        <w:rPr>
          <w:rFonts w:hint="default" w:ascii="Times New Roman" w:hAnsi="Times New Roman" w:cs="Times New Roman"/>
          <w:snapToGrid w:val="0"/>
          <w:color w:val="auto"/>
          <w:spacing w:val="-8"/>
          <w:kern w:val="2"/>
          <w:sz w:val="24"/>
          <w:szCs w:val="24"/>
          <w:highlight w:val="none"/>
          <w:lang w:val="en-US" w:eastAsia="zh-CN" w:bidi="ar-SA"/>
        </w:rPr>
        <w:t>5.385</w:t>
      </w:r>
      <w:r>
        <w:rPr>
          <w:rFonts w:hint="default" w:ascii="Times New Roman" w:hAnsi="Times New Roman" w:eastAsia="宋体" w:cs="Times New Roman"/>
          <w:snapToGrid w:val="0"/>
          <w:color w:val="auto"/>
          <w:spacing w:val="-8"/>
          <w:kern w:val="2"/>
          <w:sz w:val="24"/>
          <w:szCs w:val="24"/>
          <w:highlight w:val="none"/>
          <w:lang w:val="en-US" w:eastAsia="zh-CN" w:bidi="ar-SA"/>
        </w:rPr>
        <w:t>km</w:t>
      </w:r>
      <w:r>
        <w:rPr>
          <w:rFonts w:hint="default" w:ascii="Times New Roman" w:hAnsi="Times New Roman" w:eastAsia="宋体" w:cs="Times New Roman"/>
          <w:snapToGrid w:val="0"/>
          <w:color w:val="auto"/>
          <w:spacing w:val="-8"/>
          <w:kern w:val="2"/>
          <w:sz w:val="24"/>
          <w:szCs w:val="24"/>
          <w:highlight w:val="none"/>
          <w:lang w:val="zh-CN" w:eastAsia="zh-CN" w:bidi="ar-SA"/>
        </w:rPr>
        <w:t>，</w:t>
      </w:r>
      <w:r>
        <w:rPr>
          <w:rFonts w:hint="default" w:ascii="Times New Roman" w:hAnsi="Times New Roman" w:eastAsia="宋体" w:cs="Times New Roman"/>
          <w:color w:val="auto"/>
          <w:spacing w:val="-8"/>
          <w:kern w:val="2"/>
          <w:sz w:val="24"/>
          <w:szCs w:val="24"/>
          <w:highlight w:val="none"/>
          <w:lang w:val="en-US" w:eastAsia="zh-CN" w:bidi="ar-SA"/>
        </w:rPr>
        <w:t>公路全线占地</w:t>
      </w:r>
      <w:r>
        <w:rPr>
          <w:rFonts w:hint="default" w:ascii="Times New Roman" w:hAnsi="Times New Roman" w:cs="Times New Roman"/>
          <w:color w:val="auto"/>
          <w:spacing w:val="-8"/>
          <w:kern w:val="2"/>
          <w:sz w:val="24"/>
          <w:szCs w:val="24"/>
          <w:highlight w:val="none"/>
          <w:lang w:val="en-US" w:eastAsia="zh-CN" w:bidi="ar-SA"/>
        </w:rPr>
        <w:t>32.9923</w:t>
      </w:r>
      <w:r>
        <w:rPr>
          <w:rFonts w:hint="default" w:ascii="Times New Roman" w:hAnsi="Times New Roman" w:eastAsia="宋体" w:cs="Times New Roman"/>
          <w:color w:val="auto"/>
          <w:kern w:val="2"/>
          <w:sz w:val="24"/>
          <w:szCs w:val="24"/>
          <w:highlight w:val="none"/>
          <w:lang w:val="en-US" w:eastAsia="zh-CN" w:bidi="ar-SA"/>
        </w:rPr>
        <w:t>hm²，</w:t>
      </w:r>
      <w:r>
        <w:rPr>
          <w:rFonts w:hint="default" w:ascii="Times New Roman" w:hAnsi="Times New Roman" w:eastAsia="宋体" w:cs="Times New Roman"/>
          <w:color w:val="auto"/>
          <w:spacing w:val="-8"/>
          <w:kern w:val="2"/>
          <w:sz w:val="24"/>
          <w:szCs w:val="24"/>
          <w:highlight w:val="none"/>
          <w:lang w:val="en-US" w:eastAsia="zh-CN" w:bidi="ar-SA"/>
        </w:rPr>
        <w:t>占地类型为</w:t>
      </w:r>
      <w:r>
        <w:rPr>
          <w:rFonts w:hint="default" w:ascii="Times New Roman" w:hAnsi="Times New Roman" w:cs="Times New Roman"/>
          <w:color w:val="auto"/>
          <w:spacing w:val="-8"/>
          <w:kern w:val="2"/>
          <w:sz w:val="24"/>
          <w:szCs w:val="24"/>
          <w:highlight w:val="none"/>
          <w:lang w:val="en-US" w:eastAsia="zh-CN" w:bidi="ar-SA"/>
        </w:rPr>
        <w:t>其他农用</w:t>
      </w:r>
      <w:r>
        <w:rPr>
          <w:rFonts w:hint="default" w:ascii="Times New Roman" w:hAnsi="Times New Roman" w:eastAsia="宋体" w:cs="Times New Roman"/>
          <w:color w:val="auto"/>
          <w:spacing w:val="-8"/>
          <w:kern w:val="2"/>
          <w:sz w:val="24"/>
          <w:szCs w:val="24"/>
          <w:highlight w:val="none"/>
          <w:lang w:val="en-US" w:eastAsia="zh-CN" w:bidi="ar-SA"/>
        </w:rPr>
        <w:t>地、</w:t>
      </w:r>
      <w:r>
        <w:rPr>
          <w:rFonts w:hint="default" w:ascii="Times New Roman" w:hAnsi="Times New Roman" w:cs="Times New Roman"/>
          <w:color w:val="auto"/>
          <w:spacing w:val="-8"/>
          <w:kern w:val="2"/>
          <w:sz w:val="24"/>
          <w:szCs w:val="24"/>
          <w:highlight w:val="none"/>
          <w:lang w:val="en-US" w:eastAsia="zh-CN" w:bidi="ar-SA"/>
        </w:rPr>
        <w:t>建设用</w:t>
      </w:r>
      <w:r>
        <w:rPr>
          <w:rFonts w:hint="default" w:ascii="Times New Roman" w:hAnsi="Times New Roman" w:eastAsia="宋体" w:cs="Times New Roman"/>
          <w:color w:val="auto"/>
          <w:spacing w:val="-8"/>
          <w:kern w:val="2"/>
          <w:sz w:val="24"/>
          <w:szCs w:val="24"/>
          <w:highlight w:val="none"/>
          <w:lang w:val="en-US" w:eastAsia="zh-CN" w:bidi="ar-SA"/>
        </w:rPr>
        <w:t>地及</w:t>
      </w:r>
      <w:r>
        <w:rPr>
          <w:rFonts w:hint="default" w:ascii="Times New Roman" w:hAnsi="Times New Roman" w:cs="Times New Roman"/>
          <w:color w:val="auto"/>
          <w:spacing w:val="-8"/>
          <w:kern w:val="2"/>
          <w:sz w:val="24"/>
          <w:szCs w:val="24"/>
          <w:highlight w:val="none"/>
          <w:lang w:val="en-US" w:eastAsia="zh-CN" w:bidi="ar-SA"/>
        </w:rPr>
        <w:t>未利</w:t>
      </w:r>
      <w:r>
        <w:rPr>
          <w:rFonts w:hint="default" w:ascii="Times New Roman" w:hAnsi="Times New Roman" w:eastAsia="宋体" w:cs="Times New Roman"/>
          <w:color w:val="auto"/>
          <w:spacing w:val="-8"/>
          <w:kern w:val="2"/>
          <w:sz w:val="24"/>
          <w:szCs w:val="24"/>
          <w:highlight w:val="none"/>
          <w:lang w:val="en-US" w:eastAsia="zh-CN" w:bidi="ar-SA"/>
        </w:rPr>
        <w:t>用地，</w:t>
      </w:r>
      <w:r>
        <w:rPr>
          <w:rFonts w:hint="default" w:ascii="Times New Roman" w:hAnsi="Times New Roman" w:eastAsia="宋体" w:cs="Times New Roman"/>
          <w:snapToGrid w:val="0"/>
          <w:color w:val="auto"/>
          <w:kern w:val="2"/>
          <w:sz w:val="24"/>
          <w:szCs w:val="24"/>
          <w:highlight w:val="none"/>
          <w:lang w:val="zh-CN" w:eastAsia="zh-CN" w:bidi="ar-SA"/>
        </w:rPr>
        <w:t>本项目建成后，对公路两侧的自然景观造成了分割，原有生态景观转化为公路景观。</w:t>
      </w:r>
    </w:p>
    <w:p w14:paraId="6D687CD5">
      <w:pPr>
        <w:keepNext w:val="0"/>
        <w:keepLines w:val="0"/>
        <w:pageBreakBefore w:val="0"/>
        <w:widowControl w:val="0"/>
        <w:kinsoku/>
        <w:wordWrap w:val="0"/>
        <w:overflowPunct/>
        <w:topLinePunct/>
        <w:autoSpaceDE/>
        <w:autoSpaceDN/>
        <w:bidi w:val="0"/>
        <w:adjustRightInd w:val="0"/>
        <w:snapToGrid w:val="0"/>
        <w:spacing w:beforeLines="0" w:afterLines="0" w:line="360" w:lineRule="auto"/>
        <w:ind w:firstLine="448" w:firstLineChars="200"/>
        <w:rPr>
          <w:rFonts w:hint="default" w:ascii="Times New Roman" w:hAnsi="Times New Roman" w:cs="Times New Roman"/>
          <w:snapToGrid w:val="0"/>
          <w:color w:val="auto"/>
          <w:spacing w:val="-8"/>
          <w:sz w:val="24"/>
          <w:szCs w:val="24"/>
          <w:highlight w:val="none"/>
          <w:lang w:val="zh-CN"/>
        </w:rPr>
      </w:pPr>
      <w:r>
        <w:rPr>
          <w:rFonts w:hint="default" w:ascii="Times New Roman" w:hAnsi="Times New Roman" w:cs="Times New Roman"/>
          <w:snapToGrid w:val="0"/>
          <w:color w:val="auto"/>
          <w:spacing w:val="-8"/>
          <w:sz w:val="24"/>
          <w:szCs w:val="24"/>
          <w:highlight w:val="none"/>
          <w:lang w:val="zh-CN"/>
        </w:rPr>
        <w:t>（2）污染损失</w:t>
      </w:r>
    </w:p>
    <w:p w14:paraId="1B15B200">
      <w:pPr>
        <w:keepNext w:val="0"/>
        <w:keepLines w:val="0"/>
        <w:pageBreakBefore w:val="0"/>
        <w:widowControl w:val="0"/>
        <w:kinsoku/>
        <w:wordWrap w:val="0"/>
        <w:overflowPunct/>
        <w:topLinePunct/>
        <w:autoSpaceDE/>
        <w:autoSpaceDN/>
        <w:bidi w:val="0"/>
        <w:adjustRightInd w:val="0"/>
        <w:snapToGrid w:val="0"/>
        <w:spacing w:beforeLines="0" w:afterLines="0" w:line="360" w:lineRule="auto"/>
        <w:ind w:firstLine="448" w:firstLineChars="200"/>
        <w:rPr>
          <w:rFonts w:hint="default" w:ascii="Times New Roman" w:hAnsi="Times New Roman" w:cs="Times New Roman"/>
          <w:snapToGrid w:val="0"/>
          <w:color w:val="auto"/>
          <w:sz w:val="24"/>
          <w:szCs w:val="24"/>
          <w:highlight w:val="none"/>
          <w:lang w:val="zh-CN"/>
        </w:rPr>
      </w:pPr>
      <w:r>
        <w:rPr>
          <w:rFonts w:hint="default" w:ascii="Times New Roman" w:hAnsi="Times New Roman" w:cs="Times New Roman"/>
          <w:snapToGrid w:val="0"/>
          <w:color w:val="auto"/>
          <w:spacing w:val="-8"/>
          <w:sz w:val="24"/>
          <w:szCs w:val="24"/>
          <w:highlight w:val="none"/>
          <w:lang w:val="zh-CN"/>
        </w:rPr>
        <w:t>施工过程中扬尘、汽车尾气对自然植被产生的污染损失，施工各类机械活动、人员扰动、工程占地对生态环境造成的影响和破坏是无法定量分析的，只能通过环保措施尽量加以减缓。</w:t>
      </w:r>
    </w:p>
    <w:p w14:paraId="7DF57F47">
      <w:pPr>
        <w:pStyle w:val="4"/>
        <w:bidi w:val="0"/>
        <w:rPr>
          <w:rFonts w:hint="default" w:ascii="Times New Roman" w:hAnsi="Times New Roman" w:eastAsia="宋体" w:cs="Times New Roman"/>
          <w:b/>
          <w:color w:val="auto"/>
          <w:kern w:val="2"/>
          <w:szCs w:val="28"/>
          <w:highlight w:val="none"/>
          <w:lang w:val="en-US" w:eastAsia="zh-CN" w:bidi="ar-SA"/>
        </w:rPr>
      </w:pPr>
      <w:r>
        <w:rPr>
          <w:rFonts w:hint="default" w:ascii="Times New Roman" w:hAnsi="Times New Roman" w:cs="Times New Roman"/>
          <w:color w:val="auto"/>
          <w:lang w:val="en-US" w:eastAsia="zh-CN"/>
        </w:rPr>
        <w:t>7.3.2 环境效益分析</w:t>
      </w:r>
    </w:p>
    <w:p w14:paraId="4D1F1E4E">
      <w:pPr>
        <w:keepNext w:val="0"/>
        <w:keepLines w:val="0"/>
        <w:pageBreakBefore w:val="0"/>
        <w:widowControl w:val="0"/>
        <w:kinsoku/>
        <w:wordWrap w:val="0"/>
        <w:overflowPunct/>
        <w:topLinePunct/>
        <w:autoSpaceDE/>
        <w:autoSpaceDN/>
        <w:bidi w:val="0"/>
        <w:adjustRightInd w:val="0"/>
        <w:snapToGrid w:val="0"/>
        <w:spacing w:beforeLines="0" w:afterLines="0" w:line="360" w:lineRule="auto"/>
        <w:ind w:firstLine="480" w:firstLineChars="200"/>
        <w:rPr>
          <w:rFonts w:hint="default" w:ascii="Times New Roman" w:hAnsi="Times New Roman" w:cs="Times New Roman"/>
          <w:snapToGrid w:val="0"/>
          <w:color w:val="auto"/>
          <w:sz w:val="24"/>
          <w:szCs w:val="24"/>
          <w:highlight w:val="none"/>
          <w:lang w:val="zh-CN"/>
        </w:rPr>
      </w:pPr>
      <w:r>
        <w:rPr>
          <w:rFonts w:hint="default" w:ascii="Times New Roman" w:hAnsi="Times New Roman" w:cs="Times New Roman"/>
          <w:snapToGrid w:val="0"/>
          <w:color w:val="auto"/>
          <w:sz w:val="24"/>
          <w:szCs w:val="24"/>
          <w:highlight w:val="none"/>
          <w:lang w:val="zh-CN"/>
        </w:rPr>
        <w:t>本项目建设环境效益体现在两个方面：一是工程建设带来的环境效益；二是实施环境保护措施带来的环境效益。</w:t>
      </w:r>
    </w:p>
    <w:p w14:paraId="490065BE">
      <w:pPr>
        <w:keepNext w:val="0"/>
        <w:keepLines w:val="0"/>
        <w:pageBreakBefore w:val="0"/>
        <w:widowControl w:val="0"/>
        <w:kinsoku/>
        <w:wordWrap w:val="0"/>
        <w:overflowPunct/>
        <w:topLinePunct/>
        <w:autoSpaceDE/>
        <w:autoSpaceDN/>
        <w:bidi w:val="0"/>
        <w:adjustRightInd w:val="0"/>
        <w:snapToGrid w:val="0"/>
        <w:spacing w:beforeLines="0" w:afterLines="0" w:line="360" w:lineRule="auto"/>
        <w:ind w:firstLine="480" w:firstLineChars="200"/>
        <w:rPr>
          <w:rFonts w:hint="default" w:ascii="Times New Roman" w:hAnsi="Times New Roman" w:cs="Times New Roman"/>
          <w:snapToGrid w:val="0"/>
          <w:color w:val="auto"/>
          <w:sz w:val="24"/>
          <w:szCs w:val="24"/>
          <w:highlight w:val="none"/>
          <w:lang w:val="zh-CN"/>
        </w:rPr>
      </w:pPr>
      <w:r>
        <w:rPr>
          <w:rFonts w:hint="default" w:ascii="Times New Roman" w:hAnsi="Times New Roman" w:cs="Times New Roman"/>
          <w:snapToGrid w:val="0"/>
          <w:color w:val="auto"/>
          <w:sz w:val="24"/>
          <w:szCs w:val="24"/>
          <w:highlight w:val="none"/>
          <w:lang w:val="zh-CN"/>
        </w:rPr>
        <w:t>（1）工程建设环境效益</w:t>
      </w:r>
    </w:p>
    <w:p w14:paraId="3506BA1A">
      <w:pPr>
        <w:keepNext w:val="0"/>
        <w:keepLines w:val="0"/>
        <w:pageBreakBefore w:val="0"/>
        <w:widowControl w:val="0"/>
        <w:kinsoku/>
        <w:wordWrap w:val="0"/>
        <w:overflowPunct/>
        <w:topLinePunct/>
        <w:autoSpaceDE/>
        <w:autoSpaceDN/>
        <w:bidi w:val="0"/>
        <w:adjustRightInd w:val="0"/>
        <w:snapToGrid w:val="0"/>
        <w:spacing w:beforeLines="0" w:afterLines="0" w:line="360" w:lineRule="auto"/>
        <w:ind w:firstLine="480" w:firstLineChars="200"/>
        <w:rPr>
          <w:rFonts w:hint="default" w:ascii="Times New Roman" w:hAnsi="Times New Roman" w:cs="Times New Roman"/>
          <w:snapToGrid w:val="0"/>
          <w:color w:val="auto"/>
          <w:sz w:val="24"/>
          <w:szCs w:val="24"/>
          <w:highlight w:val="none"/>
          <w:lang w:val="zh-CN"/>
        </w:rPr>
      </w:pPr>
      <w:r>
        <w:rPr>
          <w:rFonts w:hint="default" w:ascii="Times New Roman" w:hAnsi="Times New Roman" w:cs="Times New Roman"/>
          <w:snapToGrid w:val="0"/>
          <w:color w:val="auto"/>
          <w:sz w:val="24"/>
          <w:szCs w:val="24"/>
          <w:highlight w:val="none"/>
          <w:lang w:val="zh-CN"/>
        </w:rPr>
        <w:t>①生态效益</w:t>
      </w:r>
    </w:p>
    <w:p w14:paraId="397FB3E6">
      <w:pPr>
        <w:keepNext w:val="0"/>
        <w:keepLines w:val="0"/>
        <w:pageBreakBefore w:val="0"/>
        <w:widowControl w:val="0"/>
        <w:kinsoku/>
        <w:wordWrap w:val="0"/>
        <w:overflowPunct/>
        <w:topLinePunct/>
        <w:autoSpaceDE/>
        <w:autoSpaceDN/>
        <w:bidi w:val="0"/>
        <w:adjustRightInd w:val="0"/>
        <w:snapToGrid w:val="0"/>
        <w:spacing w:beforeLines="0" w:afterLines="0" w:line="360" w:lineRule="auto"/>
        <w:ind w:firstLine="480" w:firstLineChars="200"/>
        <w:rPr>
          <w:rFonts w:hint="default" w:ascii="Times New Roman" w:hAnsi="Times New Roman" w:cs="Times New Roman"/>
          <w:snapToGrid w:val="0"/>
          <w:color w:val="auto"/>
          <w:sz w:val="24"/>
          <w:szCs w:val="24"/>
          <w:highlight w:val="none"/>
          <w:lang w:val="zh-CN"/>
        </w:rPr>
      </w:pPr>
      <w:r>
        <w:rPr>
          <w:rFonts w:hint="default" w:ascii="Times New Roman" w:hAnsi="Times New Roman" w:cs="Times New Roman"/>
          <w:snapToGrid w:val="0"/>
          <w:color w:val="auto"/>
          <w:sz w:val="24"/>
          <w:szCs w:val="24"/>
          <w:highlight w:val="none"/>
          <w:lang w:val="zh-CN"/>
        </w:rPr>
        <w:t>随着公路沿线各类工程防护措施和水土保持措施的完善，公路沿线的水土流失状况将会得到一定程度的改善，这也有利于保护和改善区域及沿线的生态环境状况。</w:t>
      </w:r>
    </w:p>
    <w:p w14:paraId="6C0A97F6">
      <w:pPr>
        <w:keepNext w:val="0"/>
        <w:keepLines w:val="0"/>
        <w:pageBreakBefore w:val="0"/>
        <w:widowControl w:val="0"/>
        <w:kinsoku/>
        <w:wordWrap w:val="0"/>
        <w:overflowPunct/>
        <w:topLinePunct/>
        <w:autoSpaceDE/>
        <w:autoSpaceDN/>
        <w:bidi w:val="0"/>
        <w:adjustRightInd w:val="0"/>
        <w:snapToGrid w:val="0"/>
        <w:spacing w:beforeLines="0" w:afterLines="0" w:line="360" w:lineRule="auto"/>
        <w:ind w:firstLine="480" w:firstLineChars="200"/>
        <w:rPr>
          <w:rFonts w:hint="default" w:ascii="Times New Roman" w:hAnsi="Times New Roman" w:cs="Times New Roman"/>
          <w:snapToGrid w:val="0"/>
          <w:color w:val="auto"/>
          <w:sz w:val="24"/>
          <w:szCs w:val="24"/>
          <w:highlight w:val="none"/>
          <w:lang w:val="zh-CN"/>
        </w:rPr>
      </w:pPr>
      <w:r>
        <w:rPr>
          <w:rFonts w:hint="default" w:ascii="Times New Roman" w:hAnsi="Times New Roman" w:cs="Times New Roman"/>
          <w:snapToGrid w:val="0"/>
          <w:color w:val="auto"/>
          <w:sz w:val="24"/>
          <w:szCs w:val="24"/>
          <w:highlight w:val="none"/>
          <w:lang w:val="zh-CN"/>
        </w:rPr>
        <w:t>②大气环境效益</w:t>
      </w:r>
    </w:p>
    <w:p w14:paraId="554CF57B">
      <w:pPr>
        <w:keepNext w:val="0"/>
        <w:keepLines w:val="0"/>
        <w:pageBreakBefore w:val="0"/>
        <w:widowControl w:val="0"/>
        <w:kinsoku/>
        <w:wordWrap w:val="0"/>
        <w:overflowPunct/>
        <w:topLinePunct/>
        <w:autoSpaceDE/>
        <w:autoSpaceDN/>
        <w:bidi w:val="0"/>
        <w:adjustRightInd w:val="0"/>
        <w:snapToGrid w:val="0"/>
        <w:spacing w:beforeLines="0" w:afterLines="0" w:line="360" w:lineRule="auto"/>
        <w:ind w:firstLine="480" w:firstLineChars="200"/>
        <w:rPr>
          <w:rFonts w:hint="default" w:ascii="Times New Roman" w:hAnsi="Times New Roman" w:cs="Times New Roman"/>
          <w:snapToGrid w:val="0"/>
          <w:color w:val="auto"/>
          <w:sz w:val="24"/>
          <w:szCs w:val="24"/>
          <w:highlight w:val="none"/>
          <w:lang w:val="zh-CN"/>
        </w:rPr>
      </w:pPr>
      <w:r>
        <w:rPr>
          <w:rFonts w:hint="default" w:ascii="Times New Roman" w:hAnsi="Times New Roman" w:cs="Times New Roman"/>
          <w:snapToGrid w:val="0"/>
          <w:color w:val="auto"/>
          <w:sz w:val="24"/>
          <w:szCs w:val="24"/>
          <w:highlight w:val="none"/>
          <w:lang w:val="zh-CN"/>
        </w:rPr>
        <w:t>汽车尾气中的主要污染成分是CO、NO</w:t>
      </w:r>
      <w:r>
        <w:rPr>
          <w:rFonts w:hint="default" w:ascii="Times New Roman" w:hAnsi="Times New Roman" w:cs="Times New Roman"/>
          <w:snapToGrid w:val="0"/>
          <w:color w:val="auto"/>
          <w:sz w:val="24"/>
          <w:szCs w:val="24"/>
          <w:highlight w:val="none"/>
          <w:vertAlign w:val="subscript"/>
          <w:lang w:val="zh-CN"/>
        </w:rPr>
        <w:t>2</w:t>
      </w:r>
      <w:r>
        <w:rPr>
          <w:rFonts w:hint="default" w:ascii="Times New Roman" w:hAnsi="Times New Roman" w:cs="Times New Roman"/>
          <w:snapToGrid w:val="0"/>
          <w:color w:val="auto"/>
          <w:sz w:val="24"/>
          <w:szCs w:val="24"/>
          <w:highlight w:val="none"/>
          <w:lang w:val="zh-CN"/>
        </w:rPr>
        <w:t>和碳氢化合物。</w:t>
      </w:r>
      <w:r>
        <w:rPr>
          <w:rFonts w:hint="eastAsia" w:cs="Times New Roman"/>
          <w:snapToGrid w:val="0"/>
          <w:color w:val="auto"/>
          <w:sz w:val="24"/>
          <w:szCs w:val="24"/>
          <w:highlight w:val="none"/>
          <w:lang w:val="zh-CN"/>
        </w:rPr>
        <w:t>相关</w:t>
      </w:r>
      <w:r>
        <w:rPr>
          <w:rFonts w:hint="default" w:ascii="Times New Roman" w:hAnsi="Times New Roman" w:cs="Times New Roman"/>
          <w:snapToGrid w:val="0"/>
          <w:color w:val="auto"/>
          <w:sz w:val="24"/>
          <w:szCs w:val="24"/>
          <w:highlight w:val="none"/>
          <w:lang w:val="zh-CN"/>
        </w:rPr>
        <w:t>资料表明，汽车在</w:t>
      </w:r>
      <w:r>
        <w:rPr>
          <w:rFonts w:hint="eastAsia" w:cs="Times New Roman"/>
          <w:snapToGrid w:val="0"/>
          <w:color w:val="auto"/>
          <w:sz w:val="24"/>
          <w:szCs w:val="24"/>
          <w:highlight w:val="none"/>
          <w:lang w:val="zh-CN"/>
        </w:rPr>
        <w:t>空档</w:t>
      </w:r>
      <w:r>
        <w:rPr>
          <w:rFonts w:hint="default" w:ascii="Times New Roman" w:hAnsi="Times New Roman" w:cs="Times New Roman"/>
          <w:snapToGrid w:val="0"/>
          <w:color w:val="auto"/>
          <w:sz w:val="24"/>
          <w:szCs w:val="24"/>
          <w:highlight w:val="none"/>
          <w:lang w:val="zh-CN"/>
        </w:rPr>
        <w:t>时碳氢化合物和CO浓度最高；低速时碳氢化合物和CO浓度较高；高速时CO和碳氢化合物浓度较低。在路况较差的情况下，行驶的汽车不得不频繁地加速和减速，从而导致尾气中碳氢化合物和CO的排放量增大。由此可见，本项目的实施将全面改善线路沿线交通条件，提高公路通畅程度，将有利于缓解汽车尾气对周围大气环境的影响。</w:t>
      </w:r>
    </w:p>
    <w:p w14:paraId="0026A34B">
      <w:pPr>
        <w:keepNext w:val="0"/>
        <w:keepLines w:val="0"/>
        <w:pageBreakBefore w:val="0"/>
        <w:widowControl w:val="0"/>
        <w:kinsoku/>
        <w:wordWrap w:val="0"/>
        <w:overflowPunct/>
        <w:topLinePunct/>
        <w:autoSpaceDE/>
        <w:autoSpaceDN/>
        <w:bidi w:val="0"/>
        <w:adjustRightInd w:val="0"/>
        <w:snapToGrid w:val="0"/>
        <w:spacing w:beforeLines="0" w:afterLines="0" w:line="360" w:lineRule="auto"/>
        <w:ind w:firstLine="480" w:firstLineChars="200"/>
        <w:rPr>
          <w:rFonts w:hint="default" w:ascii="Times New Roman" w:hAnsi="Times New Roman" w:cs="Times New Roman"/>
          <w:snapToGrid w:val="0"/>
          <w:color w:val="auto"/>
          <w:sz w:val="24"/>
          <w:szCs w:val="24"/>
          <w:highlight w:val="none"/>
          <w:lang w:val="zh-CN"/>
        </w:rPr>
      </w:pPr>
      <w:r>
        <w:rPr>
          <w:rFonts w:hint="default" w:ascii="Times New Roman" w:hAnsi="Times New Roman" w:cs="Times New Roman"/>
          <w:snapToGrid w:val="0"/>
          <w:color w:val="auto"/>
          <w:sz w:val="24"/>
          <w:szCs w:val="24"/>
          <w:highlight w:val="none"/>
          <w:lang w:val="zh-CN"/>
        </w:rPr>
        <w:t>（2）环境保护投资效益</w:t>
      </w:r>
    </w:p>
    <w:p w14:paraId="6A955430">
      <w:pPr>
        <w:keepNext w:val="0"/>
        <w:keepLines w:val="0"/>
        <w:pageBreakBefore w:val="0"/>
        <w:widowControl w:val="0"/>
        <w:kinsoku/>
        <w:wordWrap w:val="0"/>
        <w:overflowPunct/>
        <w:topLinePunct/>
        <w:autoSpaceDE/>
        <w:autoSpaceDN/>
        <w:bidi w:val="0"/>
        <w:adjustRightInd w:val="0"/>
        <w:snapToGrid w:val="0"/>
        <w:spacing w:beforeLines="0" w:afterLines="0" w:line="360" w:lineRule="auto"/>
        <w:ind w:firstLine="480" w:firstLineChars="200"/>
        <w:rPr>
          <w:rFonts w:hint="default" w:ascii="Times New Roman" w:hAnsi="Times New Roman" w:cs="Times New Roman"/>
          <w:snapToGrid w:val="0"/>
          <w:color w:val="auto"/>
          <w:sz w:val="24"/>
          <w:szCs w:val="24"/>
          <w:highlight w:val="none"/>
          <w:lang w:val="zh-CN"/>
        </w:rPr>
      </w:pPr>
      <w:r>
        <w:rPr>
          <w:rFonts w:hint="default" w:ascii="Times New Roman" w:hAnsi="Times New Roman" w:cs="Times New Roman"/>
          <w:snapToGrid w:val="0"/>
          <w:color w:val="auto"/>
          <w:sz w:val="24"/>
          <w:szCs w:val="24"/>
          <w:highlight w:val="none"/>
          <w:lang w:val="zh-CN"/>
        </w:rPr>
        <w:t>环境保护行动计划涉及工程建设的前期方案设计、施工和运营三个阶段，环境保护措施包括确定环境可行的选线方案、生态破坏补偿、水土保持工程以及环境监督检查与管理等各个方面，采取的环境保护措施适当，环境保护投资合理，具有显著的环境效益，实现了工程建设的环境可行性，主要体现在：</w:t>
      </w:r>
    </w:p>
    <w:p w14:paraId="565CA75D">
      <w:pPr>
        <w:keepNext w:val="0"/>
        <w:keepLines w:val="0"/>
        <w:pageBreakBefore w:val="0"/>
        <w:widowControl w:val="0"/>
        <w:kinsoku/>
        <w:wordWrap w:val="0"/>
        <w:overflowPunct/>
        <w:topLinePunct/>
        <w:autoSpaceDE/>
        <w:autoSpaceDN/>
        <w:bidi w:val="0"/>
        <w:adjustRightInd w:val="0"/>
        <w:snapToGrid w:val="0"/>
        <w:spacing w:beforeLines="0" w:afterLines="0" w:line="360" w:lineRule="auto"/>
        <w:ind w:firstLine="480" w:firstLineChars="200"/>
        <w:rPr>
          <w:rFonts w:hint="default" w:ascii="Times New Roman" w:hAnsi="Times New Roman" w:cs="Times New Roman"/>
          <w:snapToGrid w:val="0"/>
          <w:color w:val="auto"/>
          <w:sz w:val="24"/>
          <w:szCs w:val="24"/>
          <w:highlight w:val="none"/>
          <w:lang w:val="zh-CN"/>
        </w:rPr>
      </w:pPr>
      <w:r>
        <w:rPr>
          <w:rFonts w:hint="default" w:ascii="Times New Roman" w:hAnsi="Times New Roman" w:cs="Times New Roman"/>
          <w:snapToGrid w:val="0"/>
          <w:color w:val="auto"/>
          <w:sz w:val="24"/>
          <w:szCs w:val="24"/>
          <w:highlight w:val="none"/>
          <w:lang w:val="zh-CN"/>
        </w:rPr>
        <w:fldChar w:fldCharType="begin"/>
      </w:r>
      <w:r>
        <w:rPr>
          <w:rFonts w:hint="default" w:ascii="Times New Roman" w:hAnsi="Times New Roman" w:cs="Times New Roman"/>
          <w:snapToGrid w:val="0"/>
          <w:color w:val="auto"/>
          <w:sz w:val="24"/>
          <w:szCs w:val="24"/>
          <w:highlight w:val="none"/>
          <w:lang w:val="zh-CN"/>
        </w:rPr>
        <w:instrText xml:space="preserve"> = 1 \* GB3 </w:instrText>
      </w:r>
      <w:r>
        <w:rPr>
          <w:rFonts w:hint="default" w:ascii="Times New Roman" w:hAnsi="Times New Roman" w:cs="Times New Roman"/>
          <w:snapToGrid w:val="0"/>
          <w:color w:val="auto"/>
          <w:sz w:val="24"/>
          <w:szCs w:val="24"/>
          <w:highlight w:val="none"/>
          <w:lang w:val="zh-CN"/>
        </w:rPr>
        <w:fldChar w:fldCharType="separate"/>
      </w:r>
      <w:r>
        <w:rPr>
          <w:rFonts w:hint="default" w:ascii="Times New Roman" w:hAnsi="Times New Roman" w:cs="Times New Roman"/>
          <w:snapToGrid w:val="0"/>
          <w:color w:val="auto"/>
          <w:sz w:val="24"/>
          <w:szCs w:val="24"/>
          <w:highlight w:val="none"/>
          <w:lang w:val="zh-CN"/>
        </w:rPr>
        <w:t>①</w:t>
      </w:r>
      <w:r>
        <w:rPr>
          <w:rFonts w:hint="default" w:ascii="Times New Roman" w:hAnsi="Times New Roman" w:cs="Times New Roman"/>
          <w:snapToGrid w:val="0"/>
          <w:color w:val="auto"/>
          <w:sz w:val="24"/>
          <w:szCs w:val="24"/>
          <w:highlight w:val="none"/>
          <w:lang w:val="zh-CN"/>
        </w:rPr>
        <w:fldChar w:fldCharType="end"/>
      </w:r>
      <w:r>
        <w:rPr>
          <w:rFonts w:hint="default" w:ascii="Times New Roman" w:hAnsi="Times New Roman" w:cs="Times New Roman"/>
          <w:snapToGrid w:val="0"/>
          <w:color w:val="auto"/>
          <w:sz w:val="24"/>
          <w:szCs w:val="24"/>
          <w:highlight w:val="none"/>
          <w:lang w:val="zh-CN"/>
        </w:rPr>
        <w:t>最大限度地减少占地拆迁以及由此带来的社会、经济和环境影响；</w:t>
      </w:r>
    </w:p>
    <w:p w14:paraId="4FE0E73B">
      <w:pPr>
        <w:keepNext w:val="0"/>
        <w:keepLines w:val="0"/>
        <w:pageBreakBefore w:val="0"/>
        <w:widowControl w:val="0"/>
        <w:kinsoku/>
        <w:wordWrap w:val="0"/>
        <w:overflowPunct/>
        <w:topLinePunct/>
        <w:autoSpaceDE/>
        <w:autoSpaceDN/>
        <w:bidi w:val="0"/>
        <w:adjustRightInd w:val="0"/>
        <w:snapToGrid w:val="0"/>
        <w:spacing w:beforeLines="0" w:afterLines="0" w:line="360" w:lineRule="auto"/>
        <w:ind w:firstLine="480" w:firstLineChars="200"/>
        <w:rPr>
          <w:rFonts w:hint="default" w:ascii="Times New Roman" w:hAnsi="Times New Roman" w:cs="Times New Roman"/>
          <w:snapToGrid w:val="0"/>
          <w:color w:val="auto"/>
          <w:sz w:val="24"/>
          <w:szCs w:val="24"/>
          <w:highlight w:val="none"/>
          <w:lang w:val="zh-CN"/>
        </w:rPr>
      </w:pPr>
      <w:r>
        <w:rPr>
          <w:rFonts w:hint="default" w:ascii="Times New Roman" w:hAnsi="Times New Roman" w:cs="Times New Roman"/>
          <w:snapToGrid w:val="0"/>
          <w:color w:val="auto"/>
          <w:sz w:val="24"/>
          <w:szCs w:val="24"/>
          <w:highlight w:val="none"/>
          <w:lang w:val="zh-CN"/>
        </w:rPr>
        <w:fldChar w:fldCharType="begin"/>
      </w:r>
      <w:r>
        <w:rPr>
          <w:rFonts w:hint="default" w:ascii="Times New Roman" w:hAnsi="Times New Roman" w:cs="Times New Roman"/>
          <w:snapToGrid w:val="0"/>
          <w:color w:val="auto"/>
          <w:sz w:val="24"/>
          <w:szCs w:val="24"/>
          <w:highlight w:val="none"/>
          <w:lang w:val="zh-CN"/>
        </w:rPr>
        <w:instrText xml:space="preserve"> = 2 \* GB3 </w:instrText>
      </w:r>
      <w:r>
        <w:rPr>
          <w:rFonts w:hint="default" w:ascii="Times New Roman" w:hAnsi="Times New Roman" w:cs="Times New Roman"/>
          <w:snapToGrid w:val="0"/>
          <w:color w:val="auto"/>
          <w:sz w:val="24"/>
          <w:szCs w:val="24"/>
          <w:highlight w:val="none"/>
          <w:lang w:val="zh-CN"/>
        </w:rPr>
        <w:fldChar w:fldCharType="separate"/>
      </w:r>
      <w:r>
        <w:rPr>
          <w:rFonts w:hint="default" w:ascii="Times New Roman" w:hAnsi="Times New Roman" w:cs="Times New Roman"/>
          <w:snapToGrid w:val="0"/>
          <w:color w:val="auto"/>
          <w:sz w:val="24"/>
          <w:szCs w:val="24"/>
          <w:highlight w:val="none"/>
          <w:lang w:val="zh-CN"/>
        </w:rPr>
        <w:t>②</w:t>
      </w:r>
      <w:r>
        <w:rPr>
          <w:rFonts w:hint="default" w:ascii="Times New Roman" w:hAnsi="Times New Roman" w:cs="Times New Roman"/>
          <w:snapToGrid w:val="0"/>
          <w:color w:val="auto"/>
          <w:sz w:val="24"/>
          <w:szCs w:val="24"/>
          <w:highlight w:val="none"/>
          <w:lang w:val="zh-CN"/>
        </w:rPr>
        <w:fldChar w:fldCharType="end"/>
      </w:r>
      <w:r>
        <w:rPr>
          <w:rFonts w:hint="default" w:ascii="Times New Roman" w:hAnsi="Times New Roman" w:cs="Times New Roman"/>
          <w:snapToGrid w:val="0"/>
          <w:color w:val="auto"/>
          <w:sz w:val="24"/>
          <w:szCs w:val="24"/>
          <w:highlight w:val="none"/>
          <w:lang w:val="zh-CN"/>
        </w:rPr>
        <w:t>采取经济补偿、拆迁安置等措施，减缓了不利的社会影响；</w:t>
      </w:r>
    </w:p>
    <w:p w14:paraId="12E07BFD">
      <w:pPr>
        <w:keepNext w:val="0"/>
        <w:keepLines w:val="0"/>
        <w:pageBreakBefore w:val="0"/>
        <w:widowControl w:val="0"/>
        <w:kinsoku/>
        <w:wordWrap w:val="0"/>
        <w:overflowPunct/>
        <w:topLinePunct/>
        <w:autoSpaceDE/>
        <w:autoSpaceDN/>
        <w:bidi w:val="0"/>
        <w:adjustRightInd w:val="0"/>
        <w:snapToGrid w:val="0"/>
        <w:spacing w:beforeLines="0" w:afterLines="0" w:line="360" w:lineRule="auto"/>
        <w:ind w:firstLine="480" w:firstLineChars="200"/>
        <w:rPr>
          <w:rFonts w:hint="default" w:ascii="Times New Roman" w:hAnsi="Times New Roman" w:cs="Times New Roman"/>
          <w:snapToGrid w:val="0"/>
          <w:color w:val="auto"/>
          <w:sz w:val="24"/>
          <w:szCs w:val="24"/>
          <w:highlight w:val="none"/>
          <w:lang w:val="zh-CN"/>
        </w:rPr>
      </w:pPr>
      <w:r>
        <w:rPr>
          <w:rFonts w:hint="default" w:ascii="Times New Roman" w:hAnsi="Times New Roman" w:cs="Times New Roman"/>
          <w:snapToGrid w:val="0"/>
          <w:color w:val="auto"/>
          <w:sz w:val="24"/>
          <w:szCs w:val="24"/>
          <w:highlight w:val="none"/>
          <w:lang w:val="zh-CN"/>
        </w:rPr>
        <w:fldChar w:fldCharType="begin"/>
      </w:r>
      <w:r>
        <w:rPr>
          <w:rFonts w:hint="default" w:ascii="Times New Roman" w:hAnsi="Times New Roman" w:cs="Times New Roman"/>
          <w:snapToGrid w:val="0"/>
          <w:color w:val="auto"/>
          <w:sz w:val="24"/>
          <w:szCs w:val="24"/>
          <w:highlight w:val="none"/>
          <w:lang w:val="zh-CN"/>
        </w:rPr>
        <w:instrText xml:space="preserve"> = 3 \* GB3 </w:instrText>
      </w:r>
      <w:r>
        <w:rPr>
          <w:rFonts w:hint="default" w:ascii="Times New Roman" w:hAnsi="Times New Roman" w:cs="Times New Roman"/>
          <w:snapToGrid w:val="0"/>
          <w:color w:val="auto"/>
          <w:sz w:val="24"/>
          <w:szCs w:val="24"/>
          <w:highlight w:val="none"/>
          <w:lang w:val="zh-CN"/>
        </w:rPr>
        <w:fldChar w:fldCharType="separate"/>
      </w:r>
      <w:r>
        <w:rPr>
          <w:rFonts w:hint="default" w:ascii="Times New Roman" w:hAnsi="Times New Roman" w:cs="Times New Roman"/>
          <w:snapToGrid w:val="0"/>
          <w:color w:val="auto"/>
          <w:sz w:val="24"/>
          <w:szCs w:val="24"/>
          <w:highlight w:val="none"/>
          <w:lang w:val="zh-CN"/>
        </w:rPr>
        <w:t>③</w:t>
      </w:r>
      <w:r>
        <w:rPr>
          <w:rFonts w:hint="default" w:ascii="Times New Roman" w:hAnsi="Times New Roman" w:cs="Times New Roman"/>
          <w:snapToGrid w:val="0"/>
          <w:color w:val="auto"/>
          <w:sz w:val="24"/>
          <w:szCs w:val="24"/>
          <w:highlight w:val="none"/>
          <w:lang w:val="zh-CN"/>
        </w:rPr>
        <w:fldChar w:fldCharType="end"/>
      </w:r>
      <w:r>
        <w:rPr>
          <w:rFonts w:hint="default" w:ascii="Times New Roman" w:hAnsi="Times New Roman" w:cs="Times New Roman"/>
          <w:snapToGrid w:val="0"/>
          <w:color w:val="auto"/>
          <w:sz w:val="24"/>
          <w:szCs w:val="24"/>
          <w:highlight w:val="none"/>
          <w:lang w:val="zh-CN"/>
        </w:rPr>
        <w:t>施工便道尽量利用现有的道路，取、弃土场选址远离环境敏感点，最大程度地减轻了水土流失、扬尘污染以及景观影响；</w:t>
      </w:r>
    </w:p>
    <w:p w14:paraId="153C47A8">
      <w:pPr>
        <w:keepNext w:val="0"/>
        <w:keepLines w:val="0"/>
        <w:pageBreakBefore w:val="0"/>
        <w:widowControl w:val="0"/>
        <w:kinsoku/>
        <w:wordWrap w:val="0"/>
        <w:overflowPunct/>
        <w:topLinePunct/>
        <w:autoSpaceDE/>
        <w:autoSpaceDN/>
        <w:bidi w:val="0"/>
        <w:adjustRightInd w:val="0"/>
        <w:snapToGrid w:val="0"/>
        <w:spacing w:beforeLines="0" w:afterLines="0" w:line="360" w:lineRule="auto"/>
        <w:ind w:firstLine="480" w:firstLineChars="200"/>
        <w:rPr>
          <w:rFonts w:hint="default" w:ascii="Times New Roman" w:hAnsi="Times New Roman" w:cs="Times New Roman"/>
          <w:snapToGrid w:val="0"/>
          <w:color w:val="auto"/>
          <w:sz w:val="24"/>
          <w:szCs w:val="24"/>
          <w:highlight w:val="none"/>
          <w:lang w:val="zh-CN"/>
        </w:rPr>
      </w:pPr>
      <w:r>
        <w:rPr>
          <w:rFonts w:hint="default" w:ascii="Times New Roman" w:hAnsi="Times New Roman" w:cs="Times New Roman"/>
          <w:snapToGrid w:val="0"/>
          <w:color w:val="auto"/>
          <w:sz w:val="24"/>
          <w:szCs w:val="24"/>
          <w:highlight w:val="none"/>
          <w:lang w:val="zh-CN"/>
        </w:rPr>
        <w:fldChar w:fldCharType="begin"/>
      </w:r>
      <w:r>
        <w:rPr>
          <w:rFonts w:hint="default" w:ascii="Times New Roman" w:hAnsi="Times New Roman" w:cs="Times New Roman"/>
          <w:snapToGrid w:val="0"/>
          <w:color w:val="auto"/>
          <w:sz w:val="24"/>
          <w:szCs w:val="24"/>
          <w:highlight w:val="none"/>
          <w:lang w:val="zh-CN"/>
        </w:rPr>
        <w:instrText xml:space="preserve"> = 4 \* GB3 </w:instrText>
      </w:r>
      <w:r>
        <w:rPr>
          <w:rFonts w:hint="default" w:ascii="Times New Roman" w:hAnsi="Times New Roman" w:cs="Times New Roman"/>
          <w:snapToGrid w:val="0"/>
          <w:color w:val="auto"/>
          <w:sz w:val="24"/>
          <w:szCs w:val="24"/>
          <w:highlight w:val="none"/>
          <w:lang w:val="zh-CN"/>
        </w:rPr>
        <w:fldChar w:fldCharType="separate"/>
      </w:r>
      <w:r>
        <w:rPr>
          <w:rFonts w:hint="default" w:ascii="Times New Roman" w:hAnsi="Times New Roman" w:cs="Times New Roman"/>
          <w:snapToGrid w:val="0"/>
          <w:color w:val="auto"/>
          <w:sz w:val="24"/>
          <w:szCs w:val="24"/>
          <w:highlight w:val="none"/>
          <w:lang w:val="zh-CN"/>
        </w:rPr>
        <w:t>④</w:t>
      </w:r>
      <w:r>
        <w:rPr>
          <w:rFonts w:hint="default" w:ascii="Times New Roman" w:hAnsi="Times New Roman" w:cs="Times New Roman"/>
          <w:snapToGrid w:val="0"/>
          <w:color w:val="auto"/>
          <w:sz w:val="24"/>
          <w:szCs w:val="24"/>
          <w:highlight w:val="none"/>
          <w:lang w:val="zh-CN"/>
        </w:rPr>
        <w:fldChar w:fldCharType="end"/>
      </w:r>
      <w:r>
        <w:rPr>
          <w:rFonts w:hint="default" w:ascii="Times New Roman" w:hAnsi="Times New Roman" w:cs="Times New Roman"/>
          <w:snapToGrid w:val="0"/>
          <w:color w:val="auto"/>
          <w:sz w:val="24"/>
          <w:szCs w:val="24"/>
          <w:highlight w:val="none"/>
          <w:lang w:val="zh-CN"/>
        </w:rPr>
        <w:t>工程采取了路基防护工程，降低了水土流失影响，增加了工程的生态效益；设置过水涵洞等工程措施，保证了水利通道的通畅，消除了洪水威胁，保护了水利工程基础设施；</w:t>
      </w:r>
    </w:p>
    <w:p w14:paraId="7EABD55B">
      <w:pPr>
        <w:keepNext w:val="0"/>
        <w:keepLines w:val="0"/>
        <w:pageBreakBefore w:val="0"/>
        <w:widowControl w:val="0"/>
        <w:kinsoku/>
        <w:wordWrap w:val="0"/>
        <w:overflowPunct/>
        <w:topLinePunct/>
        <w:autoSpaceDE/>
        <w:autoSpaceDN/>
        <w:bidi w:val="0"/>
        <w:adjustRightInd w:val="0"/>
        <w:snapToGrid w:val="0"/>
        <w:spacing w:beforeLines="0" w:afterLines="0" w:line="360" w:lineRule="auto"/>
        <w:ind w:firstLine="480" w:firstLineChars="200"/>
        <w:rPr>
          <w:rFonts w:hint="default" w:ascii="Times New Roman" w:hAnsi="Times New Roman" w:cs="Times New Roman"/>
          <w:snapToGrid w:val="0"/>
          <w:color w:val="auto"/>
          <w:sz w:val="24"/>
          <w:szCs w:val="24"/>
          <w:highlight w:val="none"/>
          <w:lang w:val="zh-CN"/>
        </w:rPr>
      </w:pPr>
      <w:r>
        <w:rPr>
          <w:rFonts w:hint="default" w:ascii="Times New Roman" w:hAnsi="Times New Roman" w:cs="Times New Roman"/>
          <w:snapToGrid w:val="0"/>
          <w:color w:val="auto"/>
          <w:sz w:val="24"/>
          <w:szCs w:val="24"/>
          <w:highlight w:val="none"/>
          <w:lang w:val="zh-CN"/>
        </w:rPr>
        <w:fldChar w:fldCharType="begin"/>
      </w:r>
      <w:r>
        <w:rPr>
          <w:rFonts w:hint="default" w:ascii="Times New Roman" w:hAnsi="Times New Roman" w:cs="Times New Roman"/>
          <w:snapToGrid w:val="0"/>
          <w:color w:val="auto"/>
          <w:sz w:val="24"/>
          <w:szCs w:val="24"/>
          <w:highlight w:val="none"/>
          <w:lang w:val="zh-CN"/>
        </w:rPr>
        <w:instrText xml:space="preserve"> = 5 \* GB3 </w:instrText>
      </w:r>
      <w:r>
        <w:rPr>
          <w:rFonts w:hint="default" w:ascii="Times New Roman" w:hAnsi="Times New Roman" w:cs="Times New Roman"/>
          <w:snapToGrid w:val="0"/>
          <w:color w:val="auto"/>
          <w:sz w:val="24"/>
          <w:szCs w:val="24"/>
          <w:highlight w:val="none"/>
          <w:lang w:val="zh-CN"/>
        </w:rPr>
        <w:fldChar w:fldCharType="separate"/>
      </w:r>
      <w:r>
        <w:rPr>
          <w:rFonts w:hint="default" w:ascii="Times New Roman" w:hAnsi="Times New Roman" w:cs="Times New Roman"/>
          <w:snapToGrid w:val="0"/>
          <w:color w:val="auto"/>
          <w:sz w:val="24"/>
          <w:szCs w:val="24"/>
          <w:highlight w:val="none"/>
          <w:lang w:val="zh-CN"/>
        </w:rPr>
        <w:t>⑤</w:t>
      </w:r>
      <w:r>
        <w:rPr>
          <w:rFonts w:hint="default" w:ascii="Times New Roman" w:hAnsi="Times New Roman" w:cs="Times New Roman"/>
          <w:snapToGrid w:val="0"/>
          <w:color w:val="auto"/>
          <w:sz w:val="24"/>
          <w:szCs w:val="24"/>
          <w:highlight w:val="none"/>
          <w:lang w:val="zh-CN"/>
        </w:rPr>
        <w:fldChar w:fldCharType="end"/>
      </w:r>
      <w:r>
        <w:rPr>
          <w:rFonts w:hint="default" w:ascii="Times New Roman" w:hAnsi="Times New Roman" w:cs="Times New Roman"/>
          <w:snapToGrid w:val="0"/>
          <w:color w:val="auto"/>
          <w:sz w:val="24"/>
          <w:szCs w:val="24"/>
          <w:highlight w:val="none"/>
          <w:lang w:val="zh-CN"/>
        </w:rPr>
        <w:t>各种标志标识等安全设施的设置减少了交通事故，降低了风险事故带来的人、财、物损失和对环境的影响；</w:t>
      </w:r>
    </w:p>
    <w:p w14:paraId="1B5F1130">
      <w:pPr>
        <w:keepNext w:val="0"/>
        <w:keepLines w:val="0"/>
        <w:pageBreakBefore w:val="0"/>
        <w:widowControl w:val="0"/>
        <w:kinsoku/>
        <w:wordWrap w:val="0"/>
        <w:overflowPunct/>
        <w:topLinePunct/>
        <w:autoSpaceDE/>
        <w:autoSpaceDN/>
        <w:bidi w:val="0"/>
        <w:adjustRightInd w:val="0"/>
        <w:snapToGrid w:val="0"/>
        <w:spacing w:beforeLines="0" w:afterLines="0" w:line="360" w:lineRule="auto"/>
        <w:ind w:firstLine="480" w:firstLineChars="200"/>
        <w:rPr>
          <w:rFonts w:hint="default" w:ascii="Times New Roman" w:hAnsi="Times New Roman" w:cs="Times New Roman"/>
          <w:snapToGrid w:val="0"/>
          <w:color w:val="auto"/>
          <w:sz w:val="24"/>
          <w:szCs w:val="24"/>
          <w:highlight w:val="none"/>
          <w:lang w:val="zh-CN"/>
        </w:rPr>
      </w:pPr>
      <w:r>
        <w:rPr>
          <w:rFonts w:hint="default" w:ascii="Times New Roman" w:hAnsi="Times New Roman" w:cs="Times New Roman"/>
          <w:snapToGrid w:val="0"/>
          <w:color w:val="auto"/>
          <w:sz w:val="24"/>
          <w:szCs w:val="24"/>
          <w:highlight w:val="none"/>
          <w:lang w:val="zh-CN"/>
        </w:rPr>
        <w:fldChar w:fldCharType="begin"/>
      </w:r>
      <w:r>
        <w:rPr>
          <w:rFonts w:hint="default" w:ascii="Times New Roman" w:hAnsi="Times New Roman" w:cs="Times New Roman"/>
          <w:snapToGrid w:val="0"/>
          <w:color w:val="auto"/>
          <w:sz w:val="24"/>
          <w:szCs w:val="24"/>
          <w:highlight w:val="none"/>
          <w:lang w:val="zh-CN"/>
        </w:rPr>
        <w:instrText xml:space="preserve"> = 6 \* GB3 </w:instrText>
      </w:r>
      <w:r>
        <w:rPr>
          <w:rFonts w:hint="default" w:ascii="Times New Roman" w:hAnsi="Times New Roman" w:cs="Times New Roman"/>
          <w:snapToGrid w:val="0"/>
          <w:color w:val="auto"/>
          <w:sz w:val="24"/>
          <w:szCs w:val="24"/>
          <w:highlight w:val="none"/>
          <w:lang w:val="zh-CN"/>
        </w:rPr>
        <w:fldChar w:fldCharType="separate"/>
      </w:r>
      <w:r>
        <w:rPr>
          <w:rFonts w:hint="default" w:ascii="Times New Roman" w:hAnsi="Times New Roman" w:cs="Times New Roman"/>
          <w:snapToGrid w:val="0"/>
          <w:color w:val="auto"/>
          <w:sz w:val="24"/>
          <w:szCs w:val="24"/>
          <w:highlight w:val="none"/>
          <w:lang w:val="zh-CN"/>
        </w:rPr>
        <w:t>⑥</w:t>
      </w:r>
      <w:r>
        <w:rPr>
          <w:rFonts w:hint="default" w:ascii="Times New Roman" w:hAnsi="Times New Roman" w:cs="Times New Roman"/>
          <w:snapToGrid w:val="0"/>
          <w:color w:val="auto"/>
          <w:sz w:val="24"/>
          <w:szCs w:val="24"/>
          <w:highlight w:val="none"/>
          <w:lang w:val="zh-CN"/>
        </w:rPr>
        <w:fldChar w:fldCharType="end"/>
      </w:r>
      <w:r>
        <w:rPr>
          <w:rFonts w:hint="default" w:ascii="Times New Roman" w:hAnsi="Times New Roman" w:cs="Times New Roman"/>
          <w:snapToGrid w:val="0"/>
          <w:color w:val="auto"/>
          <w:sz w:val="24"/>
          <w:szCs w:val="24"/>
          <w:highlight w:val="none"/>
          <w:lang w:val="zh-CN"/>
        </w:rPr>
        <w:t>实施环境监督和管理措施，增强了环境保护意识，预防了污染，避免了环境污染纠纷。</w:t>
      </w:r>
    </w:p>
    <w:p w14:paraId="504328F1">
      <w:pPr>
        <w:pStyle w:val="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7.3.3 环境影响损益分析</w:t>
      </w:r>
    </w:p>
    <w:p w14:paraId="78B13E47">
      <w:pPr>
        <w:keepNext w:val="0"/>
        <w:keepLines w:val="0"/>
        <w:pageBreakBefore w:val="0"/>
        <w:widowControl w:val="0"/>
        <w:kinsoku/>
        <w:wordWrap w:val="0"/>
        <w:overflowPunct/>
        <w:topLinePunct/>
        <w:autoSpaceDE/>
        <w:autoSpaceDN/>
        <w:bidi w:val="0"/>
        <w:adjustRightInd w:val="0"/>
        <w:snapToGrid w:val="0"/>
        <w:spacing w:beforeLines="0" w:afterLines="0" w:line="360" w:lineRule="auto"/>
        <w:ind w:firstLine="480" w:firstLineChars="200"/>
        <w:rPr>
          <w:rFonts w:hint="default" w:ascii="Times New Roman" w:hAnsi="Times New Roman" w:cs="Times New Roman"/>
          <w:color w:val="auto"/>
          <w:sz w:val="21"/>
          <w:szCs w:val="24"/>
          <w:highlight w:val="none"/>
        </w:rPr>
      </w:pPr>
      <w:r>
        <w:rPr>
          <w:rFonts w:hint="default" w:ascii="Times New Roman" w:hAnsi="Times New Roman" w:cs="Times New Roman"/>
          <w:snapToGrid w:val="0"/>
          <w:color w:val="auto"/>
          <w:sz w:val="24"/>
          <w:szCs w:val="24"/>
          <w:highlight w:val="none"/>
          <w:lang w:val="zh-CN"/>
        </w:rPr>
        <w:t>对受本项目影响的主要环境因素，分别采用补偿法、专家打分法等分析方法对本项目环境经济损益进行定性分析，其结果见表</w:t>
      </w:r>
      <w:r>
        <w:rPr>
          <w:rFonts w:hint="default" w:ascii="Times New Roman" w:hAnsi="Times New Roman" w:cs="Times New Roman"/>
          <w:snapToGrid w:val="0"/>
          <w:color w:val="auto"/>
          <w:sz w:val="24"/>
          <w:szCs w:val="24"/>
          <w:highlight w:val="none"/>
          <w:lang w:val="en-US" w:eastAsia="zh-CN"/>
        </w:rPr>
        <w:t>7</w:t>
      </w:r>
      <w:r>
        <w:rPr>
          <w:rFonts w:hint="default" w:ascii="Times New Roman" w:hAnsi="Times New Roman" w:cs="Times New Roman"/>
          <w:snapToGrid w:val="0"/>
          <w:color w:val="auto"/>
          <w:sz w:val="24"/>
          <w:szCs w:val="24"/>
          <w:highlight w:val="none"/>
          <w:lang w:val="zh-CN"/>
        </w:rPr>
        <w:t>.3-1。</w:t>
      </w:r>
    </w:p>
    <w:p w14:paraId="052AB11E">
      <w:pPr>
        <w:pStyle w:val="39"/>
        <w:bidi w:val="0"/>
        <w:rPr>
          <w:rFonts w:hint="default" w:ascii="Times New Roman" w:hAnsi="Times New Roman" w:cs="Times New Roman"/>
          <w:color w:val="auto"/>
        </w:rPr>
      </w:pPr>
    </w:p>
    <w:p w14:paraId="6770382D">
      <w:pPr>
        <w:pStyle w:val="39"/>
        <w:bidi w:val="0"/>
        <w:rPr>
          <w:rFonts w:hint="default" w:ascii="Times New Roman" w:hAnsi="Times New Roman" w:cs="Times New Roman"/>
          <w:color w:val="auto"/>
          <w:szCs w:val="24"/>
          <w:highlight w:val="none"/>
        </w:rPr>
      </w:pPr>
      <w:r>
        <w:rPr>
          <w:rFonts w:hint="default" w:ascii="Times New Roman" w:hAnsi="Times New Roman" w:cs="Times New Roman"/>
          <w:color w:val="auto"/>
        </w:rPr>
        <w:t>表</w:t>
      </w:r>
      <w:r>
        <w:rPr>
          <w:rFonts w:hint="default" w:ascii="Times New Roman" w:hAnsi="Times New Roman" w:cs="Times New Roman"/>
          <w:color w:val="auto"/>
          <w:lang w:val="en-US" w:eastAsia="zh-CN"/>
        </w:rPr>
        <w:t>7</w:t>
      </w:r>
      <w:r>
        <w:rPr>
          <w:rFonts w:hint="default" w:ascii="Times New Roman" w:hAnsi="Times New Roman" w:cs="Times New Roman"/>
          <w:color w:val="auto"/>
        </w:rPr>
        <w:t xml:space="preserve">.3-1         </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本项目环境影响经济效益分析表</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6"/>
        <w:gridCol w:w="1646"/>
        <w:gridCol w:w="4159"/>
        <w:gridCol w:w="818"/>
        <w:gridCol w:w="1397"/>
      </w:tblGrid>
      <w:tr w14:paraId="46481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 w:type="pct"/>
            <w:tcBorders>
              <w:tl2br w:val="nil"/>
              <w:tr2bl w:val="nil"/>
            </w:tcBorders>
            <w:noWrap w:val="0"/>
            <w:vAlign w:val="center"/>
          </w:tcPr>
          <w:p w14:paraId="1BD90D0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序号</w:t>
            </w:r>
          </w:p>
        </w:tc>
        <w:tc>
          <w:tcPr>
            <w:tcW w:w="966" w:type="pct"/>
            <w:tcBorders>
              <w:tl2br w:val="nil"/>
              <w:tr2bl w:val="nil"/>
            </w:tcBorders>
            <w:noWrap w:val="0"/>
            <w:vAlign w:val="center"/>
          </w:tcPr>
          <w:p w14:paraId="65ACE16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序号</w:t>
            </w:r>
          </w:p>
        </w:tc>
        <w:tc>
          <w:tcPr>
            <w:tcW w:w="2441" w:type="pct"/>
            <w:tcBorders>
              <w:tl2br w:val="nil"/>
              <w:tr2bl w:val="nil"/>
            </w:tcBorders>
            <w:noWrap w:val="0"/>
            <w:vAlign w:val="center"/>
          </w:tcPr>
          <w:p w14:paraId="75E13B6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环境要素</w:t>
            </w:r>
          </w:p>
        </w:tc>
        <w:tc>
          <w:tcPr>
            <w:tcW w:w="480" w:type="pct"/>
            <w:tcBorders>
              <w:tl2br w:val="nil"/>
              <w:tr2bl w:val="nil"/>
            </w:tcBorders>
            <w:noWrap w:val="0"/>
            <w:vAlign w:val="center"/>
          </w:tcPr>
          <w:p w14:paraId="5B8F7A5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效益</w:t>
            </w:r>
          </w:p>
        </w:tc>
        <w:tc>
          <w:tcPr>
            <w:tcW w:w="820" w:type="pct"/>
            <w:tcBorders>
              <w:tl2br w:val="nil"/>
              <w:tr2bl w:val="nil"/>
            </w:tcBorders>
            <w:noWrap w:val="0"/>
            <w:vAlign w:val="center"/>
          </w:tcPr>
          <w:p w14:paraId="26711CB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备注</w:t>
            </w:r>
          </w:p>
        </w:tc>
      </w:tr>
      <w:tr w14:paraId="546CC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 w:type="pct"/>
            <w:tcBorders>
              <w:tl2br w:val="nil"/>
              <w:tr2bl w:val="nil"/>
            </w:tcBorders>
            <w:noWrap w:val="0"/>
            <w:vAlign w:val="center"/>
          </w:tcPr>
          <w:p w14:paraId="55CEEB4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966" w:type="pct"/>
            <w:tcBorders>
              <w:tl2br w:val="nil"/>
              <w:tr2bl w:val="nil"/>
            </w:tcBorders>
            <w:noWrap w:val="0"/>
            <w:vAlign w:val="center"/>
          </w:tcPr>
          <w:p w14:paraId="7CF374D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环境空气</w:t>
            </w:r>
          </w:p>
          <w:p w14:paraId="18EB8BE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声环境</w:t>
            </w:r>
          </w:p>
        </w:tc>
        <w:tc>
          <w:tcPr>
            <w:tcW w:w="2441" w:type="pct"/>
            <w:tcBorders>
              <w:tl2br w:val="nil"/>
              <w:tr2bl w:val="nil"/>
            </w:tcBorders>
            <w:noWrap w:val="0"/>
            <w:vAlign w:val="center"/>
          </w:tcPr>
          <w:p w14:paraId="2707EC5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拟建公路沿线声环境、环境空气质量降低</w:t>
            </w:r>
          </w:p>
        </w:tc>
        <w:tc>
          <w:tcPr>
            <w:tcW w:w="480" w:type="pct"/>
            <w:tcBorders>
              <w:tl2br w:val="nil"/>
              <w:tr2bl w:val="nil"/>
            </w:tcBorders>
            <w:noWrap w:val="0"/>
            <w:vAlign w:val="center"/>
          </w:tcPr>
          <w:p w14:paraId="231305A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820" w:type="pct"/>
            <w:vMerge w:val="restart"/>
            <w:tcBorders>
              <w:tl2br w:val="nil"/>
              <w:tr2bl w:val="nil"/>
            </w:tcBorders>
            <w:noWrap w:val="0"/>
            <w:vAlign w:val="center"/>
          </w:tcPr>
          <w:p w14:paraId="1C97CE3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按影响程度由小到大分别打1、2、3分；“+”正效益；“－”负效益</w:t>
            </w:r>
          </w:p>
        </w:tc>
      </w:tr>
      <w:tr w14:paraId="01366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 w:type="pct"/>
            <w:tcBorders>
              <w:tl2br w:val="nil"/>
              <w:tr2bl w:val="nil"/>
            </w:tcBorders>
            <w:noWrap w:val="0"/>
            <w:vAlign w:val="center"/>
          </w:tcPr>
          <w:p w14:paraId="5B56987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966" w:type="pct"/>
            <w:tcBorders>
              <w:tl2br w:val="nil"/>
              <w:tr2bl w:val="nil"/>
            </w:tcBorders>
            <w:noWrap w:val="0"/>
            <w:vAlign w:val="center"/>
          </w:tcPr>
          <w:p w14:paraId="2392DE8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水环境</w:t>
            </w:r>
          </w:p>
        </w:tc>
        <w:tc>
          <w:tcPr>
            <w:tcW w:w="2441" w:type="pct"/>
            <w:tcBorders>
              <w:tl2br w:val="nil"/>
              <w:tr2bl w:val="nil"/>
            </w:tcBorders>
            <w:noWrap w:val="0"/>
            <w:vAlign w:val="center"/>
          </w:tcPr>
          <w:p w14:paraId="77DE4FF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可能影响到跨越河流、干渠的水质</w:t>
            </w:r>
          </w:p>
        </w:tc>
        <w:tc>
          <w:tcPr>
            <w:tcW w:w="480" w:type="pct"/>
            <w:tcBorders>
              <w:tl2br w:val="nil"/>
              <w:tr2bl w:val="nil"/>
            </w:tcBorders>
            <w:noWrap w:val="0"/>
            <w:vAlign w:val="center"/>
          </w:tcPr>
          <w:p w14:paraId="17ADD85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820" w:type="pct"/>
            <w:vMerge w:val="continue"/>
            <w:tcBorders>
              <w:tl2br w:val="nil"/>
              <w:tr2bl w:val="nil"/>
            </w:tcBorders>
            <w:noWrap w:val="0"/>
            <w:vAlign w:val="center"/>
          </w:tcPr>
          <w:p w14:paraId="76299A4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p>
        </w:tc>
      </w:tr>
      <w:tr w14:paraId="7EB83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 w:type="pct"/>
            <w:tcBorders>
              <w:tl2br w:val="nil"/>
              <w:tr2bl w:val="nil"/>
            </w:tcBorders>
            <w:noWrap w:val="0"/>
            <w:vAlign w:val="center"/>
          </w:tcPr>
          <w:p w14:paraId="75134E8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w:t>
            </w:r>
          </w:p>
        </w:tc>
        <w:tc>
          <w:tcPr>
            <w:tcW w:w="966" w:type="pct"/>
            <w:tcBorders>
              <w:tl2br w:val="nil"/>
              <w:tr2bl w:val="nil"/>
            </w:tcBorders>
            <w:noWrap w:val="0"/>
            <w:vAlign w:val="center"/>
          </w:tcPr>
          <w:p w14:paraId="1746CD3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人群健康</w:t>
            </w:r>
          </w:p>
        </w:tc>
        <w:tc>
          <w:tcPr>
            <w:tcW w:w="2441" w:type="pct"/>
            <w:tcBorders>
              <w:tl2br w:val="nil"/>
              <w:tr2bl w:val="nil"/>
            </w:tcBorders>
            <w:noWrap w:val="0"/>
            <w:vAlign w:val="center"/>
          </w:tcPr>
          <w:p w14:paraId="114D30B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无显著不利影响，交通方便有利于就医</w:t>
            </w:r>
          </w:p>
        </w:tc>
        <w:tc>
          <w:tcPr>
            <w:tcW w:w="480" w:type="pct"/>
            <w:tcBorders>
              <w:tl2br w:val="nil"/>
              <w:tr2bl w:val="nil"/>
            </w:tcBorders>
            <w:noWrap w:val="0"/>
            <w:vAlign w:val="center"/>
          </w:tcPr>
          <w:p w14:paraId="017E2E6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820" w:type="pct"/>
            <w:vMerge w:val="continue"/>
            <w:tcBorders>
              <w:tl2br w:val="nil"/>
              <w:tr2bl w:val="nil"/>
            </w:tcBorders>
            <w:noWrap w:val="0"/>
            <w:vAlign w:val="center"/>
          </w:tcPr>
          <w:p w14:paraId="79B2420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p>
        </w:tc>
      </w:tr>
      <w:tr w14:paraId="0B522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 w:type="pct"/>
            <w:tcBorders>
              <w:tl2br w:val="nil"/>
              <w:tr2bl w:val="nil"/>
            </w:tcBorders>
            <w:noWrap w:val="0"/>
            <w:vAlign w:val="center"/>
          </w:tcPr>
          <w:p w14:paraId="02554C5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w:t>
            </w:r>
          </w:p>
        </w:tc>
        <w:tc>
          <w:tcPr>
            <w:tcW w:w="966" w:type="pct"/>
            <w:tcBorders>
              <w:tl2br w:val="nil"/>
              <w:tr2bl w:val="nil"/>
            </w:tcBorders>
            <w:noWrap w:val="0"/>
            <w:vAlign w:val="center"/>
          </w:tcPr>
          <w:p w14:paraId="6BF210A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动物</w:t>
            </w:r>
          </w:p>
        </w:tc>
        <w:tc>
          <w:tcPr>
            <w:tcW w:w="2441" w:type="pct"/>
            <w:tcBorders>
              <w:tl2br w:val="nil"/>
              <w:tr2bl w:val="nil"/>
            </w:tcBorders>
            <w:noWrap w:val="0"/>
            <w:vAlign w:val="center"/>
          </w:tcPr>
          <w:p w14:paraId="7ADDBAB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涉及重点保护野生动物栖息地</w:t>
            </w:r>
          </w:p>
        </w:tc>
        <w:tc>
          <w:tcPr>
            <w:tcW w:w="480" w:type="pct"/>
            <w:tcBorders>
              <w:tl2br w:val="nil"/>
              <w:tr2bl w:val="nil"/>
            </w:tcBorders>
            <w:noWrap w:val="0"/>
            <w:vAlign w:val="center"/>
          </w:tcPr>
          <w:p w14:paraId="4E96A40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820" w:type="pct"/>
            <w:vMerge w:val="continue"/>
            <w:tcBorders>
              <w:tl2br w:val="nil"/>
              <w:tr2bl w:val="nil"/>
            </w:tcBorders>
            <w:noWrap w:val="0"/>
            <w:vAlign w:val="center"/>
          </w:tcPr>
          <w:p w14:paraId="337C1C7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p>
        </w:tc>
      </w:tr>
      <w:tr w14:paraId="709E8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 w:type="pct"/>
            <w:tcBorders>
              <w:tl2br w:val="nil"/>
              <w:tr2bl w:val="nil"/>
            </w:tcBorders>
            <w:noWrap w:val="0"/>
            <w:vAlign w:val="center"/>
          </w:tcPr>
          <w:p w14:paraId="03BF499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w:t>
            </w:r>
          </w:p>
        </w:tc>
        <w:tc>
          <w:tcPr>
            <w:tcW w:w="966" w:type="pct"/>
            <w:tcBorders>
              <w:tl2br w:val="nil"/>
              <w:tr2bl w:val="nil"/>
            </w:tcBorders>
            <w:noWrap w:val="0"/>
            <w:vAlign w:val="center"/>
          </w:tcPr>
          <w:p w14:paraId="048560F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植物</w:t>
            </w:r>
          </w:p>
        </w:tc>
        <w:tc>
          <w:tcPr>
            <w:tcW w:w="2441" w:type="pct"/>
            <w:tcBorders>
              <w:tl2br w:val="nil"/>
              <w:tr2bl w:val="nil"/>
            </w:tcBorders>
            <w:noWrap w:val="0"/>
            <w:vAlign w:val="center"/>
          </w:tcPr>
          <w:p w14:paraId="085AD09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主要破坏永久占地范围内的地表植被，包括人工林、农作物，相对区域损失较小</w:t>
            </w:r>
          </w:p>
        </w:tc>
        <w:tc>
          <w:tcPr>
            <w:tcW w:w="480" w:type="pct"/>
            <w:tcBorders>
              <w:tl2br w:val="nil"/>
              <w:tr2bl w:val="nil"/>
            </w:tcBorders>
            <w:noWrap w:val="0"/>
            <w:vAlign w:val="center"/>
          </w:tcPr>
          <w:p w14:paraId="3DCF53B0">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820" w:type="pct"/>
            <w:vMerge w:val="continue"/>
            <w:tcBorders>
              <w:tl2br w:val="nil"/>
              <w:tr2bl w:val="nil"/>
            </w:tcBorders>
            <w:noWrap w:val="0"/>
            <w:vAlign w:val="center"/>
          </w:tcPr>
          <w:p w14:paraId="1CD2E94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p>
        </w:tc>
      </w:tr>
      <w:tr w14:paraId="400F3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 w:type="pct"/>
            <w:tcBorders>
              <w:tl2br w:val="nil"/>
              <w:tr2bl w:val="nil"/>
            </w:tcBorders>
            <w:noWrap w:val="0"/>
            <w:vAlign w:val="center"/>
          </w:tcPr>
          <w:p w14:paraId="62BE445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w:t>
            </w:r>
          </w:p>
        </w:tc>
        <w:tc>
          <w:tcPr>
            <w:tcW w:w="966" w:type="pct"/>
            <w:tcBorders>
              <w:tl2br w:val="nil"/>
              <w:tr2bl w:val="nil"/>
            </w:tcBorders>
            <w:noWrap w:val="0"/>
            <w:vAlign w:val="center"/>
          </w:tcPr>
          <w:p w14:paraId="5DABCDA2">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旅游资源</w:t>
            </w:r>
          </w:p>
        </w:tc>
        <w:tc>
          <w:tcPr>
            <w:tcW w:w="2441" w:type="pct"/>
            <w:tcBorders>
              <w:tl2br w:val="nil"/>
              <w:tr2bl w:val="nil"/>
            </w:tcBorders>
            <w:noWrap w:val="0"/>
            <w:vAlign w:val="center"/>
          </w:tcPr>
          <w:p w14:paraId="0D116E2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无显著的不利影响，有利于资源开发</w:t>
            </w:r>
          </w:p>
        </w:tc>
        <w:tc>
          <w:tcPr>
            <w:tcW w:w="480" w:type="pct"/>
            <w:tcBorders>
              <w:tl2br w:val="nil"/>
              <w:tr2bl w:val="nil"/>
            </w:tcBorders>
            <w:noWrap w:val="0"/>
            <w:vAlign w:val="center"/>
          </w:tcPr>
          <w:p w14:paraId="41BD3D0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820" w:type="pct"/>
            <w:vMerge w:val="continue"/>
            <w:tcBorders>
              <w:tl2br w:val="nil"/>
              <w:tr2bl w:val="nil"/>
            </w:tcBorders>
            <w:noWrap w:val="0"/>
            <w:vAlign w:val="center"/>
          </w:tcPr>
          <w:p w14:paraId="27030C9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p>
        </w:tc>
      </w:tr>
      <w:tr w14:paraId="580BF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 w:type="pct"/>
            <w:tcBorders>
              <w:tl2br w:val="nil"/>
              <w:tr2bl w:val="nil"/>
            </w:tcBorders>
            <w:noWrap w:val="0"/>
            <w:vAlign w:val="center"/>
          </w:tcPr>
          <w:p w14:paraId="721FFDA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w:t>
            </w:r>
          </w:p>
        </w:tc>
        <w:tc>
          <w:tcPr>
            <w:tcW w:w="966" w:type="pct"/>
            <w:tcBorders>
              <w:tl2br w:val="nil"/>
              <w:tr2bl w:val="nil"/>
            </w:tcBorders>
            <w:noWrap w:val="0"/>
            <w:vAlign w:val="center"/>
          </w:tcPr>
          <w:p w14:paraId="5B4E3B1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产业结构</w:t>
            </w:r>
          </w:p>
        </w:tc>
        <w:tc>
          <w:tcPr>
            <w:tcW w:w="2441" w:type="pct"/>
            <w:tcBorders>
              <w:tl2br w:val="nil"/>
              <w:tr2bl w:val="nil"/>
            </w:tcBorders>
            <w:noWrap w:val="0"/>
            <w:vAlign w:val="center"/>
          </w:tcPr>
          <w:p w14:paraId="16708F1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有利于产业结构的转变，有利于第一产业转变为第二</w:t>
            </w:r>
            <w:r>
              <w:rPr>
                <w:rFonts w:hint="eastAsia" w:ascii="Times New Roman" w:hAnsi="Times New Roman" w:cs="Times New Roman"/>
                <w:color w:val="auto"/>
                <w:sz w:val="21"/>
                <w:szCs w:val="21"/>
                <w:lang w:val="en-US" w:eastAsia="zh-CN"/>
              </w:rPr>
              <w:t>、第</w:t>
            </w:r>
            <w:r>
              <w:rPr>
                <w:rFonts w:hint="default" w:ascii="Times New Roman" w:hAnsi="Times New Roman" w:cs="Times New Roman"/>
                <w:color w:val="auto"/>
                <w:sz w:val="21"/>
                <w:szCs w:val="21"/>
                <w:lang w:val="en-US" w:eastAsia="zh-CN"/>
              </w:rPr>
              <w:t>三产业</w:t>
            </w:r>
          </w:p>
        </w:tc>
        <w:tc>
          <w:tcPr>
            <w:tcW w:w="480" w:type="pct"/>
            <w:tcBorders>
              <w:tl2br w:val="nil"/>
              <w:tr2bl w:val="nil"/>
            </w:tcBorders>
            <w:noWrap w:val="0"/>
            <w:vAlign w:val="center"/>
          </w:tcPr>
          <w:p w14:paraId="1022FF3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820" w:type="pct"/>
            <w:vMerge w:val="continue"/>
            <w:tcBorders>
              <w:tl2br w:val="nil"/>
              <w:tr2bl w:val="nil"/>
            </w:tcBorders>
            <w:noWrap w:val="0"/>
            <w:vAlign w:val="center"/>
          </w:tcPr>
          <w:p w14:paraId="02D9A033">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p>
        </w:tc>
      </w:tr>
      <w:tr w14:paraId="0D63C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 w:type="pct"/>
            <w:tcBorders>
              <w:tl2br w:val="nil"/>
              <w:tr2bl w:val="nil"/>
            </w:tcBorders>
            <w:noWrap w:val="0"/>
            <w:vAlign w:val="center"/>
          </w:tcPr>
          <w:p w14:paraId="6078146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w:t>
            </w:r>
          </w:p>
        </w:tc>
        <w:tc>
          <w:tcPr>
            <w:tcW w:w="966" w:type="pct"/>
            <w:tcBorders>
              <w:tl2br w:val="nil"/>
              <w:tr2bl w:val="nil"/>
            </w:tcBorders>
            <w:noWrap w:val="0"/>
            <w:vAlign w:val="center"/>
          </w:tcPr>
          <w:p w14:paraId="1275E79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城镇规划</w:t>
            </w:r>
          </w:p>
        </w:tc>
        <w:tc>
          <w:tcPr>
            <w:tcW w:w="2441" w:type="pct"/>
            <w:tcBorders>
              <w:tl2br w:val="nil"/>
              <w:tr2bl w:val="nil"/>
            </w:tcBorders>
            <w:noWrap w:val="0"/>
            <w:vAlign w:val="center"/>
          </w:tcPr>
          <w:p w14:paraId="3C5D300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与沿线城镇总体规划、路网规划等相协调</w:t>
            </w:r>
          </w:p>
        </w:tc>
        <w:tc>
          <w:tcPr>
            <w:tcW w:w="480" w:type="pct"/>
            <w:tcBorders>
              <w:tl2br w:val="nil"/>
              <w:tr2bl w:val="nil"/>
            </w:tcBorders>
            <w:noWrap w:val="0"/>
            <w:vAlign w:val="center"/>
          </w:tcPr>
          <w:p w14:paraId="7C85386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820" w:type="pct"/>
            <w:vMerge w:val="continue"/>
            <w:tcBorders>
              <w:tl2br w:val="nil"/>
              <w:tr2bl w:val="nil"/>
            </w:tcBorders>
            <w:noWrap w:val="0"/>
            <w:vAlign w:val="center"/>
          </w:tcPr>
          <w:p w14:paraId="6B91931A">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p>
        </w:tc>
      </w:tr>
      <w:tr w14:paraId="240D4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 w:type="pct"/>
            <w:tcBorders>
              <w:tl2br w:val="nil"/>
              <w:tr2bl w:val="nil"/>
            </w:tcBorders>
            <w:noWrap w:val="0"/>
            <w:vAlign w:val="center"/>
          </w:tcPr>
          <w:p w14:paraId="1BDEC76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9</w:t>
            </w:r>
          </w:p>
        </w:tc>
        <w:tc>
          <w:tcPr>
            <w:tcW w:w="966" w:type="pct"/>
            <w:tcBorders>
              <w:tl2br w:val="nil"/>
              <w:tr2bl w:val="nil"/>
            </w:tcBorders>
            <w:noWrap w:val="0"/>
            <w:vAlign w:val="center"/>
          </w:tcPr>
          <w:p w14:paraId="3D46C89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景观绿化美化</w:t>
            </w:r>
          </w:p>
        </w:tc>
        <w:tc>
          <w:tcPr>
            <w:tcW w:w="2441" w:type="pct"/>
            <w:tcBorders>
              <w:tl2br w:val="nil"/>
              <w:tr2bl w:val="nil"/>
            </w:tcBorders>
            <w:noWrap w:val="0"/>
            <w:vAlign w:val="center"/>
          </w:tcPr>
          <w:p w14:paraId="7748440B">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增加环保投资，改善沿线环境质量</w:t>
            </w:r>
          </w:p>
        </w:tc>
        <w:tc>
          <w:tcPr>
            <w:tcW w:w="480" w:type="pct"/>
            <w:tcBorders>
              <w:tl2br w:val="nil"/>
              <w:tr2bl w:val="nil"/>
            </w:tcBorders>
            <w:noWrap w:val="0"/>
            <w:vAlign w:val="center"/>
          </w:tcPr>
          <w:p w14:paraId="50B99B6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820" w:type="pct"/>
            <w:vMerge w:val="continue"/>
            <w:tcBorders>
              <w:tl2br w:val="nil"/>
              <w:tr2bl w:val="nil"/>
            </w:tcBorders>
            <w:noWrap w:val="0"/>
            <w:vAlign w:val="center"/>
          </w:tcPr>
          <w:p w14:paraId="70B6513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p>
        </w:tc>
      </w:tr>
      <w:tr w14:paraId="4C47D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 w:type="pct"/>
            <w:tcBorders>
              <w:tl2br w:val="nil"/>
              <w:tr2bl w:val="nil"/>
            </w:tcBorders>
            <w:noWrap w:val="0"/>
            <w:vAlign w:val="center"/>
          </w:tcPr>
          <w:p w14:paraId="632AA5F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w:t>
            </w:r>
          </w:p>
        </w:tc>
        <w:tc>
          <w:tcPr>
            <w:tcW w:w="966" w:type="pct"/>
            <w:tcBorders>
              <w:tl2br w:val="nil"/>
              <w:tr2bl w:val="nil"/>
            </w:tcBorders>
            <w:noWrap w:val="0"/>
            <w:vAlign w:val="center"/>
          </w:tcPr>
          <w:p w14:paraId="54E6F1F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水土保持</w:t>
            </w:r>
          </w:p>
        </w:tc>
        <w:tc>
          <w:tcPr>
            <w:tcW w:w="2441" w:type="pct"/>
            <w:tcBorders>
              <w:tl2br w:val="nil"/>
              <w:tr2bl w:val="nil"/>
            </w:tcBorders>
            <w:noWrap w:val="0"/>
            <w:vAlign w:val="center"/>
          </w:tcPr>
          <w:p w14:paraId="23D4B8E1">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无显著的不利影响，但增加工程投资</w:t>
            </w:r>
          </w:p>
        </w:tc>
        <w:tc>
          <w:tcPr>
            <w:tcW w:w="480" w:type="pct"/>
            <w:tcBorders>
              <w:tl2br w:val="nil"/>
              <w:tr2bl w:val="nil"/>
            </w:tcBorders>
            <w:noWrap w:val="0"/>
            <w:vAlign w:val="center"/>
          </w:tcPr>
          <w:p w14:paraId="23587F9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820" w:type="pct"/>
            <w:vMerge w:val="continue"/>
            <w:tcBorders>
              <w:tl2br w:val="nil"/>
              <w:tr2bl w:val="nil"/>
            </w:tcBorders>
            <w:noWrap w:val="0"/>
            <w:vAlign w:val="center"/>
          </w:tcPr>
          <w:p w14:paraId="584676AD">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p>
        </w:tc>
      </w:tr>
      <w:tr w14:paraId="5F421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 w:type="pct"/>
            <w:tcBorders>
              <w:tl2br w:val="nil"/>
              <w:tr2bl w:val="nil"/>
            </w:tcBorders>
            <w:noWrap w:val="0"/>
            <w:vAlign w:val="center"/>
          </w:tcPr>
          <w:p w14:paraId="2118045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11</w:t>
            </w:r>
          </w:p>
        </w:tc>
        <w:tc>
          <w:tcPr>
            <w:tcW w:w="966" w:type="pct"/>
            <w:tcBorders>
              <w:tl2br w:val="nil"/>
              <w:tr2bl w:val="nil"/>
            </w:tcBorders>
            <w:noWrap w:val="0"/>
            <w:vAlign w:val="center"/>
          </w:tcPr>
          <w:p w14:paraId="3EC5EE7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征地拆迁</w:t>
            </w:r>
          </w:p>
        </w:tc>
        <w:tc>
          <w:tcPr>
            <w:tcW w:w="2441" w:type="pct"/>
            <w:tcBorders>
              <w:tl2br w:val="nil"/>
              <w:tr2bl w:val="nil"/>
            </w:tcBorders>
            <w:noWrap w:val="0"/>
            <w:vAlign w:val="center"/>
          </w:tcPr>
          <w:p w14:paraId="789A3C6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涉及沿线村镇房屋、沿线电力设施的工程拆迁</w:t>
            </w:r>
          </w:p>
        </w:tc>
        <w:tc>
          <w:tcPr>
            <w:tcW w:w="480" w:type="pct"/>
            <w:tcBorders>
              <w:tl2br w:val="nil"/>
              <w:tr2bl w:val="nil"/>
            </w:tcBorders>
            <w:noWrap w:val="0"/>
            <w:vAlign w:val="center"/>
          </w:tcPr>
          <w:p w14:paraId="7A2B987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820" w:type="pct"/>
            <w:vMerge w:val="continue"/>
            <w:tcBorders>
              <w:tl2br w:val="nil"/>
              <w:tr2bl w:val="nil"/>
            </w:tcBorders>
            <w:noWrap w:val="0"/>
            <w:vAlign w:val="center"/>
          </w:tcPr>
          <w:p w14:paraId="64CD0B4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p>
        </w:tc>
      </w:tr>
      <w:tr w14:paraId="0FCBB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 w:type="pct"/>
            <w:tcBorders>
              <w:tl2br w:val="nil"/>
              <w:tr2bl w:val="nil"/>
            </w:tcBorders>
            <w:noWrap w:val="0"/>
            <w:vAlign w:val="center"/>
          </w:tcPr>
          <w:p w14:paraId="66DEC34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12</w:t>
            </w:r>
          </w:p>
        </w:tc>
        <w:tc>
          <w:tcPr>
            <w:tcW w:w="966" w:type="pct"/>
            <w:tcBorders>
              <w:tl2br w:val="nil"/>
              <w:tr2bl w:val="nil"/>
            </w:tcBorders>
            <w:noWrap w:val="0"/>
            <w:vAlign w:val="center"/>
          </w:tcPr>
          <w:p w14:paraId="46889F5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土地价值</w:t>
            </w:r>
          </w:p>
        </w:tc>
        <w:tc>
          <w:tcPr>
            <w:tcW w:w="2441" w:type="pct"/>
            <w:tcBorders>
              <w:tl2br w:val="nil"/>
              <w:tr2bl w:val="nil"/>
            </w:tcBorders>
            <w:noWrap w:val="0"/>
            <w:vAlign w:val="center"/>
          </w:tcPr>
          <w:p w14:paraId="38BFB78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基本无影响</w:t>
            </w:r>
          </w:p>
        </w:tc>
        <w:tc>
          <w:tcPr>
            <w:tcW w:w="480" w:type="pct"/>
            <w:tcBorders>
              <w:tl2br w:val="nil"/>
              <w:tr2bl w:val="nil"/>
            </w:tcBorders>
            <w:noWrap w:val="0"/>
            <w:vAlign w:val="center"/>
          </w:tcPr>
          <w:p w14:paraId="63B5D9A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w:t>
            </w:r>
          </w:p>
        </w:tc>
        <w:tc>
          <w:tcPr>
            <w:tcW w:w="820" w:type="pct"/>
            <w:vMerge w:val="continue"/>
            <w:tcBorders>
              <w:tl2br w:val="nil"/>
              <w:tr2bl w:val="nil"/>
            </w:tcBorders>
            <w:noWrap w:val="0"/>
            <w:vAlign w:val="center"/>
          </w:tcPr>
          <w:p w14:paraId="1F01F26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p>
        </w:tc>
      </w:tr>
      <w:tr w14:paraId="3DA00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 w:type="pct"/>
            <w:tcBorders>
              <w:tl2br w:val="nil"/>
              <w:tr2bl w:val="nil"/>
            </w:tcBorders>
            <w:noWrap w:val="0"/>
            <w:vAlign w:val="center"/>
          </w:tcPr>
          <w:p w14:paraId="68BACBF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13</w:t>
            </w:r>
          </w:p>
        </w:tc>
        <w:tc>
          <w:tcPr>
            <w:tcW w:w="966" w:type="pct"/>
            <w:tcBorders>
              <w:tl2br w:val="nil"/>
              <w:tr2bl w:val="nil"/>
            </w:tcBorders>
            <w:noWrap w:val="0"/>
            <w:vAlign w:val="center"/>
          </w:tcPr>
          <w:p w14:paraId="20A12F18">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直接社会效益</w:t>
            </w:r>
          </w:p>
        </w:tc>
        <w:tc>
          <w:tcPr>
            <w:tcW w:w="2441" w:type="pct"/>
            <w:tcBorders>
              <w:tl2br w:val="nil"/>
              <w:tr2bl w:val="nil"/>
            </w:tcBorders>
            <w:noWrap w:val="0"/>
            <w:vAlign w:val="center"/>
          </w:tcPr>
          <w:p w14:paraId="256A18AE">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缩短里程、节约时间、降低运输成本、降低油耗、提高安全性等5种效益</w:t>
            </w:r>
          </w:p>
        </w:tc>
        <w:tc>
          <w:tcPr>
            <w:tcW w:w="480" w:type="pct"/>
            <w:tcBorders>
              <w:tl2br w:val="nil"/>
              <w:tr2bl w:val="nil"/>
            </w:tcBorders>
            <w:noWrap w:val="0"/>
            <w:vAlign w:val="center"/>
          </w:tcPr>
          <w:p w14:paraId="312FAA9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820" w:type="pct"/>
            <w:vMerge w:val="continue"/>
            <w:tcBorders>
              <w:tl2br w:val="nil"/>
              <w:tr2bl w:val="nil"/>
            </w:tcBorders>
            <w:noWrap w:val="0"/>
            <w:vAlign w:val="center"/>
          </w:tcPr>
          <w:p w14:paraId="487264BC">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p>
        </w:tc>
      </w:tr>
      <w:tr w14:paraId="69BE8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 w:type="pct"/>
            <w:tcBorders>
              <w:tl2br w:val="nil"/>
              <w:tr2bl w:val="nil"/>
            </w:tcBorders>
            <w:noWrap w:val="0"/>
            <w:vAlign w:val="center"/>
          </w:tcPr>
          <w:p w14:paraId="1359F4E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14</w:t>
            </w:r>
          </w:p>
        </w:tc>
        <w:tc>
          <w:tcPr>
            <w:tcW w:w="966" w:type="pct"/>
            <w:tcBorders>
              <w:tl2br w:val="nil"/>
              <w:tr2bl w:val="nil"/>
            </w:tcBorders>
            <w:noWrap w:val="0"/>
            <w:vAlign w:val="center"/>
          </w:tcPr>
          <w:p w14:paraId="2BEBCE5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间接社会效益</w:t>
            </w:r>
          </w:p>
        </w:tc>
        <w:tc>
          <w:tcPr>
            <w:tcW w:w="2441" w:type="pct"/>
            <w:tcBorders>
              <w:tl2br w:val="nil"/>
              <w:tr2bl w:val="nil"/>
            </w:tcBorders>
            <w:noWrap w:val="0"/>
            <w:vAlign w:val="center"/>
          </w:tcPr>
          <w:p w14:paraId="3FEA8C9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体现社会共同进步、公平原则，改善投资环境、促进经济发展、增强环境意识</w:t>
            </w:r>
          </w:p>
        </w:tc>
        <w:tc>
          <w:tcPr>
            <w:tcW w:w="480" w:type="pct"/>
            <w:tcBorders>
              <w:tl2br w:val="nil"/>
              <w:tr2bl w:val="nil"/>
            </w:tcBorders>
            <w:noWrap w:val="0"/>
            <w:vAlign w:val="center"/>
          </w:tcPr>
          <w:p w14:paraId="309A78B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w:t>
            </w:r>
          </w:p>
        </w:tc>
        <w:tc>
          <w:tcPr>
            <w:tcW w:w="820" w:type="pct"/>
            <w:vMerge w:val="continue"/>
            <w:tcBorders>
              <w:tl2br w:val="nil"/>
              <w:tr2bl w:val="nil"/>
            </w:tcBorders>
            <w:noWrap w:val="0"/>
            <w:vAlign w:val="center"/>
          </w:tcPr>
          <w:p w14:paraId="7F8D8726">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p>
        </w:tc>
      </w:tr>
      <w:tr w14:paraId="6837F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 w:type="pct"/>
            <w:tcBorders>
              <w:tl2br w:val="nil"/>
              <w:tr2bl w:val="nil"/>
            </w:tcBorders>
            <w:noWrap w:val="0"/>
            <w:vAlign w:val="center"/>
          </w:tcPr>
          <w:p w14:paraId="371C5985">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15</w:t>
            </w:r>
          </w:p>
        </w:tc>
        <w:tc>
          <w:tcPr>
            <w:tcW w:w="966" w:type="pct"/>
            <w:tcBorders>
              <w:tl2br w:val="nil"/>
              <w:tr2bl w:val="nil"/>
            </w:tcBorders>
            <w:noWrap w:val="0"/>
            <w:vAlign w:val="center"/>
          </w:tcPr>
          <w:p w14:paraId="666CF6B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环保措施</w:t>
            </w:r>
          </w:p>
        </w:tc>
        <w:tc>
          <w:tcPr>
            <w:tcW w:w="2441" w:type="pct"/>
            <w:tcBorders>
              <w:tl2br w:val="nil"/>
              <w:tr2bl w:val="nil"/>
            </w:tcBorders>
            <w:noWrap w:val="0"/>
            <w:vAlign w:val="center"/>
          </w:tcPr>
          <w:p w14:paraId="301133F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增加工程投资，但所占比例总体较小</w:t>
            </w:r>
          </w:p>
        </w:tc>
        <w:tc>
          <w:tcPr>
            <w:tcW w:w="480" w:type="pct"/>
            <w:tcBorders>
              <w:tl2br w:val="nil"/>
              <w:tr2bl w:val="nil"/>
            </w:tcBorders>
            <w:noWrap w:val="0"/>
            <w:vAlign w:val="center"/>
          </w:tcPr>
          <w:p w14:paraId="3D9DF4DF">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w:t>
            </w:r>
          </w:p>
        </w:tc>
        <w:tc>
          <w:tcPr>
            <w:tcW w:w="820" w:type="pct"/>
            <w:vMerge w:val="continue"/>
            <w:tcBorders>
              <w:tl2br w:val="nil"/>
              <w:tr2bl w:val="nil"/>
            </w:tcBorders>
            <w:noWrap w:val="0"/>
            <w:vAlign w:val="center"/>
          </w:tcPr>
          <w:p w14:paraId="4905F2B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p>
        </w:tc>
      </w:tr>
      <w:tr w14:paraId="61D90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7" w:type="pct"/>
            <w:gridSpan w:val="2"/>
            <w:tcBorders>
              <w:tl2br w:val="nil"/>
              <w:tr2bl w:val="nil"/>
            </w:tcBorders>
            <w:noWrap w:val="0"/>
            <w:vAlign w:val="center"/>
          </w:tcPr>
          <w:p w14:paraId="706B1F64">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合计</w:t>
            </w:r>
          </w:p>
        </w:tc>
        <w:tc>
          <w:tcPr>
            <w:tcW w:w="2441" w:type="pct"/>
            <w:tcBorders>
              <w:tl2br w:val="nil"/>
              <w:tr2bl w:val="nil"/>
            </w:tcBorders>
            <w:noWrap w:val="0"/>
            <w:vAlign w:val="center"/>
          </w:tcPr>
          <w:p w14:paraId="76C847E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正效益：+16；负效益：-5。</w:t>
            </w:r>
          </w:p>
          <w:p w14:paraId="1FF7617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正效益/负效益=3.2</w:t>
            </w:r>
          </w:p>
        </w:tc>
        <w:tc>
          <w:tcPr>
            <w:tcW w:w="480" w:type="pct"/>
            <w:tcBorders>
              <w:tl2br w:val="nil"/>
              <w:tr2bl w:val="nil"/>
            </w:tcBorders>
            <w:noWrap w:val="0"/>
            <w:vAlign w:val="center"/>
          </w:tcPr>
          <w:p w14:paraId="0F424617">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+11</w:t>
            </w:r>
          </w:p>
        </w:tc>
        <w:tc>
          <w:tcPr>
            <w:tcW w:w="820" w:type="pct"/>
            <w:tcBorders>
              <w:tl2br w:val="nil"/>
              <w:tr2bl w:val="nil"/>
            </w:tcBorders>
            <w:noWrap w:val="0"/>
            <w:vAlign w:val="center"/>
          </w:tcPr>
          <w:p w14:paraId="5CED3749">
            <w:pPr>
              <w:pStyle w:val="3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p>
        </w:tc>
      </w:tr>
    </w:tbl>
    <w:p w14:paraId="733CAA9B">
      <w:pPr>
        <w:keepNext w:val="0"/>
        <w:keepLines w:val="0"/>
        <w:pageBreakBefore w:val="0"/>
        <w:widowControl w:val="0"/>
        <w:kinsoku/>
        <w:wordWrap/>
        <w:overflowPunct/>
        <w:topLinePunct w:val="0"/>
        <w:autoSpaceDE/>
        <w:autoSpaceDN/>
        <w:bidi w:val="0"/>
        <w:adjustRightInd w:val="0"/>
        <w:snapToGrid w:val="0"/>
        <w:spacing w:before="168" w:beforeLines="50"/>
        <w:textAlignment w:val="auto"/>
        <w:rPr>
          <w:rFonts w:hint="default" w:ascii="Times New Roman" w:hAnsi="Times New Roman" w:cs="Times New Roman"/>
          <w:color w:val="auto"/>
        </w:rPr>
      </w:pPr>
      <w:r>
        <w:rPr>
          <w:rFonts w:hint="default" w:ascii="Times New Roman" w:hAnsi="Times New Roman" w:cs="Times New Roman"/>
          <w:color w:val="auto"/>
          <w:lang w:val="zh-CN"/>
        </w:rPr>
        <w:t>环境损益分析结果表明，拟建公路环境正效益是负效益的</w:t>
      </w:r>
      <w:r>
        <w:rPr>
          <w:rFonts w:hint="default" w:ascii="Times New Roman" w:hAnsi="Times New Roman" w:cs="Times New Roman"/>
          <w:color w:val="auto"/>
          <w:lang w:val="en-US" w:eastAsia="zh-CN"/>
        </w:rPr>
        <w:t>3.2</w:t>
      </w:r>
      <w:r>
        <w:rPr>
          <w:rFonts w:hint="default" w:ascii="Times New Roman" w:hAnsi="Times New Roman" w:cs="Times New Roman"/>
          <w:color w:val="auto"/>
          <w:lang w:val="zh-CN"/>
        </w:rPr>
        <w:t>倍，说明，拟建公路所产生环境经济的正效益占主导地位。从环境影响的经济损益角度来看拟建公路是可行的。</w:t>
      </w:r>
    </w:p>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p w14:paraId="33F36BF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根据拟建工程沿线的环境特点</w:t>
      </w:r>
      <w:r>
        <w:rPr>
          <w:rFonts w:hint="default" w:ascii="Times New Roman" w:hAnsi="Times New Roman" w:cs="Times New Roman"/>
          <w:color w:val="auto"/>
          <w:kern w:val="0"/>
          <w:sz w:val="24"/>
          <w:szCs w:val="24"/>
          <w:lang w:val="en-US" w:eastAsia="zh-CN" w:bidi="ar"/>
        </w:rPr>
        <w:t>及</w:t>
      </w:r>
      <w:r>
        <w:rPr>
          <w:rFonts w:hint="default" w:ascii="Times New Roman" w:hAnsi="Times New Roman" w:eastAsia="宋体" w:cs="Times New Roman"/>
          <w:color w:val="auto"/>
          <w:kern w:val="0"/>
          <w:sz w:val="24"/>
          <w:szCs w:val="24"/>
          <w:lang w:val="en-US" w:eastAsia="zh-CN" w:bidi="ar"/>
        </w:rPr>
        <w:t>环境影响预测，综合前述章节提出的环保措施及建议，环保投资的构成</w:t>
      </w:r>
      <w:r>
        <w:rPr>
          <w:rFonts w:hint="eastAsia" w:cs="Times New Roman"/>
          <w:color w:val="auto"/>
          <w:kern w:val="0"/>
          <w:sz w:val="24"/>
          <w:szCs w:val="24"/>
          <w:lang w:val="en-US" w:eastAsia="zh-CN" w:bidi="ar"/>
        </w:rPr>
        <w:t>见下</w:t>
      </w:r>
      <w:r>
        <w:rPr>
          <w:rFonts w:hint="default" w:ascii="Times New Roman" w:hAnsi="Times New Roman" w:eastAsia="宋体" w:cs="Times New Roman"/>
          <w:color w:val="auto"/>
          <w:kern w:val="0"/>
          <w:sz w:val="24"/>
          <w:szCs w:val="24"/>
          <w:lang w:val="en-US" w:eastAsia="zh-CN" w:bidi="ar"/>
        </w:rPr>
        <w:t>表7.</w:t>
      </w:r>
      <w:r>
        <w:rPr>
          <w:rFonts w:hint="default" w:ascii="Times New Roman" w:hAnsi="Times New Roman"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w:t>
      </w:r>
    </w:p>
    <w:p w14:paraId="5793243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lang w:val="en-US"/>
        </w:rPr>
      </w:pPr>
      <w:r>
        <w:rPr>
          <w:rFonts w:hint="default" w:ascii="Times New Roman" w:hAnsi="Times New Roman" w:eastAsia="宋体" w:cs="Times New Roman"/>
          <w:b/>
          <w:bCs/>
          <w:color w:val="auto"/>
          <w:kern w:val="0"/>
          <w:sz w:val="21"/>
          <w:szCs w:val="21"/>
          <w:lang w:val="en-US" w:eastAsia="zh-CN" w:bidi="ar"/>
        </w:rPr>
        <w:t>表7.</w:t>
      </w:r>
      <w:r>
        <w:rPr>
          <w:rFonts w:hint="default" w:ascii="Times New Roman" w:hAnsi="Times New Roman" w:cs="Times New Roman"/>
          <w:b/>
          <w:bCs/>
          <w:color w:val="auto"/>
          <w:kern w:val="0"/>
          <w:sz w:val="21"/>
          <w:szCs w:val="21"/>
          <w:lang w:val="en-US" w:eastAsia="zh-CN" w:bidi="ar"/>
        </w:rPr>
        <w:t>3</w:t>
      </w:r>
      <w:r>
        <w:rPr>
          <w:rFonts w:hint="default" w:ascii="Times New Roman" w:hAnsi="Times New Roman" w:eastAsia="宋体" w:cs="Times New Roman"/>
          <w:b/>
          <w:bCs/>
          <w:color w:val="auto"/>
          <w:kern w:val="0"/>
          <w:sz w:val="21"/>
          <w:szCs w:val="21"/>
          <w:lang w:val="en-US" w:eastAsia="zh-CN" w:bidi="ar"/>
        </w:rPr>
        <w:t>-</w:t>
      </w:r>
      <w:r>
        <w:rPr>
          <w:rFonts w:hint="default" w:ascii="Times New Roman" w:hAnsi="Times New Roman" w:cs="Times New Roman"/>
          <w:b/>
          <w:bCs/>
          <w:color w:val="auto"/>
          <w:kern w:val="0"/>
          <w:sz w:val="21"/>
          <w:szCs w:val="21"/>
          <w:lang w:val="en-US" w:eastAsia="zh-CN" w:bidi="ar"/>
        </w:rPr>
        <w:t>2</w:t>
      </w:r>
      <w:r>
        <w:rPr>
          <w:rFonts w:hint="default" w:ascii="Times New Roman" w:hAnsi="Times New Roman" w:eastAsia="宋体" w:cs="Times New Roman"/>
          <w:b/>
          <w:bCs/>
          <w:color w:val="auto"/>
          <w:kern w:val="0"/>
          <w:sz w:val="21"/>
          <w:szCs w:val="21"/>
          <w:lang w:val="en-US" w:eastAsia="zh-CN" w:bidi="ar"/>
        </w:rPr>
        <w:t xml:space="preserve"> 投资估算表     单位：万元</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5"/>
        <w:gridCol w:w="3746"/>
        <w:gridCol w:w="925"/>
        <w:gridCol w:w="2450"/>
      </w:tblGrid>
      <w:tr w14:paraId="6450E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9" w:type="pct"/>
            <w:vAlign w:val="center"/>
          </w:tcPr>
          <w:p w14:paraId="71B2BB82">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环保项目</w:t>
            </w:r>
          </w:p>
        </w:tc>
        <w:tc>
          <w:tcPr>
            <w:tcW w:w="2199" w:type="pct"/>
            <w:vAlign w:val="center"/>
          </w:tcPr>
          <w:p w14:paraId="7A6F8689">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措施内容</w:t>
            </w:r>
          </w:p>
        </w:tc>
        <w:tc>
          <w:tcPr>
            <w:tcW w:w="543" w:type="pct"/>
            <w:vAlign w:val="center"/>
          </w:tcPr>
          <w:p w14:paraId="63702C4A">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金额</w:t>
            </w:r>
          </w:p>
        </w:tc>
        <w:tc>
          <w:tcPr>
            <w:tcW w:w="1438" w:type="pct"/>
            <w:vAlign w:val="center"/>
          </w:tcPr>
          <w:p w14:paraId="6F4992C5">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备注</w:t>
            </w:r>
          </w:p>
        </w:tc>
      </w:tr>
      <w:tr w14:paraId="360B6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9" w:type="pct"/>
            <w:vAlign w:val="center"/>
          </w:tcPr>
          <w:p w14:paraId="5BBF4735">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噪声防治</w:t>
            </w:r>
          </w:p>
        </w:tc>
        <w:tc>
          <w:tcPr>
            <w:tcW w:w="2199" w:type="pct"/>
            <w:shd w:val="clear" w:color="auto" w:fill="auto"/>
            <w:vAlign w:val="center"/>
          </w:tcPr>
          <w:p w14:paraId="43E4C441">
            <w:pPr>
              <w:pStyle w:val="38"/>
              <w:keepNext w:val="0"/>
              <w:keepLines w:val="0"/>
              <w:pageBreakBefore w:val="0"/>
              <w:widowControl w:val="0"/>
              <w:kinsoku/>
              <w:wordWrap/>
              <w:overflowPunct/>
              <w:topLinePunct w:val="0"/>
              <w:autoSpaceDE/>
              <w:autoSpaceDN/>
              <w:bidi w:val="0"/>
              <w:adjustRightInd w:val="0"/>
              <w:snapToGrid w:val="0"/>
              <w:spacing w:before="0" w:after="0"/>
              <w:ind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设置警示牌及限速标识</w:t>
            </w:r>
          </w:p>
        </w:tc>
        <w:tc>
          <w:tcPr>
            <w:tcW w:w="543" w:type="pct"/>
            <w:shd w:val="clear" w:color="auto" w:fill="auto"/>
            <w:vAlign w:val="center"/>
          </w:tcPr>
          <w:p w14:paraId="1679E7CB">
            <w:pPr>
              <w:pStyle w:val="38"/>
              <w:keepNext w:val="0"/>
              <w:keepLines w:val="0"/>
              <w:pageBreakBefore w:val="0"/>
              <w:widowControl w:val="0"/>
              <w:kinsoku/>
              <w:wordWrap/>
              <w:overflowPunct/>
              <w:topLinePunct w:val="0"/>
              <w:autoSpaceDE/>
              <w:autoSpaceDN/>
              <w:bidi w:val="0"/>
              <w:adjustRightInd w:val="0"/>
              <w:snapToGrid w:val="0"/>
              <w:spacing w:before="0" w:after="0"/>
              <w:ind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10</w:t>
            </w:r>
          </w:p>
        </w:tc>
        <w:tc>
          <w:tcPr>
            <w:tcW w:w="1438" w:type="pct"/>
            <w:vAlign w:val="center"/>
          </w:tcPr>
          <w:p w14:paraId="37B36F9C">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14:paraId="558DD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9" w:type="pct"/>
            <w:vMerge w:val="restart"/>
            <w:vAlign w:val="center"/>
          </w:tcPr>
          <w:p w14:paraId="61B79D5F">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水污染防治</w:t>
            </w:r>
          </w:p>
        </w:tc>
        <w:tc>
          <w:tcPr>
            <w:tcW w:w="2199" w:type="pct"/>
            <w:vAlign w:val="center"/>
          </w:tcPr>
          <w:p w14:paraId="6E073ACA">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临时沉淀池</w:t>
            </w:r>
          </w:p>
        </w:tc>
        <w:tc>
          <w:tcPr>
            <w:tcW w:w="543" w:type="pct"/>
            <w:vAlign w:val="center"/>
          </w:tcPr>
          <w:p w14:paraId="7037D156">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1438" w:type="pct"/>
            <w:vAlign w:val="center"/>
          </w:tcPr>
          <w:p w14:paraId="57327CBE">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14:paraId="708B0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9" w:type="pct"/>
            <w:vMerge w:val="continue"/>
            <w:vAlign w:val="center"/>
          </w:tcPr>
          <w:p w14:paraId="60A67EB6">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p>
        </w:tc>
        <w:tc>
          <w:tcPr>
            <w:tcW w:w="2199" w:type="pct"/>
            <w:vAlign w:val="center"/>
          </w:tcPr>
          <w:p w14:paraId="1EAE4D20">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收费站地埋式污水处理设施</w:t>
            </w:r>
          </w:p>
        </w:tc>
        <w:tc>
          <w:tcPr>
            <w:tcW w:w="543" w:type="pct"/>
            <w:vAlign w:val="center"/>
          </w:tcPr>
          <w:p w14:paraId="7C3A3FCC">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50</w:t>
            </w:r>
          </w:p>
        </w:tc>
        <w:tc>
          <w:tcPr>
            <w:tcW w:w="1438" w:type="pct"/>
            <w:vAlign w:val="center"/>
          </w:tcPr>
          <w:p w14:paraId="175BC73C">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14:paraId="65F5D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9" w:type="pct"/>
            <w:vMerge w:val="restart"/>
            <w:vAlign w:val="center"/>
          </w:tcPr>
          <w:p w14:paraId="3E43CF30">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生态环境保护、恢复及建设</w:t>
            </w:r>
          </w:p>
        </w:tc>
        <w:tc>
          <w:tcPr>
            <w:tcW w:w="2199" w:type="pct"/>
            <w:vAlign w:val="center"/>
          </w:tcPr>
          <w:p w14:paraId="75AE8C95">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表土保留</w:t>
            </w:r>
          </w:p>
        </w:tc>
        <w:tc>
          <w:tcPr>
            <w:tcW w:w="543" w:type="pct"/>
            <w:vAlign w:val="center"/>
          </w:tcPr>
          <w:p w14:paraId="1B127B49">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w:t>
            </w:r>
            <w:r>
              <w:rPr>
                <w:rFonts w:hint="default" w:ascii="Times New Roman" w:hAnsi="Times New Roman" w:eastAsia="宋体" w:cs="Times New Roman"/>
                <w:color w:val="auto"/>
                <w:sz w:val="21"/>
                <w:szCs w:val="21"/>
                <w:lang w:val="en-US" w:eastAsia="zh-CN"/>
              </w:rPr>
              <w:t>0</w:t>
            </w:r>
          </w:p>
        </w:tc>
        <w:tc>
          <w:tcPr>
            <w:tcW w:w="1438" w:type="pct"/>
            <w:vAlign w:val="center"/>
          </w:tcPr>
          <w:p w14:paraId="042C5995">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类比估算</w:t>
            </w:r>
          </w:p>
        </w:tc>
      </w:tr>
      <w:tr w14:paraId="65477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9" w:type="pct"/>
            <w:vMerge w:val="continue"/>
            <w:vAlign w:val="center"/>
          </w:tcPr>
          <w:p w14:paraId="0F996E56">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p>
        </w:tc>
        <w:tc>
          <w:tcPr>
            <w:tcW w:w="2199" w:type="pct"/>
            <w:vAlign w:val="center"/>
          </w:tcPr>
          <w:p w14:paraId="23BCEEC8">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施工迹地恢复平整</w:t>
            </w:r>
          </w:p>
        </w:tc>
        <w:tc>
          <w:tcPr>
            <w:tcW w:w="543" w:type="pct"/>
            <w:vAlign w:val="center"/>
          </w:tcPr>
          <w:p w14:paraId="3AD121B4">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w:t>
            </w:r>
          </w:p>
        </w:tc>
        <w:tc>
          <w:tcPr>
            <w:tcW w:w="1438" w:type="pct"/>
            <w:vAlign w:val="center"/>
          </w:tcPr>
          <w:p w14:paraId="2A859B09">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类比估算</w:t>
            </w:r>
          </w:p>
        </w:tc>
      </w:tr>
      <w:tr w14:paraId="497699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9" w:type="pct"/>
            <w:vMerge w:val="continue"/>
            <w:vAlign w:val="center"/>
          </w:tcPr>
          <w:p w14:paraId="2F323F82">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p>
        </w:tc>
        <w:tc>
          <w:tcPr>
            <w:tcW w:w="2199" w:type="pct"/>
            <w:vAlign w:val="center"/>
          </w:tcPr>
          <w:p w14:paraId="113AD9E2">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生态监测</w:t>
            </w:r>
          </w:p>
        </w:tc>
        <w:tc>
          <w:tcPr>
            <w:tcW w:w="543" w:type="pct"/>
            <w:vAlign w:val="center"/>
          </w:tcPr>
          <w:p w14:paraId="06C56CCF">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w:t>
            </w:r>
          </w:p>
        </w:tc>
        <w:tc>
          <w:tcPr>
            <w:tcW w:w="1438" w:type="pct"/>
            <w:vAlign w:val="center"/>
          </w:tcPr>
          <w:p w14:paraId="5D387F86">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植被自选生产状况、植被覆盖度等</w:t>
            </w:r>
          </w:p>
        </w:tc>
      </w:tr>
      <w:tr w14:paraId="67D0B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9" w:type="pct"/>
            <w:vMerge w:val="restart"/>
            <w:vAlign w:val="center"/>
          </w:tcPr>
          <w:p w14:paraId="435C5FF1">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环境空气污染防治</w:t>
            </w:r>
          </w:p>
        </w:tc>
        <w:tc>
          <w:tcPr>
            <w:tcW w:w="2199" w:type="pct"/>
            <w:vAlign w:val="center"/>
          </w:tcPr>
          <w:p w14:paraId="3628421C">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洒水车</w:t>
            </w:r>
          </w:p>
        </w:tc>
        <w:tc>
          <w:tcPr>
            <w:tcW w:w="543" w:type="pct"/>
            <w:vAlign w:val="center"/>
          </w:tcPr>
          <w:p w14:paraId="7524F942">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50</w:t>
            </w:r>
          </w:p>
        </w:tc>
        <w:tc>
          <w:tcPr>
            <w:tcW w:w="1438" w:type="pct"/>
            <w:vAlign w:val="center"/>
          </w:tcPr>
          <w:p w14:paraId="2DD28220">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r>
      <w:tr w14:paraId="60490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9" w:type="pct"/>
            <w:vMerge w:val="continue"/>
            <w:vAlign w:val="center"/>
          </w:tcPr>
          <w:p w14:paraId="1A8A1458">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p>
        </w:tc>
        <w:tc>
          <w:tcPr>
            <w:tcW w:w="2199" w:type="pct"/>
            <w:vAlign w:val="center"/>
          </w:tcPr>
          <w:p w14:paraId="0E7BAC5B">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临时抑尘覆盖物</w:t>
            </w:r>
          </w:p>
        </w:tc>
        <w:tc>
          <w:tcPr>
            <w:tcW w:w="543" w:type="pct"/>
            <w:vAlign w:val="center"/>
          </w:tcPr>
          <w:p w14:paraId="5640DBD3">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35</w:t>
            </w:r>
          </w:p>
        </w:tc>
        <w:tc>
          <w:tcPr>
            <w:tcW w:w="1438" w:type="pct"/>
            <w:vAlign w:val="center"/>
          </w:tcPr>
          <w:p w14:paraId="082EB1C8">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14:paraId="72E00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9" w:type="pct"/>
            <w:vMerge w:val="continue"/>
            <w:vAlign w:val="center"/>
          </w:tcPr>
          <w:p w14:paraId="72DE9419">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p>
        </w:tc>
        <w:tc>
          <w:tcPr>
            <w:tcW w:w="2199" w:type="pct"/>
            <w:vAlign w:val="center"/>
          </w:tcPr>
          <w:p w14:paraId="35B5F20B">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施工期临时工程治理措施（混凝土拌合站袋式除尘器、沥青拌合站废气净化设备等）</w:t>
            </w:r>
          </w:p>
        </w:tc>
        <w:tc>
          <w:tcPr>
            <w:tcW w:w="543" w:type="pct"/>
            <w:vAlign w:val="center"/>
          </w:tcPr>
          <w:p w14:paraId="36979BDB">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65</w:t>
            </w:r>
          </w:p>
        </w:tc>
        <w:tc>
          <w:tcPr>
            <w:tcW w:w="1438" w:type="pct"/>
            <w:vAlign w:val="center"/>
          </w:tcPr>
          <w:p w14:paraId="57F39F2D">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r>
      <w:tr w14:paraId="34B14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9" w:type="pct"/>
            <w:vMerge w:val="continue"/>
            <w:vAlign w:val="center"/>
          </w:tcPr>
          <w:p w14:paraId="6C169BD0">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p>
        </w:tc>
        <w:tc>
          <w:tcPr>
            <w:tcW w:w="2199" w:type="pct"/>
            <w:vAlign w:val="center"/>
          </w:tcPr>
          <w:p w14:paraId="0BA8F828">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施工围挡、防尘网</w:t>
            </w:r>
          </w:p>
        </w:tc>
        <w:tc>
          <w:tcPr>
            <w:tcW w:w="543" w:type="pct"/>
            <w:vAlign w:val="center"/>
          </w:tcPr>
          <w:p w14:paraId="179A0AC8">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w:t>
            </w:r>
          </w:p>
        </w:tc>
        <w:tc>
          <w:tcPr>
            <w:tcW w:w="1438" w:type="pct"/>
            <w:vAlign w:val="center"/>
          </w:tcPr>
          <w:p w14:paraId="528A3AB9">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14:paraId="7115B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9" w:type="pct"/>
            <w:vMerge w:val="restart"/>
            <w:vAlign w:val="center"/>
          </w:tcPr>
          <w:p w14:paraId="6079C4F0">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环境管理</w:t>
            </w:r>
          </w:p>
        </w:tc>
        <w:tc>
          <w:tcPr>
            <w:tcW w:w="2199" w:type="pct"/>
            <w:vAlign w:val="center"/>
          </w:tcPr>
          <w:p w14:paraId="67A44940">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施工期及营运期环境管理计划实施、人员培训等</w:t>
            </w:r>
          </w:p>
        </w:tc>
        <w:tc>
          <w:tcPr>
            <w:tcW w:w="543" w:type="pct"/>
            <w:vAlign w:val="center"/>
          </w:tcPr>
          <w:p w14:paraId="5EF44A6E">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50</w:t>
            </w:r>
          </w:p>
        </w:tc>
        <w:tc>
          <w:tcPr>
            <w:tcW w:w="1438" w:type="pct"/>
            <w:vAlign w:val="center"/>
          </w:tcPr>
          <w:p w14:paraId="0C54DD23">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施工期按</w:t>
            </w:r>
            <w:r>
              <w:rPr>
                <w:rFonts w:hint="eastAsia" w:cs="Times New Roman"/>
                <w:color w:val="auto"/>
                <w:sz w:val="21"/>
                <w:szCs w:val="21"/>
                <w:lang w:val="en-US" w:eastAsia="zh-CN"/>
              </w:rPr>
              <w:t>2</w:t>
            </w:r>
            <w:r>
              <w:rPr>
                <w:rFonts w:hint="default" w:ascii="Times New Roman" w:hAnsi="Times New Roman" w:eastAsia="宋体" w:cs="Times New Roman"/>
                <w:color w:val="auto"/>
                <w:sz w:val="21"/>
                <w:szCs w:val="21"/>
                <w:lang w:val="en-US" w:eastAsia="zh-CN"/>
              </w:rPr>
              <w:t>年计、营运期按20年计</w:t>
            </w:r>
          </w:p>
        </w:tc>
      </w:tr>
      <w:tr w14:paraId="70263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9" w:type="pct"/>
            <w:vMerge w:val="continue"/>
            <w:vAlign w:val="center"/>
          </w:tcPr>
          <w:p w14:paraId="5AE42651">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p>
        </w:tc>
        <w:tc>
          <w:tcPr>
            <w:tcW w:w="2199" w:type="pct"/>
            <w:shd w:val="clear" w:color="auto" w:fill="auto"/>
            <w:vAlign w:val="center"/>
          </w:tcPr>
          <w:p w14:paraId="0F1A7A5D">
            <w:pPr>
              <w:pStyle w:val="38"/>
              <w:keepNext w:val="0"/>
              <w:keepLines w:val="0"/>
              <w:pageBreakBefore w:val="0"/>
              <w:widowControl w:val="0"/>
              <w:kinsoku/>
              <w:wordWrap/>
              <w:overflowPunct/>
              <w:topLinePunct w:val="0"/>
              <w:autoSpaceDE/>
              <w:autoSpaceDN/>
              <w:bidi w:val="0"/>
              <w:adjustRightInd w:val="0"/>
              <w:snapToGrid w:val="0"/>
              <w:spacing w:before="0" w:after="0"/>
              <w:ind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施工期环境监理</w:t>
            </w:r>
          </w:p>
        </w:tc>
        <w:tc>
          <w:tcPr>
            <w:tcW w:w="543" w:type="pct"/>
            <w:shd w:val="clear" w:color="auto" w:fill="auto"/>
            <w:vAlign w:val="center"/>
          </w:tcPr>
          <w:p w14:paraId="193F8500">
            <w:pPr>
              <w:pStyle w:val="38"/>
              <w:keepNext w:val="0"/>
              <w:keepLines w:val="0"/>
              <w:pageBreakBefore w:val="0"/>
              <w:widowControl w:val="0"/>
              <w:kinsoku/>
              <w:wordWrap/>
              <w:overflowPunct/>
              <w:topLinePunct w:val="0"/>
              <w:autoSpaceDE/>
              <w:autoSpaceDN/>
              <w:bidi w:val="0"/>
              <w:adjustRightInd w:val="0"/>
              <w:snapToGrid w:val="0"/>
              <w:spacing w:before="0" w:after="0"/>
              <w:ind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20</w:t>
            </w:r>
          </w:p>
        </w:tc>
        <w:tc>
          <w:tcPr>
            <w:tcW w:w="1438" w:type="pct"/>
            <w:shd w:val="clear" w:color="auto" w:fill="auto"/>
            <w:vAlign w:val="center"/>
          </w:tcPr>
          <w:p w14:paraId="00D0E918">
            <w:pPr>
              <w:pStyle w:val="38"/>
              <w:keepNext w:val="0"/>
              <w:keepLines w:val="0"/>
              <w:pageBreakBefore w:val="0"/>
              <w:widowControl w:val="0"/>
              <w:kinsoku/>
              <w:wordWrap/>
              <w:overflowPunct/>
              <w:topLinePunct w:val="0"/>
              <w:autoSpaceDE/>
              <w:autoSpaceDN/>
              <w:bidi w:val="0"/>
              <w:adjustRightInd w:val="0"/>
              <w:snapToGrid w:val="0"/>
              <w:spacing w:before="0" w:after="0"/>
              <w:ind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纳入工程监理</w:t>
            </w:r>
          </w:p>
        </w:tc>
      </w:tr>
      <w:tr w14:paraId="0DA7A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9" w:type="pct"/>
            <w:vMerge w:val="continue"/>
            <w:vAlign w:val="center"/>
          </w:tcPr>
          <w:p w14:paraId="059F0302">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p>
        </w:tc>
        <w:tc>
          <w:tcPr>
            <w:tcW w:w="2199" w:type="pct"/>
            <w:shd w:val="clear" w:color="auto" w:fill="auto"/>
            <w:vAlign w:val="center"/>
          </w:tcPr>
          <w:p w14:paraId="54592162">
            <w:pPr>
              <w:pStyle w:val="38"/>
              <w:keepNext w:val="0"/>
              <w:keepLines w:val="0"/>
              <w:pageBreakBefore w:val="0"/>
              <w:widowControl w:val="0"/>
              <w:kinsoku/>
              <w:wordWrap/>
              <w:overflowPunct/>
              <w:topLinePunct w:val="0"/>
              <w:autoSpaceDE/>
              <w:autoSpaceDN/>
              <w:bidi w:val="0"/>
              <w:adjustRightInd w:val="0"/>
              <w:snapToGrid w:val="0"/>
              <w:spacing w:before="0" w:after="0"/>
              <w:ind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环境影响管理</w:t>
            </w:r>
          </w:p>
        </w:tc>
        <w:tc>
          <w:tcPr>
            <w:tcW w:w="543" w:type="pct"/>
            <w:shd w:val="clear" w:color="auto" w:fill="auto"/>
            <w:vAlign w:val="center"/>
          </w:tcPr>
          <w:p w14:paraId="22835786">
            <w:pPr>
              <w:pStyle w:val="38"/>
              <w:keepNext w:val="0"/>
              <w:keepLines w:val="0"/>
              <w:pageBreakBefore w:val="0"/>
              <w:widowControl w:val="0"/>
              <w:kinsoku/>
              <w:wordWrap/>
              <w:overflowPunct/>
              <w:topLinePunct w:val="0"/>
              <w:autoSpaceDE/>
              <w:autoSpaceDN/>
              <w:bidi w:val="0"/>
              <w:adjustRightInd w:val="0"/>
              <w:snapToGrid w:val="0"/>
              <w:spacing w:before="0" w:after="0"/>
              <w:ind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25</w:t>
            </w:r>
          </w:p>
        </w:tc>
        <w:tc>
          <w:tcPr>
            <w:tcW w:w="1438" w:type="pct"/>
            <w:shd w:val="clear" w:color="auto" w:fill="auto"/>
            <w:vAlign w:val="center"/>
          </w:tcPr>
          <w:p w14:paraId="723881B3">
            <w:pPr>
              <w:pStyle w:val="38"/>
              <w:keepNext w:val="0"/>
              <w:keepLines w:val="0"/>
              <w:pageBreakBefore w:val="0"/>
              <w:widowControl w:val="0"/>
              <w:kinsoku/>
              <w:wordWrap/>
              <w:overflowPunct/>
              <w:topLinePunct w:val="0"/>
              <w:autoSpaceDE/>
              <w:autoSpaceDN/>
              <w:bidi w:val="0"/>
              <w:adjustRightInd w:val="0"/>
              <w:snapToGrid w:val="0"/>
              <w:spacing w:before="0" w:after="0"/>
              <w:ind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按照相关规定计费</w:t>
            </w:r>
          </w:p>
        </w:tc>
      </w:tr>
      <w:tr w14:paraId="575D8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9" w:type="pct"/>
            <w:vMerge w:val="continue"/>
            <w:vAlign w:val="center"/>
          </w:tcPr>
          <w:p w14:paraId="1932A77E">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p>
        </w:tc>
        <w:tc>
          <w:tcPr>
            <w:tcW w:w="2199" w:type="pct"/>
            <w:shd w:val="clear" w:color="auto" w:fill="auto"/>
            <w:vAlign w:val="center"/>
          </w:tcPr>
          <w:p w14:paraId="581697D5">
            <w:pPr>
              <w:pStyle w:val="38"/>
              <w:keepNext w:val="0"/>
              <w:keepLines w:val="0"/>
              <w:pageBreakBefore w:val="0"/>
              <w:widowControl w:val="0"/>
              <w:kinsoku/>
              <w:wordWrap/>
              <w:overflowPunct/>
              <w:topLinePunct w:val="0"/>
              <w:autoSpaceDE/>
              <w:autoSpaceDN/>
              <w:bidi w:val="0"/>
              <w:adjustRightInd w:val="0"/>
              <w:snapToGrid w:val="0"/>
              <w:spacing w:before="0" w:after="0"/>
              <w:ind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竣工环境保护验收</w:t>
            </w:r>
          </w:p>
        </w:tc>
        <w:tc>
          <w:tcPr>
            <w:tcW w:w="543" w:type="pct"/>
            <w:shd w:val="clear" w:color="auto" w:fill="auto"/>
            <w:vAlign w:val="center"/>
          </w:tcPr>
          <w:p w14:paraId="36F0BEB4">
            <w:pPr>
              <w:pStyle w:val="38"/>
              <w:keepNext w:val="0"/>
              <w:keepLines w:val="0"/>
              <w:pageBreakBefore w:val="0"/>
              <w:widowControl w:val="0"/>
              <w:kinsoku/>
              <w:wordWrap/>
              <w:overflowPunct/>
              <w:topLinePunct w:val="0"/>
              <w:autoSpaceDE/>
              <w:autoSpaceDN/>
              <w:bidi w:val="0"/>
              <w:adjustRightInd w:val="0"/>
              <w:snapToGrid w:val="0"/>
              <w:spacing w:before="0" w:after="0"/>
              <w:ind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20</w:t>
            </w:r>
          </w:p>
        </w:tc>
        <w:tc>
          <w:tcPr>
            <w:tcW w:w="1438" w:type="pct"/>
            <w:shd w:val="clear" w:color="auto" w:fill="auto"/>
            <w:vAlign w:val="center"/>
          </w:tcPr>
          <w:p w14:paraId="78BFF5AA">
            <w:pPr>
              <w:pStyle w:val="38"/>
              <w:keepNext w:val="0"/>
              <w:keepLines w:val="0"/>
              <w:pageBreakBefore w:val="0"/>
              <w:widowControl w:val="0"/>
              <w:kinsoku/>
              <w:wordWrap/>
              <w:overflowPunct/>
              <w:topLinePunct w:val="0"/>
              <w:autoSpaceDE/>
              <w:autoSpaceDN/>
              <w:bidi w:val="0"/>
              <w:adjustRightInd w:val="0"/>
              <w:snapToGrid w:val="0"/>
              <w:spacing w:before="0" w:after="0"/>
              <w:ind w:firstLine="0" w:firstLineChars="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按照相关规定计费</w:t>
            </w:r>
          </w:p>
        </w:tc>
      </w:tr>
      <w:tr w14:paraId="25E76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18" w:type="pct"/>
            <w:gridSpan w:val="2"/>
            <w:vAlign w:val="center"/>
          </w:tcPr>
          <w:p w14:paraId="095FE774">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合计</w:t>
            </w:r>
          </w:p>
        </w:tc>
        <w:tc>
          <w:tcPr>
            <w:tcW w:w="543" w:type="pct"/>
            <w:vAlign w:val="center"/>
          </w:tcPr>
          <w:p w14:paraId="0B58446D">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545</w:t>
            </w:r>
          </w:p>
        </w:tc>
        <w:tc>
          <w:tcPr>
            <w:tcW w:w="1438" w:type="pct"/>
            <w:vAlign w:val="center"/>
          </w:tcPr>
          <w:p w14:paraId="197D6074">
            <w:pPr>
              <w:pStyle w:val="38"/>
              <w:keepNext w:val="0"/>
              <w:keepLines w:val="0"/>
              <w:pageBreakBefore w:val="0"/>
              <w:widowControl w:val="0"/>
              <w:kinsoku/>
              <w:wordWrap/>
              <w:overflowPunct/>
              <w:topLinePunct w:val="0"/>
              <w:autoSpaceDE/>
              <w:autoSpaceDN/>
              <w:bidi w:val="0"/>
              <w:adjustRightInd w:val="0"/>
              <w:snapToGrid w:val="0"/>
              <w:spacing w:before="0" w:after="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bl>
    <w:p w14:paraId="26DD6FF3">
      <w:pPr>
        <w:keepNext w:val="0"/>
        <w:keepLines w:val="0"/>
        <w:pageBreakBefore w:val="0"/>
        <w:widowControl w:val="0"/>
        <w:kinsoku/>
        <w:wordWrap/>
        <w:overflowPunct/>
        <w:topLinePunct w:val="0"/>
        <w:autoSpaceDE/>
        <w:autoSpaceDN/>
        <w:bidi w:val="0"/>
        <w:adjustRightInd w:val="0"/>
        <w:snapToGrid w:val="0"/>
        <w:spacing w:before="168" w:beforeLines="50"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eastAsia="宋体" w:cs="Times New Roman"/>
          <w:color w:val="auto"/>
          <w:kern w:val="0"/>
          <w:sz w:val="24"/>
          <w:szCs w:val="24"/>
          <w:lang w:val="en-US" w:eastAsia="zh-CN" w:bidi="ar"/>
        </w:rPr>
        <w:t>本工程直接环保投资</w:t>
      </w:r>
      <w:r>
        <w:rPr>
          <w:rFonts w:hint="default" w:ascii="Times New Roman" w:hAnsi="Times New Roman" w:cs="Times New Roman"/>
          <w:color w:val="auto"/>
          <w:kern w:val="0"/>
          <w:sz w:val="24"/>
          <w:szCs w:val="24"/>
          <w:lang w:val="en-US" w:eastAsia="zh-CN" w:bidi="ar"/>
        </w:rPr>
        <w:t>5</w:t>
      </w:r>
      <w:r>
        <w:rPr>
          <w:rFonts w:hint="eastAsia" w:cs="Times New Roman"/>
          <w:color w:val="auto"/>
          <w:kern w:val="0"/>
          <w:sz w:val="24"/>
          <w:szCs w:val="24"/>
          <w:lang w:val="en-US" w:eastAsia="zh-CN" w:bidi="ar"/>
        </w:rPr>
        <w:t>45</w:t>
      </w:r>
      <w:r>
        <w:rPr>
          <w:rFonts w:hint="default" w:ascii="Times New Roman" w:hAnsi="Times New Roman" w:eastAsia="宋体" w:cs="Times New Roman"/>
          <w:color w:val="auto"/>
          <w:kern w:val="0"/>
          <w:sz w:val="24"/>
          <w:szCs w:val="24"/>
          <w:lang w:val="en-US" w:eastAsia="zh-CN" w:bidi="ar"/>
        </w:rPr>
        <w:t>万元，占总投资</w:t>
      </w:r>
      <w:r>
        <w:rPr>
          <w:rFonts w:hint="default" w:ascii="Times New Roman" w:hAnsi="Times New Roman" w:cs="Times New Roman"/>
          <w:color w:val="auto"/>
          <w:kern w:val="0"/>
          <w:sz w:val="24"/>
          <w:szCs w:val="24"/>
          <w:lang w:val="en-US" w:eastAsia="zh-CN" w:bidi="ar"/>
        </w:rPr>
        <w:t>59989.40万元</w:t>
      </w:r>
      <w:r>
        <w:rPr>
          <w:rFonts w:hint="default" w:ascii="Times New Roman" w:hAnsi="Times New Roman" w:eastAsia="宋体" w:cs="Times New Roman"/>
          <w:color w:val="auto"/>
          <w:kern w:val="0"/>
          <w:sz w:val="24"/>
          <w:szCs w:val="24"/>
          <w:lang w:val="en-US" w:eastAsia="zh-CN" w:bidi="ar"/>
        </w:rPr>
        <w:t>的</w:t>
      </w:r>
      <w:r>
        <w:rPr>
          <w:rFonts w:hint="default" w:ascii="Times New Roman" w:hAnsi="Times New Roman" w:cs="Times New Roman"/>
          <w:color w:val="auto"/>
          <w:kern w:val="0"/>
          <w:sz w:val="24"/>
          <w:szCs w:val="24"/>
          <w:lang w:val="en-US" w:eastAsia="zh-CN" w:bidi="ar"/>
        </w:rPr>
        <w:t>0.</w:t>
      </w:r>
      <w:r>
        <w:rPr>
          <w:rFonts w:hint="eastAsia" w:cs="Times New Roman"/>
          <w:color w:val="auto"/>
          <w:kern w:val="0"/>
          <w:sz w:val="24"/>
          <w:szCs w:val="24"/>
          <w:lang w:val="en-US" w:eastAsia="zh-CN" w:bidi="ar"/>
        </w:rPr>
        <w:t>91</w:t>
      </w:r>
      <w:r>
        <w:rPr>
          <w:rFonts w:hint="default" w:ascii="Times New Roman" w:hAnsi="Times New Roman" w:eastAsia="宋体" w:cs="Times New Roman"/>
          <w:color w:val="auto"/>
          <w:kern w:val="0"/>
          <w:sz w:val="24"/>
          <w:szCs w:val="24"/>
          <w:lang w:val="en-US" w:eastAsia="zh-CN" w:bidi="ar"/>
        </w:rPr>
        <w:t>%。</w:t>
      </w:r>
    </w:p>
    <w:p w14:paraId="37EB52B6">
      <w:pPr>
        <w:spacing w:line="360" w:lineRule="auto"/>
        <w:ind w:firstLine="480" w:firstLineChars="200"/>
        <w:rPr>
          <w:rFonts w:hint="default" w:ascii="Times New Roman" w:hAnsi="Times New Roman" w:cs="Times New Roman"/>
          <w:color w:val="auto"/>
          <w:sz w:val="24"/>
        </w:rPr>
      </w:pPr>
    </w:p>
    <w:p w14:paraId="04292ABD">
      <w:pPr>
        <w:spacing w:line="360" w:lineRule="auto"/>
        <w:ind w:firstLine="480" w:firstLineChars="200"/>
        <w:rPr>
          <w:rFonts w:hint="default" w:ascii="Times New Roman" w:hAnsi="Times New Roman" w:cs="Times New Roman"/>
          <w:color w:val="auto"/>
          <w:sz w:val="24"/>
        </w:rPr>
      </w:pPr>
    </w:p>
    <w:p w14:paraId="31F5FDBA">
      <w:pPr>
        <w:spacing w:line="360" w:lineRule="auto"/>
        <w:ind w:firstLine="480" w:firstLineChars="200"/>
        <w:rPr>
          <w:rFonts w:hint="default" w:ascii="Times New Roman" w:hAnsi="Times New Roman" w:cs="Times New Roman"/>
          <w:color w:val="auto"/>
          <w:sz w:val="24"/>
          <w:lang w:eastAsia="zh-CN"/>
        </w:rPr>
      </w:pPr>
    </w:p>
    <w:p w14:paraId="1416B59B">
      <w:pPr>
        <w:spacing w:line="360" w:lineRule="auto"/>
        <w:ind w:firstLine="480" w:firstLineChars="200"/>
        <w:rPr>
          <w:rFonts w:hint="default" w:ascii="Times New Roman" w:hAnsi="Times New Roman" w:cs="Times New Roman"/>
          <w:color w:val="auto"/>
          <w:sz w:val="24"/>
        </w:rPr>
        <w:sectPr>
          <w:pgSz w:w="11906" w:h="16838"/>
          <w:pgMar w:top="1440" w:right="1803" w:bottom="1440" w:left="1803" w:header="964" w:footer="737" w:gutter="0"/>
          <w:pgBorders>
            <w:top w:val="none" w:sz="0" w:space="0"/>
            <w:left w:val="none" w:sz="0" w:space="0"/>
            <w:bottom w:val="none" w:sz="0" w:space="0"/>
            <w:right w:val="none" w:sz="0" w:space="0"/>
          </w:pgBorders>
          <w:pgNumType w:fmt="decimal"/>
          <w:cols w:space="720" w:num="1"/>
          <w:docGrid w:type="linesAndChars" w:linePitch="333" w:charSpace="200"/>
        </w:sectPr>
      </w:pPr>
    </w:p>
    <w:bookmarkEnd w:id="1321"/>
    <w:p w14:paraId="619FAFF2">
      <w:pPr>
        <w:pStyle w:val="2"/>
        <w:bidi w:val="0"/>
        <w:rPr>
          <w:rFonts w:hint="default" w:ascii="Times New Roman" w:hAnsi="Times New Roman" w:cs="Times New Roman"/>
          <w:color w:val="auto"/>
        </w:rPr>
      </w:pPr>
      <w:bookmarkStart w:id="1651" w:name="_Toc24474"/>
      <w:bookmarkStart w:id="1652" w:name="_Toc25038"/>
      <w:bookmarkStart w:id="1653" w:name="_Toc14072"/>
      <w:bookmarkStart w:id="1654" w:name="_Toc21224"/>
      <w:bookmarkStart w:id="1655" w:name="_Toc8811"/>
      <w:bookmarkStart w:id="1656" w:name="_Toc1643"/>
      <w:bookmarkStart w:id="1657" w:name="_Toc12718"/>
      <w:bookmarkStart w:id="1658" w:name="_Toc28112"/>
      <w:bookmarkStart w:id="1659" w:name="_Toc3015"/>
      <w:bookmarkStart w:id="1660" w:name="_Toc287"/>
      <w:bookmarkStart w:id="1661" w:name="_Toc27105"/>
      <w:bookmarkStart w:id="1662" w:name="_Toc20664"/>
      <w:bookmarkStart w:id="1663" w:name="_Toc1306"/>
      <w:bookmarkStart w:id="1664" w:name="_Toc22751"/>
      <w:bookmarkStart w:id="1665" w:name="_Toc22423"/>
      <w:bookmarkStart w:id="1666" w:name="_Toc245"/>
      <w:bookmarkStart w:id="1667" w:name="_Toc3047"/>
      <w:bookmarkStart w:id="1668" w:name="_Toc3432"/>
      <w:bookmarkStart w:id="1669" w:name="_Toc7118"/>
      <w:bookmarkStart w:id="1670" w:name="_Toc12116"/>
      <w:bookmarkStart w:id="1671" w:name="_Toc25234"/>
      <w:bookmarkStart w:id="1672" w:name="_Toc20173"/>
      <w:bookmarkStart w:id="1673" w:name="_Toc17255"/>
      <w:bookmarkStart w:id="1674" w:name="_Toc20942"/>
      <w:bookmarkStart w:id="1675" w:name="_Toc13979"/>
      <w:bookmarkStart w:id="1676" w:name="_Toc6315"/>
      <w:bookmarkStart w:id="1677" w:name="_Toc10797"/>
      <w:bookmarkStart w:id="1678" w:name="_Toc14722"/>
      <w:bookmarkStart w:id="1679" w:name="_Toc28845"/>
      <w:bookmarkStart w:id="1680" w:name="_Toc25115"/>
      <w:bookmarkStart w:id="1681" w:name="_Toc24419"/>
      <w:bookmarkStart w:id="1682" w:name="_Toc3412"/>
      <w:bookmarkStart w:id="1683" w:name="_Toc4709"/>
      <w:bookmarkStart w:id="1684" w:name="_Toc15299"/>
      <w:bookmarkStart w:id="1685" w:name="_Toc17600"/>
      <w:bookmarkStart w:id="1686" w:name="_Toc21558"/>
      <w:bookmarkStart w:id="1687" w:name="_Toc29983"/>
      <w:bookmarkStart w:id="1688" w:name="_Toc22668"/>
      <w:bookmarkStart w:id="1689" w:name="_Toc32156"/>
      <w:bookmarkStart w:id="1690" w:name="_Toc19777"/>
      <w:bookmarkStart w:id="1691" w:name="_Toc13259"/>
      <w:bookmarkStart w:id="1692" w:name="_Toc990"/>
      <w:bookmarkStart w:id="1693" w:name="_Toc29545"/>
      <w:bookmarkStart w:id="1694" w:name="_Toc29370"/>
      <w:bookmarkStart w:id="1695" w:name="_Toc14192"/>
      <w:bookmarkStart w:id="1696" w:name="_Toc16011"/>
      <w:bookmarkStart w:id="1697" w:name="_Toc22256"/>
      <w:bookmarkStart w:id="1698" w:name="_Toc14857"/>
      <w:bookmarkStart w:id="1699" w:name="_Toc31433"/>
      <w:bookmarkStart w:id="1700" w:name="_Toc28445"/>
      <w:r>
        <w:rPr>
          <w:rFonts w:hint="default" w:ascii="Times New Roman" w:hAnsi="Times New Roman" w:cs="Times New Roman"/>
          <w:color w:val="auto"/>
        </w:rPr>
        <w:t>8</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环境管理与监测计划</w:t>
      </w:r>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p>
    <w:p w14:paraId="23CCEEFB">
      <w:pPr>
        <w:pStyle w:val="3"/>
        <w:numPr>
          <w:ilvl w:val="1"/>
          <w:numId w:val="0"/>
        </w:numPr>
        <w:bidi w:val="0"/>
        <w:rPr>
          <w:rFonts w:hint="default" w:ascii="Times New Roman" w:hAnsi="Times New Roman" w:eastAsia="宋体" w:cs="Times New Roman"/>
          <w:color w:val="auto"/>
          <w:lang w:val="en-US" w:eastAsia="zh-CN"/>
        </w:rPr>
      </w:pPr>
      <w:bookmarkStart w:id="1701" w:name="_Toc105"/>
      <w:bookmarkStart w:id="1702" w:name="_Toc487906161"/>
      <w:bookmarkStart w:id="1703" w:name="_Toc9803"/>
      <w:bookmarkStart w:id="1704" w:name="_Toc9960"/>
      <w:bookmarkStart w:id="1705" w:name="_Toc25734"/>
      <w:bookmarkStart w:id="1706" w:name="_Toc30648"/>
      <w:bookmarkStart w:id="1707" w:name="_Toc17191"/>
      <w:bookmarkStart w:id="1708" w:name="_Toc26370"/>
      <w:bookmarkStart w:id="1709" w:name="_Toc20584"/>
      <w:bookmarkStart w:id="1710" w:name="_Toc5505"/>
      <w:bookmarkStart w:id="1711" w:name="_Toc15950"/>
      <w:bookmarkStart w:id="1712" w:name="_Toc18793"/>
      <w:bookmarkStart w:id="1713" w:name="_Toc20054"/>
      <w:bookmarkStart w:id="1714" w:name="_Toc9501"/>
      <w:bookmarkStart w:id="1715" w:name="_Toc13805"/>
      <w:bookmarkStart w:id="1716" w:name="_Toc15959"/>
      <w:bookmarkStart w:id="1717" w:name="_Toc12120"/>
      <w:bookmarkStart w:id="1718" w:name="_Toc29505"/>
      <w:bookmarkStart w:id="1719" w:name="_Toc2046"/>
      <w:bookmarkStart w:id="1720" w:name="_Toc12131"/>
      <w:bookmarkStart w:id="1721" w:name="_Toc28095"/>
      <w:bookmarkStart w:id="1722" w:name="_Toc7788"/>
      <w:bookmarkStart w:id="1723" w:name="_Toc5640"/>
      <w:bookmarkStart w:id="1724" w:name="_Toc4806"/>
      <w:bookmarkStart w:id="1725" w:name="_Toc19033"/>
      <w:bookmarkStart w:id="1726" w:name="_Toc23425"/>
      <w:bookmarkStart w:id="1727" w:name="_Toc22070"/>
      <w:bookmarkStart w:id="1728" w:name="_Toc8503"/>
      <w:r>
        <w:rPr>
          <w:rFonts w:hint="default" w:ascii="Times New Roman" w:hAnsi="Times New Roman" w:cs="Times New Roman"/>
          <w:color w:val="auto"/>
          <w:lang w:val="en-US" w:eastAsia="zh-CN"/>
        </w:rPr>
        <w:t>8</w:t>
      </w:r>
      <w:r>
        <w:rPr>
          <w:rFonts w:hint="default" w:ascii="Times New Roman" w:hAnsi="Times New Roman" w:cs="Times New Roman"/>
          <w:color w:val="auto"/>
        </w:rPr>
        <w:t>.1</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环境管理</w:t>
      </w:r>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r>
        <w:rPr>
          <w:rFonts w:hint="default" w:ascii="Times New Roman" w:hAnsi="Times New Roman" w:cs="Times New Roman"/>
          <w:color w:val="auto"/>
          <w:lang w:val="en-US" w:eastAsia="zh-CN"/>
        </w:rPr>
        <w:t>计划</w:t>
      </w:r>
      <w:bookmarkEnd w:id="1717"/>
      <w:bookmarkEnd w:id="1718"/>
      <w:bookmarkEnd w:id="1719"/>
      <w:bookmarkEnd w:id="1720"/>
      <w:bookmarkEnd w:id="1721"/>
      <w:bookmarkEnd w:id="1722"/>
      <w:bookmarkEnd w:id="1723"/>
      <w:bookmarkEnd w:id="1724"/>
      <w:bookmarkEnd w:id="1725"/>
      <w:bookmarkEnd w:id="1726"/>
      <w:bookmarkEnd w:id="1727"/>
      <w:bookmarkEnd w:id="1728"/>
    </w:p>
    <w:p w14:paraId="77321CEA">
      <w:pPr>
        <w:pStyle w:val="4"/>
        <w:bidi w:val="0"/>
        <w:rPr>
          <w:rFonts w:hint="default" w:ascii="Times New Roman" w:hAnsi="Times New Roman" w:cs="Times New Roman"/>
          <w:color w:val="auto"/>
          <w:lang w:val="en-US"/>
        </w:rPr>
      </w:pPr>
      <w:r>
        <w:rPr>
          <w:rFonts w:hint="default" w:ascii="Times New Roman" w:hAnsi="Times New Roman" w:cs="Times New Roman"/>
          <w:color w:val="auto"/>
          <w:lang w:val="en-US" w:eastAsia="zh-CN"/>
        </w:rPr>
        <w:t>8.1.1 环境管理目标</w:t>
      </w:r>
    </w:p>
    <w:p w14:paraId="4559A7F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环境管理计划可划分成施工期环境管理计划和营运期环境管理计划，相应的管理机构一般包括管理机构、监督执行机构和监测机构。该计划用于组织</w:t>
      </w:r>
      <w:r>
        <w:rPr>
          <w:rFonts w:hint="eastAsia" w:cs="Times New Roman"/>
          <w:color w:val="auto"/>
          <w:kern w:val="0"/>
          <w:sz w:val="24"/>
          <w:szCs w:val="24"/>
          <w:lang w:val="en-US" w:eastAsia="zh-CN" w:bidi="ar"/>
        </w:rPr>
        <w:t>实施</w:t>
      </w:r>
      <w:r>
        <w:rPr>
          <w:rFonts w:hint="default" w:ascii="Times New Roman" w:hAnsi="Times New Roman" w:eastAsia="宋体" w:cs="Times New Roman"/>
          <w:color w:val="auto"/>
          <w:kern w:val="0"/>
          <w:sz w:val="24"/>
          <w:szCs w:val="24"/>
          <w:lang w:val="en-US" w:eastAsia="zh-CN" w:bidi="ar"/>
        </w:rPr>
        <w:t>本报告中所提出的环境影响减缓措施，计划中指出了责任方、拟定了操作方案以及监控项目。通过环境保护管理，以达到如下目的：</w:t>
      </w:r>
    </w:p>
    <w:p w14:paraId="3198A1A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（1）使本工程的建设落实环保“三同时”要求，符合国家、新疆维吾尔自治区的建设项目管理要求，并为项目环境保护审批及环境保护竣工验收提供依据。</w:t>
      </w:r>
    </w:p>
    <w:p w14:paraId="770F14C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（2）通过本管理计划的实施，将本工程对环境带来的不利影响减少至最低程度，使该项目的经济效益和环境效益得以协调发展。</w:t>
      </w:r>
    </w:p>
    <w:p w14:paraId="06870918">
      <w:pPr>
        <w:pStyle w:val="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8.1.2 环境管理体系</w:t>
      </w:r>
    </w:p>
    <w:p w14:paraId="18A1DB9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本项目施工期环境保护管理工作由建设单位管理，运营后由地方公路运营单位管理，具体负责贯彻执行国家、交通</w:t>
      </w:r>
      <w:r>
        <w:rPr>
          <w:rFonts w:hint="default" w:ascii="Times New Roman" w:hAnsi="Times New Roman" w:cs="Times New Roman"/>
          <w:color w:val="auto"/>
          <w:kern w:val="0"/>
          <w:sz w:val="24"/>
          <w:szCs w:val="24"/>
          <w:lang w:val="en-US" w:eastAsia="zh-CN" w:bidi="ar"/>
        </w:rPr>
        <w:t>运输</w:t>
      </w:r>
      <w:r>
        <w:rPr>
          <w:rFonts w:hint="default" w:ascii="Times New Roman" w:hAnsi="Times New Roman" w:eastAsia="宋体" w:cs="Times New Roman"/>
          <w:color w:val="auto"/>
          <w:kern w:val="0"/>
          <w:sz w:val="24"/>
          <w:szCs w:val="24"/>
          <w:lang w:val="en-US" w:eastAsia="zh-CN" w:bidi="ar"/>
        </w:rPr>
        <w:t>部和新疆维吾尔自治区的各项环保方针、政策、法规和地方环境保护管理规定。鉴于工程沿途环境敏感点较多，环境保护措施较为复杂，建议设立环境管理机构，配置环保专业人员，专门负责本次工程施工期和运营期的环境保护管理工作。</w:t>
      </w:r>
    </w:p>
    <w:p w14:paraId="206CE7D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表8.1-1 环境管理体系及程序示意表</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2"/>
        <w:gridCol w:w="1696"/>
        <w:gridCol w:w="2489"/>
        <w:gridCol w:w="1915"/>
        <w:gridCol w:w="1704"/>
      </w:tblGrid>
      <w:tr w14:paraId="64AC9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2" w:type="dxa"/>
            <w:vAlign w:val="center"/>
          </w:tcPr>
          <w:p w14:paraId="40A0B2F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序号</w:t>
            </w:r>
          </w:p>
        </w:tc>
        <w:tc>
          <w:tcPr>
            <w:tcW w:w="1696" w:type="dxa"/>
            <w:vAlign w:val="center"/>
          </w:tcPr>
          <w:p w14:paraId="000E1D6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项目阶段</w:t>
            </w:r>
          </w:p>
        </w:tc>
        <w:tc>
          <w:tcPr>
            <w:tcW w:w="2489" w:type="dxa"/>
            <w:vAlign w:val="center"/>
          </w:tcPr>
          <w:p w14:paraId="3F67575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环境保护内容</w:t>
            </w:r>
          </w:p>
        </w:tc>
        <w:tc>
          <w:tcPr>
            <w:tcW w:w="1915" w:type="dxa"/>
            <w:vAlign w:val="center"/>
          </w:tcPr>
          <w:p w14:paraId="74B1254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环境保护执行单位</w:t>
            </w:r>
          </w:p>
        </w:tc>
        <w:tc>
          <w:tcPr>
            <w:tcW w:w="1704" w:type="dxa"/>
            <w:vAlign w:val="center"/>
          </w:tcPr>
          <w:p w14:paraId="5386B22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环境保护管理部门</w:t>
            </w:r>
          </w:p>
        </w:tc>
      </w:tr>
      <w:tr w14:paraId="05E83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2" w:type="dxa"/>
            <w:vAlign w:val="center"/>
          </w:tcPr>
          <w:p w14:paraId="2682A6E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r>
              <w:rPr>
                <w:rFonts w:hint="default" w:ascii="Times New Roman" w:hAnsi="Times New Roman" w:cs="Times New Roman" w:eastAsiaTheme="minorEastAsia"/>
                <w:color w:val="auto"/>
                <w:kern w:val="0"/>
                <w:sz w:val="21"/>
                <w:szCs w:val="21"/>
                <w:vertAlign w:val="baseline"/>
                <w:lang w:val="en-US" w:eastAsia="zh-CN" w:bidi="ar-SA"/>
              </w:rPr>
              <w:t>1</w:t>
            </w:r>
          </w:p>
        </w:tc>
        <w:tc>
          <w:tcPr>
            <w:tcW w:w="1696" w:type="dxa"/>
            <w:vAlign w:val="center"/>
          </w:tcPr>
          <w:p w14:paraId="5F6DD4A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r>
              <w:rPr>
                <w:rFonts w:hint="default" w:ascii="Times New Roman" w:hAnsi="Times New Roman" w:cs="Times New Roman" w:eastAsiaTheme="minorEastAsia"/>
                <w:color w:val="auto"/>
                <w:kern w:val="0"/>
                <w:sz w:val="21"/>
                <w:szCs w:val="21"/>
                <w:vertAlign w:val="baseline"/>
                <w:lang w:val="en-US" w:eastAsia="zh-CN" w:bidi="ar-SA"/>
              </w:rPr>
              <w:t>工程可行性研究阶段</w:t>
            </w:r>
          </w:p>
        </w:tc>
        <w:tc>
          <w:tcPr>
            <w:tcW w:w="2489" w:type="dxa"/>
            <w:vAlign w:val="center"/>
          </w:tcPr>
          <w:p w14:paraId="676EFBE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r>
              <w:rPr>
                <w:rFonts w:hint="default" w:ascii="Times New Roman" w:hAnsi="Times New Roman" w:cs="Times New Roman" w:eastAsiaTheme="minorEastAsia"/>
                <w:color w:val="auto"/>
                <w:kern w:val="0"/>
                <w:sz w:val="21"/>
                <w:szCs w:val="21"/>
                <w:lang w:val="en-US" w:eastAsia="zh-CN" w:bidi="ar"/>
              </w:rPr>
              <w:t>环境影响评价</w:t>
            </w:r>
          </w:p>
        </w:tc>
        <w:tc>
          <w:tcPr>
            <w:tcW w:w="1915" w:type="dxa"/>
            <w:vAlign w:val="center"/>
          </w:tcPr>
          <w:p w14:paraId="30D38F0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r>
              <w:rPr>
                <w:rFonts w:hint="default" w:ascii="Times New Roman" w:hAnsi="Times New Roman" w:cs="Times New Roman" w:eastAsiaTheme="minorEastAsia"/>
                <w:color w:val="auto"/>
                <w:kern w:val="0"/>
                <w:sz w:val="21"/>
                <w:szCs w:val="21"/>
                <w:lang w:val="en-US" w:eastAsia="zh-CN" w:bidi="ar"/>
              </w:rPr>
              <w:t>环评单位</w:t>
            </w:r>
          </w:p>
        </w:tc>
        <w:tc>
          <w:tcPr>
            <w:tcW w:w="1704" w:type="dxa"/>
            <w:vMerge w:val="restart"/>
            <w:vAlign w:val="center"/>
          </w:tcPr>
          <w:p w14:paraId="59A3659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r>
              <w:rPr>
                <w:rFonts w:hint="default" w:ascii="Times New Roman" w:hAnsi="Times New Roman" w:cs="Times New Roman" w:eastAsiaTheme="minorEastAsia"/>
                <w:color w:val="auto"/>
                <w:kern w:val="0"/>
                <w:sz w:val="21"/>
                <w:szCs w:val="21"/>
                <w:lang w:val="en-US" w:eastAsia="zh-CN" w:bidi="ar"/>
              </w:rPr>
              <w:t>公路建设单位</w:t>
            </w:r>
          </w:p>
        </w:tc>
      </w:tr>
      <w:tr w14:paraId="1C950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2" w:type="dxa"/>
            <w:vAlign w:val="center"/>
          </w:tcPr>
          <w:p w14:paraId="7AA54D4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r>
              <w:rPr>
                <w:rFonts w:hint="default" w:ascii="Times New Roman" w:hAnsi="Times New Roman" w:cs="Times New Roman" w:eastAsiaTheme="minorEastAsia"/>
                <w:color w:val="auto"/>
                <w:kern w:val="0"/>
                <w:sz w:val="21"/>
                <w:szCs w:val="21"/>
                <w:vertAlign w:val="baseline"/>
                <w:lang w:val="en-US" w:eastAsia="zh-CN" w:bidi="ar-SA"/>
              </w:rPr>
              <w:t>2</w:t>
            </w:r>
          </w:p>
        </w:tc>
        <w:tc>
          <w:tcPr>
            <w:tcW w:w="1696" w:type="dxa"/>
            <w:vAlign w:val="center"/>
          </w:tcPr>
          <w:p w14:paraId="3277409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r>
              <w:rPr>
                <w:rFonts w:hint="default" w:ascii="Times New Roman" w:hAnsi="Times New Roman" w:cs="Times New Roman" w:eastAsiaTheme="minorEastAsia"/>
                <w:color w:val="auto"/>
                <w:kern w:val="0"/>
                <w:sz w:val="21"/>
                <w:szCs w:val="21"/>
                <w:lang w:val="en-US" w:eastAsia="zh-CN" w:bidi="ar"/>
              </w:rPr>
              <w:t>设计期</w:t>
            </w:r>
          </w:p>
        </w:tc>
        <w:tc>
          <w:tcPr>
            <w:tcW w:w="2489" w:type="dxa"/>
            <w:vAlign w:val="center"/>
          </w:tcPr>
          <w:p w14:paraId="663FC69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r>
              <w:rPr>
                <w:rFonts w:hint="default" w:ascii="Times New Roman" w:hAnsi="Times New Roman" w:cs="Times New Roman" w:eastAsiaTheme="minorEastAsia"/>
                <w:color w:val="auto"/>
                <w:kern w:val="0"/>
                <w:sz w:val="21"/>
                <w:szCs w:val="21"/>
                <w:lang w:val="en-US" w:eastAsia="zh-CN" w:bidi="ar"/>
              </w:rPr>
              <w:t>环境保护工程设计</w:t>
            </w:r>
          </w:p>
        </w:tc>
        <w:tc>
          <w:tcPr>
            <w:tcW w:w="1915" w:type="dxa"/>
            <w:vAlign w:val="center"/>
          </w:tcPr>
          <w:p w14:paraId="579A6F4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r>
              <w:rPr>
                <w:rFonts w:hint="default" w:ascii="Times New Roman" w:hAnsi="Times New Roman" w:cs="Times New Roman" w:eastAsiaTheme="minorEastAsia"/>
                <w:color w:val="auto"/>
                <w:kern w:val="0"/>
                <w:sz w:val="21"/>
                <w:szCs w:val="21"/>
                <w:lang w:val="en-US" w:eastAsia="zh-CN" w:bidi="ar"/>
              </w:rPr>
              <w:t>设计单位</w:t>
            </w:r>
          </w:p>
        </w:tc>
        <w:tc>
          <w:tcPr>
            <w:tcW w:w="1704" w:type="dxa"/>
            <w:vMerge w:val="continue"/>
            <w:vAlign w:val="center"/>
          </w:tcPr>
          <w:p w14:paraId="7A2AE4D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p>
        </w:tc>
      </w:tr>
      <w:tr w14:paraId="7131F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2" w:type="dxa"/>
            <w:vAlign w:val="center"/>
          </w:tcPr>
          <w:p w14:paraId="6F6E8E9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r>
              <w:rPr>
                <w:rFonts w:hint="default" w:ascii="Times New Roman" w:hAnsi="Times New Roman" w:cs="Times New Roman" w:eastAsiaTheme="minorEastAsia"/>
                <w:color w:val="auto"/>
                <w:kern w:val="0"/>
                <w:sz w:val="21"/>
                <w:szCs w:val="21"/>
                <w:vertAlign w:val="baseline"/>
                <w:lang w:val="en-US" w:eastAsia="zh-CN" w:bidi="ar-SA"/>
              </w:rPr>
              <w:t>3</w:t>
            </w:r>
          </w:p>
        </w:tc>
        <w:tc>
          <w:tcPr>
            <w:tcW w:w="1696" w:type="dxa"/>
            <w:vAlign w:val="center"/>
          </w:tcPr>
          <w:p w14:paraId="127DA74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r>
              <w:rPr>
                <w:rFonts w:hint="default" w:ascii="Times New Roman" w:hAnsi="Times New Roman" w:cs="Times New Roman" w:eastAsiaTheme="minorEastAsia"/>
                <w:color w:val="auto"/>
                <w:kern w:val="0"/>
                <w:sz w:val="21"/>
                <w:szCs w:val="21"/>
                <w:lang w:val="en-US" w:eastAsia="zh-CN" w:bidi="ar"/>
              </w:rPr>
              <w:t>施工期</w:t>
            </w:r>
          </w:p>
        </w:tc>
        <w:tc>
          <w:tcPr>
            <w:tcW w:w="2489" w:type="dxa"/>
            <w:vAlign w:val="center"/>
          </w:tcPr>
          <w:p w14:paraId="5D420B4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r>
              <w:rPr>
                <w:rFonts w:hint="default" w:ascii="Times New Roman" w:hAnsi="Times New Roman" w:cs="Times New Roman" w:eastAsiaTheme="minorEastAsia"/>
                <w:color w:val="auto"/>
                <w:kern w:val="0"/>
                <w:sz w:val="21"/>
                <w:szCs w:val="21"/>
                <w:lang w:val="en-US" w:eastAsia="zh-CN" w:bidi="ar"/>
              </w:rPr>
              <w:t>实施环保措施：环境监测，处理突发性环境问题，合理设置施工作业点</w:t>
            </w:r>
          </w:p>
        </w:tc>
        <w:tc>
          <w:tcPr>
            <w:tcW w:w="1915" w:type="dxa"/>
            <w:vAlign w:val="center"/>
          </w:tcPr>
          <w:p w14:paraId="36DA666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r>
              <w:rPr>
                <w:rFonts w:hint="default" w:ascii="Times New Roman" w:hAnsi="Times New Roman" w:cs="Times New Roman" w:eastAsiaTheme="minorEastAsia"/>
                <w:color w:val="auto"/>
                <w:kern w:val="0"/>
                <w:sz w:val="21"/>
                <w:szCs w:val="21"/>
                <w:lang w:val="en-US" w:eastAsia="zh-CN" w:bidi="ar"/>
              </w:rPr>
              <w:t>承包商建设单位</w:t>
            </w:r>
          </w:p>
        </w:tc>
        <w:tc>
          <w:tcPr>
            <w:tcW w:w="1704" w:type="dxa"/>
            <w:vMerge w:val="continue"/>
            <w:vAlign w:val="center"/>
          </w:tcPr>
          <w:p w14:paraId="59A1B9A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p>
        </w:tc>
      </w:tr>
      <w:tr w14:paraId="3E67F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2" w:type="dxa"/>
            <w:vAlign w:val="center"/>
          </w:tcPr>
          <w:p w14:paraId="681DC92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r>
              <w:rPr>
                <w:rFonts w:hint="default" w:ascii="Times New Roman" w:hAnsi="Times New Roman" w:cs="Times New Roman" w:eastAsiaTheme="minorEastAsia"/>
                <w:color w:val="auto"/>
                <w:kern w:val="0"/>
                <w:sz w:val="21"/>
                <w:szCs w:val="21"/>
                <w:vertAlign w:val="baseline"/>
                <w:lang w:val="en-US" w:eastAsia="zh-CN" w:bidi="ar-SA"/>
              </w:rPr>
              <w:t>4</w:t>
            </w:r>
          </w:p>
        </w:tc>
        <w:tc>
          <w:tcPr>
            <w:tcW w:w="1696" w:type="dxa"/>
            <w:vAlign w:val="center"/>
          </w:tcPr>
          <w:p w14:paraId="6A60FA3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r>
              <w:rPr>
                <w:rFonts w:hint="default" w:ascii="Times New Roman" w:hAnsi="Times New Roman" w:cs="Times New Roman" w:eastAsiaTheme="minorEastAsia"/>
                <w:color w:val="auto"/>
                <w:kern w:val="0"/>
                <w:sz w:val="21"/>
                <w:szCs w:val="21"/>
                <w:lang w:val="en-US" w:eastAsia="zh-CN" w:bidi="ar"/>
              </w:rPr>
              <w:t>竣工验收期</w:t>
            </w:r>
          </w:p>
        </w:tc>
        <w:tc>
          <w:tcPr>
            <w:tcW w:w="2489" w:type="dxa"/>
            <w:vAlign w:val="center"/>
          </w:tcPr>
          <w:p w14:paraId="747E785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r>
              <w:rPr>
                <w:rFonts w:hint="default" w:ascii="Times New Roman" w:hAnsi="Times New Roman" w:cs="Times New Roman" w:eastAsiaTheme="minorEastAsia"/>
                <w:color w:val="auto"/>
                <w:kern w:val="0"/>
                <w:sz w:val="21"/>
                <w:szCs w:val="21"/>
                <w:lang w:val="en-US" w:eastAsia="zh-CN" w:bidi="ar"/>
              </w:rPr>
              <w:t>竣工验收调查报告、制定运营期环境保护制度</w:t>
            </w:r>
          </w:p>
        </w:tc>
        <w:tc>
          <w:tcPr>
            <w:tcW w:w="1915" w:type="dxa"/>
            <w:vAlign w:val="center"/>
          </w:tcPr>
          <w:p w14:paraId="3616A25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r>
              <w:rPr>
                <w:rFonts w:hint="default" w:ascii="Times New Roman" w:hAnsi="Times New Roman" w:cs="Times New Roman" w:eastAsiaTheme="minorEastAsia"/>
                <w:color w:val="auto"/>
                <w:kern w:val="0"/>
                <w:sz w:val="21"/>
                <w:szCs w:val="21"/>
                <w:lang w:val="en-US" w:eastAsia="zh-CN" w:bidi="ar"/>
              </w:rPr>
              <w:t>建设单位</w:t>
            </w:r>
          </w:p>
        </w:tc>
        <w:tc>
          <w:tcPr>
            <w:tcW w:w="1704" w:type="dxa"/>
            <w:vMerge w:val="continue"/>
            <w:vAlign w:val="center"/>
          </w:tcPr>
          <w:p w14:paraId="1597985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p>
        </w:tc>
      </w:tr>
      <w:tr w14:paraId="4D4AB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2" w:type="dxa"/>
            <w:vAlign w:val="center"/>
          </w:tcPr>
          <w:p w14:paraId="56BE3B2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r>
              <w:rPr>
                <w:rFonts w:hint="default" w:ascii="Times New Roman" w:hAnsi="Times New Roman" w:cs="Times New Roman" w:eastAsiaTheme="minorEastAsia"/>
                <w:color w:val="auto"/>
                <w:kern w:val="0"/>
                <w:sz w:val="21"/>
                <w:szCs w:val="21"/>
                <w:vertAlign w:val="baseline"/>
                <w:lang w:val="en-US" w:eastAsia="zh-CN" w:bidi="ar-SA"/>
              </w:rPr>
              <w:t>5</w:t>
            </w:r>
          </w:p>
        </w:tc>
        <w:tc>
          <w:tcPr>
            <w:tcW w:w="1696" w:type="dxa"/>
            <w:vAlign w:val="center"/>
          </w:tcPr>
          <w:p w14:paraId="246D481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r>
              <w:rPr>
                <w:rFonts w:hint="default" w:ascii="Times New Roman" w:hAnsi="Times New Roman" w:cs="Times New Roman" w:eastAsiaTheme="minorEastAsia"/>
                <w:color w:val="auto"/>
                <w:kern w:val="0"/>
                <w:sz w:val="21"/>
                <w:szCs w:val="21"/>
                <w:lang w:val="en-US" w:eastAsia="zh-CN" w:bidi="ar"/>
              </w:rPr>
              <w:t>运营期</w:t>
            </w:r>
          </w:p>
        </w:tc>
        <w:tc>
          <w:tcPr>
            <w:tcW w:w="2489" w:type="dxa"/>
            <w:vAlign w:val="center"/>
          </w:tcPr>
          <w:p w14:paraId="50B69A0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r>
              <w:rPr>
                <w:rFonts w:hint="default" w:ascii="Times New Roman" w:hAnsi="Times New Roman" w:cs="Times New Roman" w:eastAsiaTheme="minorEastAsia"/>
                <w:color w:val="auto"/>
                <w:kern w:val="0"/>
                <w:sz w:val="21"/>
                <w:szCs w:val="21"/>
                <w:lang w:val="en-US" w:eastAsia="zh-CN" w:bidi="ar"/>
              </w:rPr>
              <w:t>环境监测及管理</w:t>
            </w:r>
          </w:p>
        </w:tc>
        <w:tc>
          <w:tcPr>
            <w:tcW w:w="1915" w:type="dxa"/>
            <w:vAlign w:val="center"/>
          </w:tcPr>
          <w:p w14:paraId="16CBA9E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r>
              <w:rPr>
                <w:rFonts w:hint="default" w:ascii="Times New Roman" w:hAnsi="Times New Roman" w:cs="Times New Roman" w:eastAsiaTheme="minorEastAsia"/>
                <w:color w:val="auto"/>
                <w:kern w:val="0"/>
                <w:sz w:val="21"/>
                <w:szCs w:val="21"/>
                <w:lang w:val="en-US" w:eastAsia="zh-CN" w:bidi="ar"/>
              </w:rPr>
              <w:t>受委托监测单位</w:t>
            </w:r>
          </w:p>
        </w:tc>
        <w:tc>
          <w:tcPr>
            <w:tcW w:w="1704" w:type="dxa"/>
            <w:vAlign w:val="center"/>
          </w:tcPr>
          <w:p w14:paraId="5B49BE9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0"/>
                <w:sz w:val="21"/>
                <w:szCs w:val="21"/>
                <w:vertAlign w:val="baseline"/>
                <w:lang w:val="en-US" w:eastAsia="zh-CN" w:bidi="ar-SA"/>
              </w:rPr>
            </w:pPr>
            <w:r>
              <w:rPr>
                <w:rFonts w:hint="default" w:ascii="Times New Roman" w:hAnsi="Times New Roman" w:cs="Times New Roman" w:eastAsiaTheme="minorEastAsia"/>
                <w:color w:val="auto"/>
                <w:kern w:val="0"/>
                <w:sz w:val="21"/>
                <w:szCs w:val="21"/>
                <w:lang w:val="en-US" w:eastAsia="zh-CN" w:bidi="ar"/>
              </w:rPr>
              <w:t>公路运营单位</w:t>
            </w:r>
          </w:p>
        </w:tc>
      </w:tr>
    </w:tbl>
    <w:p w14:paraId="034E5BA8">
      <w:pPr>
        <w:pStyle w:val="4"/>
        <w:keepNext/>
        <w:keepLines w:val="0"/>
        <w:pageBreakBefore w:val="0"/>
        <w:widowControl w:val="0"/>
        <w:kinsoku/>
        <w:wordWrap/>
        <w:overflowPunct/>
        <w:topLinePunct w:val="0"/>
        <w:autoSpaceDE/>
        <w:autoSpaceDN/>
        <w:bidi w:val="0"/>
        <w:adjustRightInd w:val="0"/>
        <w:snapToGrid w:val="0"/>
        <w:spacing w:before="168" w:beforeLines="5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8.1.3 环境管理职责</w:t>
      </w:r>
    </w:p>
    <w:p w14:paraId="3308BB9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（1）贯彻执行国家、省内各项环境保护方针、政策和法规。</w:t>
      </w:r>
    </w:p>
    <w:p w14:paraId="1CFE0A8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负责编制本项目在施工期的环境保护规划及行动计划，督促设计单位依据报告书及其批复要求，在编制设计的同时，同步完成环境保护工程设计，并将相关投资纳入工程概算，监督报告书中提出的各项环境保护措施的落实情况。</w:t>
      </w:r>
    </w:p>
    <w:p w14:paraId="159C1A1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（3）负责制定运营期环境保护工作制度，组织制定和实施污染事故的应急计划和处理计划，进行环保统计工作。</w:t>
      </w:r>
    </w:p>
    <w:p w14:paraId="459E804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（4）组织环境监测计划的实施。</w:t>
      </w:r>
    </w:p>
    <w:p w14:paraId="25C5347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（5）负责本部门的环保科研、培训、资料收集和先进技术推广工作，</w:t>
      </w:r>
      <w:r>
        <w:rPr>
          <w:rFonts w:hint="eastAsia" w:cs="Times New Roman"/>
          <w:color w:val="auto"/>
          <w:kern w:val="0"/>
          <w:sz w:val="24"/>
          <w:szCs w:val="24"/>
          <w:lang w:val="en-US" w:eastAsia="zh-CN" w:bidi="ar"/>
        </w:rPr>
        <w:t>增强</w:t>
      </w:r>
      <w:r>
        <w:rPr>
          <w:rFonts w:hint="default" w:ascii="Times New Roman" w:hAnsi="Times New Roman" w:eastAsia="宋体" w:cs="Times New Roman"/>
          <w:color w:val="auto"/>
          <w:kern w:val="0"/>
          <w:sz w:val="24"/>
          <w:szCs w:val="24"/>
          <w:lang w:val="en-US" w:eastAsia="zh-CN" w:bidi="ar"/>
        </w:rPr>
        <w:t>工作人员的环保意识和素质。</w:t>
      </w:r>
    </w:p>
    <w:p w14:paraId="1429FF1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（6）负责环保设备的使用和维护，确保各项环境保护设施的良好运行。</w:t>
      </w:r>
    </w:p>
    <w:p w14:paraId="0677D0D7">
      <w:pPr>
        <w:pStyle w:val="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8.1.4 环境管理计划</w:t>
      </w:r>
    </w:p>
    <w:p w14:paraId="6E6B321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本项目设计期、施工期及运营期的环境管理计划见表8.1-2。</w:t>
      </w:r>
    </w:p>
    <w:p w14:paraId="74C21048">
      <w:pPr>
        <w:keepNext w:val="0"/>
        <w:keepLines w:val="0"/>
        <w:widowControl/>
        <w:suppressLineNumbers w:val="0"/>
        <w:spacing w:line="240" w:lineRule="auto"/>
        <w:jc w:val="center"/>
        <w:rPr>
          <w:rFonts w:hint="default" w:ascii="Times New Roman" w:hAnsi="Times New Roman" w:eastAsia="宋体" w:cs="Times New Roman"/>
          <w:b/>
          <w:bCs/>
          <w:color w:val="auto"/>
          <w:kern w:val="0"/>
          <w:sz w:val="24"/>
          <w:szCs w:val="24"/>
          <w:lang w:val="en-US" w:eastAsia="zh-CN" w:bidi="ar-SA"/>
        </w:rPr>
      </w:pPr>
      <w:r>
        <w:rPr>
          <w:rFonts w:hint="default" w:ascii="Times New Roman" w:hAnsi="Times New Roman" w:eastAsia="宋体" w:cs="Times New Roman"/>
          <w:b/>
          <w:bCs/>
          <w:color w:val="auto"/>
          <w:kern w:val="0"/>
          <w:sz w:val="21"/>
          <w:szCs w:val="21"/>
          <w:lang w:val="en-US" w:eastAsia="zh-CN" w:bidi="ar-SA"/>
        </w:rPr>
        <w:t>表8.1-2 环境管理计划表</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7"/>
        <w:gridCol w:w="4546"/>
        <w:gridCol w:w="1260"/>
        <w:gridCol w:w="1313"/>
      </w:tblGrid>
      <w:tr w14:paraId="15621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7" w:type="dxa"/>
            <w:vAlign w:val="center"/>
          </w:tcPr>
          <w:p w14:paraId="2255D0E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cs="Times New Roman"/>
                <w:color w:val="auto"/>
                <w:kern w:val="0"/>
                <w:sz w:val="21"/>
                <w:szCs w:val="21"/>
                <w:vertAlign w:val="baseline"/>
                <w:lang w:val="en-US" w:eastAsia="zh-CN" w:bidi="ar-SA"/>
              </w:rPr>
              <w:t>环境问题</w:t>
            </w:r>
          </w:p>
        </w:tc>
        <w:tc>
          <w:tcPr>
            <w:tcW w:w="4546" w:type="dxa"/>
            <w:vAlign w:val="center"/>
          </w:tcPr>
          <w:p w14:paraId="39F6C9C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cs="Times New Roman"/>
                <w:color w:val="auto"/>
                <w:kern w:val="0"/>
                <w:sz w:val="21"/>
                <w:szCs w:val="21"/>
                <w:vertAlign w:val="baseline"/>
                <w:lang w:val="en-US" w:eastAsia="zh-CN" w:bidi="ar-SA"/>
              </w:rPr>
              <w:t>环境管理目标</w:t>
            </w:r>
          </w:p>
        </w:tc>
        <w:tc>
          <w:tcPr>
            <w:tcW w:w="1260" w:type="dxa"/>
            <w:vAlign w:val="center"/>
          </w:tcPr>
          <w:p w14:paraId="2B1A396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cs="Times New Roman"/>
                <w:color w:val="auto"/>
                <w:kern w:val="0"/>
                <w:sz w:val="21"/>
                <w:szCs w:val="21"/>
                <w:vertAlign w:val="baseline"/>
                <w:lang w:val="en-US" w:eastAsia="zh-CN" w:bidi="ar-SA"/>
              </w:rPr>
              <w:t>实施机构/负责机构</w:t>
            </w:r>
          </w:p>
        </w:tc>
        <w:tc>
          <w:tcPr>
            <w:tcW w:w="1313" w:type="dxa"/>
            <w:vAlign w:val="center"/>
          </w:tcPr>
          <w:p w14:paraId="31CDCDC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cs="Times New Roman"/>
                <w:color w:val="auto"/>
                <w:kern w:val="0"/>
                <w:sz w:val="21"/>
                <w:szCs w:val="21"/>
                <w:vertAlign w:val="baseline"/>
                <w:lang w:val="en-US" w:eastAsia="zh-CN" w:bidi="ar-SA"/>
              </w:rPr>
              <w:t>监督机构</w:t>
            </w:r>
          </w:p>
        </w:tc>
      </w:tr>
      <w:tr w14:paraId="34234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6" w:type="dxa"/>
            <w:gridSpan w:val="4"/>
            <w:vAlign w:val="center"/>
          </w:tcPr>
          <w:p w14:paraId="092254D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cs="Times New Roman"/>
                <w:color w:val="auto"/>
                <w:kern w:val="0"/>
                <w:sz w:val="21"/>
                <w:szCs w:val="21"/>
                <w:vertAlign w:val="baseline"/>
                <w:lang w:val="en-US" w:eastAsia="zh-CN" w:bidi="ar-SA"/>
              </w:rPr>
              <w:t>设计期</w:t>
            </w:r>
          </w:p>
        </w:tc>
      </w:tr>
      <w:tr w14:paraId="50039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7" w:type="dxa"/>
            <w:vAlign w:val="center"/>
          </w:tcPr>
          <w:p w14:paraId="3DB6849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1、生态环境</w:t>
            </w:r>
          </w:p>
        </w:tc>
        <w:tc>
          <w:tcPr>
            <w:tcW w:w="4546" w:type="dxa"/>
            <w:vAlign w:val="center"/>
          </w:tcPr>
          <w:p w14:paraId="024DE10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采用草地和林地的方案，重视复垦、优化路线纵断面设计、路基防护工程设计、绿化设计。</w:t>
            </w:r>
          </w:p>
        </w:tc>
        <w:tc>
          <w:tcPr>
            <w:tcW w:w="1260" w:type="dxa"/>
            <w:vMerge w:val="restart"/>
            <w:vAlign w:val="center"/>
          </w:tcPr>
          <w:p w14:paraId="20CA327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设计单位</w:t>
            </w:r>
          </w:p>
        </w:tc>
        <w:tc>
          <w:tcPr>
            <w:tcW w:w="1313" w:type="dxa"/>
            <w:vMerge w:val="restart"/>
            <w:vAlign w:val="center"/>
          </w:tcPr>
          <w:p w14:paraId="1250AE0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cs="Times New Roman"/>
                <w:color w:val="auto"/>
                <w:kern w:val="0"/>
                <w:sz w:val="21"/>
                <w:szCs w:val="21"/>
                <w:lang w:val="en-US" w:eastAsia="zh-CN" w:bidi="ar"/>
              </w:rPr>
              <w:t>克孜勒苏柯尔克孜自治州</w:t>
            </w:r>
            <w:r>
              <w:rPr>
                <w:rFonts w:hint="default" w:ascii="Times New Roman" w:hAnsi="Times New Roman" w:eastAsia="宋体" w:cs="Times New Roman"/>
                <w:color w:val="auto"/>
                <w:kern w:val="0"/>
                <w:sz w:val="21"/>
                <w:szCs w:val="21"/>
                <w:lang w:val="en-US" w:eastAsia="zh-CN" w:bidi="ar"/>
              </w:rPr>
              <w:t>生态环境局</w:t>
            </w:r>
          </w:p>
        </w:tc>
      </w:tr>
      <w:tr w14:paraId="51AC2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7" w:type="dxa"/>
            <w:vAlign w:val="center"/>
          </w:tcPr>
          <w:p w14:paraId="357E238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2、声环境</w:t>
            </w:r>
          </w:p>
        </w:tc>
        <w:tc>
          <w:tcPr>
            <w:tcW w:w="4546" w:type="dxa"/>
            <w:vAlign w:val="center"/>
          </w:tcPr>
          <w:p w14:paraId="77C0C83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科学设计，保护声环境，种植相应的植被进行防护，对沿线声敏感目标实施保护。</w:t>
            </w:r>
          </w:p>
        </w:tc>
        <w:tc>
          <w:tcPr>
            <w:tcW w:w="1260" w:type="dxa"/>
            <w:vMerge w:val="continue"/>
            <w:vAlign w:val="center"/>
          </w:tcPr>
          <w:p w14:paraId="669CC0E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1313" w:type="dxa"/>
            <w:vMerge w:val="continue"/>
            <w:vAlign w:val="center"/>
          </w:tcPr>
          <w:p w14:paraId="6276DCB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r>
      <w:tr w14:paraId="61C3D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7" w:type="dxa"/>
            <w:vAlign w:val="center"/>
          </w:tcPr>
          <w:p w14:paraId="4FECCD4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3、大气环境</w:t>
            </w:r>
          </w:p>
        </w:tc>
        <w:tc>
          <w:tcPr>
            <w:tcW w:w="4546" w:type="dxa"/>
            <w:vAlign w:val="center"/>
          </w:tcPr>
          <w:p w14:paraId="436BCED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科学设计，保护大气环境，种植相应的植被进行防护，对沿线大气敏感目标实施保护。</w:t>
            </w:r>
          </w:p>
        </w:tc>
        <w:tc>
          <w:tcPr>
            <w:tcW w:w="1260" w:type="dxa"/>
            <w:vMerge w:val="continue"/>
            <w:vAlign w:val="center"/>
          </w:tcPr>
          <w:p w14:paraId="039AC5B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1313" w:type="dxa"/>
            <w:vMerge w:val="continue"/>
            <w:vAlign w:val="center"/>
          </w:tcPr>
          <w:p w14:paraId="1F113F9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r>
      <w:tr w14:paraId="655CF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7" w:type="dxa"/>
            <w:vAlign w:val="center"/>
          </w:tcPr>
          <w:p w14:paraId="56EB173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4、水环境</w:t>
            </w:r>
          </w:p>
        </w:tc>
        <w:tc>
          <w:tcPr>
            <w:tcW w:w="4546" w:type="dxa"/>
            <w:vAlign w:val="center"/>
          </w:tcPr>
          <w:p w14:paraId="17BECF8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设置涵洞、沟渠保证农田水利设施、排灌系统水系通畅。</w:t>
            </w:r>
          </w:p>
        </w:tc>
        <w:tc>
          <w:tcPr>
            <w:tcW w:w="1260" w:type="dxa"/>
            <w:vMerge w:val="continue"/>
            <w:vAlign w:val="center"/>
          </w:tcPr>
          <w:p w14:paraId="6EB4F9A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1313" w:type="dxa"/>
            <w:vMerge w:val="continue"/>
            <w:vAlign w:val="center"/>
          </w:tcPr>
          <w:p w14:paraId="4DD6BB8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r>
      <w:tr w14:paraId="14708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7" w:type="dxa"/>
            <w:vAlign w:val="center"/>
          </w:tcPr>
          <w:p w14:paraId="755FBDF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5、社会环境</w:t>
            </w:r>
          </w:p>
        </w:tc>
        <w:tc>
          <w:tcPr>
            <w:tcW w:w="4546" w:type="dxa"/>
            <w:vAlign w:val="center"/>
          </w:tcPr>
          <w:p w14:paraId="6AD185A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布置位置和数量恰当的平面交叉或通道，减少公路对居民生产的阻隔。</w:t>
            </w:r>
          </w:p>
        </w:tc>
        <w:tc>
          <w:tcPr>
            <w:tcW w:w="1260" w:type="dxa"/>
            <w:vMerge w:val="continue"/>
            <w:vAlign w:val="center"/>
          </w:tcPr>
          <w:p w14:paraId="2A2037D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1313" w:type="dxa"/>
            <w:vMerge w:val="continue"/>
            <w:vAlign w:val="center"/>
          </w:tcPr>
          <w:p w14:paraId="1A3E65D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r>
      <w:tr w14:paraId="34544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6" w:type="dxa"/>
            <w:gridSpan w:val="4"/>
            <w:vAlign w:val="center"/>
          </w:tcPr>
          <w:p w14:paraId="7C1037E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cs="Times New Roman"/>
                <w:color w:val="auto"/>
                <w:kern w:val="0"/>
                <w:sz w:val="21"/>
                <w:szCs w:val="21"/>
                <w:vertAlign w:val="baseline"/>
                <w:lang w:val="en-US" w:eastAsia="zh-CN" w:bidi="ar-SA"/>
              </w:rPr>
              <w:t>施工期</w:t>
            </w:r>
          </w:p>
        </w:tc>
      </w:tr>
      <w:tr w14:paraId="1A619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7" w:type="dxa"/>
            <w:vAlign w:val="center"/>
          </w:tcPr>
          <w:p w14:paraId="25D2590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cs="Times New Roman"/>
                <w:color w:val="auto"/>
                <w:kern w:val="0"/>
                <w:sz w:val="21"/>
                <w:szCs w:val="21"/>
                <w:vertAlign w:val="baseline"/>
                <w:lang w:val="en-US" w:eastAsia="zh-CN" w:bidi="ar-SA"/>
              </w:rPr>
              <w:t>1、生态环境</w:t>
            </w:r>
          </w:p>
        </w:tc>
        <w:tc>
          <w:tcPr>
            <w:tcW w:w="4546" w:type="dxa"/>
            <w:vAlign w:val="center"/>
          </w:tcPr>
          <w:p w14:paraId="4E2C6EC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①临时设施尽量避开或者少占用农田、林地、草地；②各临建工程使用前收集表土，进行苫盖，按设计深度取土弃渣，使用结束后平整土地，覆盖表土；③各临建工程使用结束后及时进行生态恢复；④严格控制施工占地范围，严禁砍伐征地范围以外的植被；⑤对建设中永久占用草地、农田部分的表层土予以收集保存，在其他土壤贫瘠处铺设以种植树木，为植被恢复提供良好的土壤；⑥施工过程中要严禁破坏保护植物，采取划定施工作业带等形式进行保护，公路施工范围内的保护植被采取移植等方式加以保护；⑦施工前做好野生动物相关法律法规培训，施工人员禁止捕猎野生动物，林地段夜间禁止施工；⑧开展环境监理。环境监理范围野生动物保护、植物与植被保护和景观生态保护。</w:t>
            </w:r>
          </w:p>
        </w:tc>
        <w:tc>
          <w:tcPr>
            <w:tcW w:w="1260" w:type="dxa"/>
            <w:vMerge w:val="restart"/>
            <w:vAlign w:val="center"/>
          </w:tcPr>
          <w:p w14:paraId="109C96A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cs="Times New Roman"/>
                <w:color w:val="auto"/>
                <w:kern w:val="0"/>
                <w:sz w:val="21"/>
                <w:szCs w:val="21"/>
                <w:vertAlign w:val="baseline"/>
                <w:lang w:val="en-US" w:eastAsia="zh-CN" w:bidi="ar-SA"/>
              </w:rPr>
              <w:t>施工单位/建设单位</w:t>
            </w:r>
          </w:p>
        </w:tc>
        <w:tc>
          <w:tcPr>
            <w:tcW w:w="1313" w:type="dxa"/>
            <w:vMerge w:val="restart"/>
            <w:vAlign w:val="center"/>
          </w:tcPr>
          <w:p w14:paraId="0CC6CF2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cs="Times New Roman"/>
                <w:color w:val="auto"/>
                <w:kern w:val="0"/>
                <w:sz w:val="21"/>
                <w:szCs w:val="21"/>
                <w:lang w:val="en-US" w:eastAsia="zh-CN" w:bidi="ar"/>
              </w:rPr>
              <w:t>克孜勒苏柯尔克孜自治州</w:t>
            </w:r>
            <w:r>
              <w:rPr>
                <w:rFonts w:hint="default" w:ascii="Times New Roman" w:hAnsi="Times New Roman" w:eastAsia="宋体" w:cs="Times New Roman"/>
                <w:color w:val="auto"/>
                <w:kern w:val="0"/>
                <w:sz w:val="21"/>
                <w:szCs w:val="21"/>
                <w:lang w:val="en-US" w:eastAsia="zh-CN" w:bidi="ar"/>
              </w:rPr>
              <w:t>生态环境局</w:t>
            </w:r>
          </w:p>
        </w:tc>
      </w:tr>
      <w:tr w14:paraId="7A050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7" w:type="dxa"/>
            <w:vAlign w:val="center"/>
          </w:tcPr>
          <w:p w14:paraId="05D80E1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cs="Times New Roman"/>
                <w:color w:val="auto"/>
                <w:kern w:val="0"/>
                <w:sz w:val="21"/>
                <w:szCs w:val="21"/>
                <w:vertAlign w:val="baseline"/>
                <w:lang w:val="en-US" w:eastAsia="zh-CN" w:bidi="ar-SA"/>
              </w:rPr>
              <w:t>2、水环境</w:t>
            </w:r>
          </w:p>
        </w:tc>
        <w:tc>
          <w:tcPr>
            <w:tcW w:w="4546" w:type="dxa"/>
            <w:vAlign w:val="center"/>
          </w:tcPr>
          <w:p w14:paraId="73885A2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①施工</w:t>
            </w:r>
            <w:r>
              <w:rPr>
                <w:rFonts w:hint="default" w:ascii="Times New Roman" w:hAnsi="Times New Roman" w:cs="Times New Roman"/>
                <w:color w:val="auto"/>
                <w:kern w:val="0"/>
                <w:sz w:val="21"/>
                <w:szCs w:val="21"/>
                <w:lang w:val="en-US" w:eastAsia="zh-CN" w:bidi="ar"/>
              </w:rPr>
              <w:t>作业点</w:t>
            </w:r>
            <w:r>
              <w:rPr>
                <w:rFonts w:hint="default" w:ascii="Times New Roman" w:hAnsi="Times New Roman" w:eastAsia="宋体" w:cs="Times New Roman"/>
                <w:color w:val="auto"/>
                <w:kern w:val="0"/>
                <w:sz w:val="21"/>
                <w:szCs w:val="21"/>
                <w:lang w:val="en-US" w:eastAsia="zh-CN" w:bidi="ar"/>
              </w:rPr>
              <w:t>设置</w:t>
            </w:r>
            <w:r>
              <w:rPr>
                <w:rFonts w:hint="default" w:ascii="Times New Roman" w:hAnsi="Times New Roman" w:cs="Times New Roman"/>
                <w:color w:val="auto"/>
                <w:kern w:val="0"/>
                <w:sz w:val="21"/>
                <w:szCs w:val="21"/>
                <w:lang w:val="en-US" w:eastAsia="zh-CN" w:bidi="ar"/>
              </w:rPr>
              <w:t>移动式环保卫生间</w:t>
            </w:r>
            <w:r>
              <w:rPr>
                <w:rFonts w:hint="default" w:ascii="Times New Roman" w:hAnsi="Times New Roman" w:eastAsia="宋体" w:cs="Times New Roman"/>
                <w:color w:val="auto"/>
                <w:kern w:val="0"/>
                <w:sz w:val="21"/>
                <w:szCs w:val="21"/>
                <w:lang w:val="en-US" w:eastAsia="zh-CN" w:bidi="ar"/>
              </w:rPr>
              <w:t>，委托有关单位进行定期清运，避免生活污水随意排放；②施工场站经一体化污水处理设施处理后，由于工程施工、临近道路和厂区洒水抑尘。</w:t>
            </w:r>
          </w:p>
        </w:tc>
        <w:tc>
          <w:tcPr>
            <w:tcW w:w="1260" w:type="dxa"/>
            <w:vMerge w:val="continue"/>
            <w:vAlign w:val="center"/>
          </w:tcPr>
          <w:p w14:paraId="2643356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1313" w:type="dxa"/>
            <w:vMerge w:val="continue"/>
            <w:vAlign w:val="center"/>
          </w:tcPr>
          <w:p w14:paraId="482D61F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r>
      <w:tr w14:paraId="70B56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7" w:type="dxa"/>
            <w:vAlign w:val="center"/>
          </w:tcPr>
          <w:p w14:paraId="46AAAF1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cs="Times New Roman"/>
                <w:color w:val="auto"/>
                <w:kern w:val="0"/>
                <w:sz w:val="21"/>
                <w:szCs w:val="21"/>
                <w:vertAlign w:val="baseline"/>
                <w:lang w:val="en-US" w:eastAsia="zh-CN" w:bidi="ar-SA"/>
              </w:rPr>
              <w:t>3、大气环境</w:t>
            </w:r>
          </w:p>
        </w:tc>
        <w:tc>
          <w:tcPr>
            <w:tcW w:w="4546" w:type="dxa"/>
            <w:vAlign w:val="center"/>
          </w:tcPr>
          <w:p w14:paraId="311A094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①物料堆场四周设置挡风墙（网），合理安排堆垛位置，并采取加盖篷布等遮挡措施；②物料堆场、灰土</w:t>
            </w:r>
            <w:r>
              <w:rPr>
                <w:rFonts w:hint="default" w:ascii="Times New Roman" w:hAnsi="Times New Roman" w:cs="Times New Roman"/>
                <w:color w:val="auto"/>
                <w:kern w:val="0"/>
                <w:sz w:val="21"/>
                <w:szCs w:val="21"/>
                <w:lang w:val="en-US" w:eastAsia="zh-CN" w:bidi="ar"/>
              </w:rPr>
              <w:t>拌合站</w:t>
            </w:r>
            <w:r>
              <w:rPr>
                <w:rFonts w:hint="default" w:ascii="Times New Roman" w:hAnsi="Times New Roman" w:eastAsia="宋体" w:cs="Times New Roman"/>
                <w:color w:val="auto"/>
                <w:kern w:val="0"/>
                <w:sz w:val="21"/>
                <w:szCs w:val="21"/>
                <w:lang w:val="en-US" w:eastAsia="zh-CN" w:bidi="ar"/>
              </w:rPr>
              <w:t>、沥青搅拌站等应远离周围环境敏感点，并采取全封闭作业；③对施工场地和施工便道定期洒水，减少扬尘污染；</w:t>
            </w:r>
          </w:p>
        </w:tc>
        <w:tc>
          <w:tcPr>
            <w:tcW w:w="1260" w:type="dxa"/>
            <w:vMerge w:val="continue"/>
            <w:vAlign w:val="center"/>
          </w:tcPr>
          <w:p w14:paraId="696812C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1313" w:type="dxa"/>
            <w:vMerge w:val="continue"/>
            <w:vAlign w:val="center"/>
          </w:tcPr>
          <w:p w14:paraId="1CB6131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r>
      <w:tr w14:paraId="16E12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7" w:type="dxa"/>
            <w:vAlign w:val="center"/>
          </w:tcPr>
          <w:p w14:paraId="1E6D932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cs="Times New Roman"/>
                <w:color w:val="auto"/>
                <w:kern w:val="0"/>
                <w:sz w:val="21"/>
                <w:szCs w:val="21"/>
                <w:vertAlign w:val="baseline"/>
                <w:lang w:val="en-US" w:eastAsia="zh-CN" w:bidi="ar-SA"/>
              </w:rPr>
              <w:t>4、声环境</w:t>
            </w:r>
          </w:p>
        </w:tc>
        <w:tc>
          <w:tcPr>
            <w:tcW w:w="4546" w:type="dxa"/>
            <w:vAlign w:val="center"/>
          </w:tcPr>
          <w:p w14:paraId="30E45DF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①施工期选用低噪声机械；②高噪声机械在夜间（24</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00-8</w:t>
            </w:r>
            <w:r>
              <w:rPr>
                <w:rFonts w:hint="default"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00）避免在声敏感点附近施工；③施工场地应设置在远离居民区</w:t>
            </w:r>
            <w:r>
              <w:rPr>
                <w:rFonts w:hint="default" w:ascii="Times New Roman" w:hAnsi="Times New Roman" w:cs="Times New Roman"/>
                <w:color w:val="auto"/>
                <w:kern w:val="0"/>
                <w:sz w:val="21"/>
                <w:szCs w:val="21"/>
                <w:lang w:val="en-US" w:eastAsia="zh-CN" w:bidi="ar"/>
              </w:rPr>
              <w:t>的</w:t>
            </w:r>
            <w:r>
              <w:rPr>
                <w:rFonts w:hint="default" w:ascii="Times New Roman" w:hAnsi="Times New Roman" w:eastAsia="宋体" w:cs="Times New Roman"/>
                <w:color w:val="auto"/>
                <w:kern w:val="0"/>
                <w:sz w:val="21"/>
                <w:szCs w:val="21"/>
                <w:lang w:val="en-US" w:eastAsia="zh-CN" w:bidi="ar"/>
              </w:rPr>
              <w:t>地方；④合理选择运输路线，并尽量在昼间进行运输；⑤在居民区路段设置禁止鸣笛、减速设施；⑥加强施工期噪声监测；⑦禁止夜间施工，如有技术需要连续施工的应申请夜间施工许可。</w:t>
            </w:r>
          </w:p>
        </w:tc>
        <w:tc>
          <w:tcPr>
            <w:tcW w:w="1260" w:type="dxa"/>
            <w:vMerge w:val="continue"/>
            <w:vAlign w:val="center"/>
          </w:tcPr>
          <w:p w14:paraId="6460CBA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1313" w:type="dxa"/>
            <w:vMerge w:val="continue"/>
            <w:vAlign w:val="center"/>
          </w:tcPr>
          <w:p w14:paraId="009AC39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r>
      <w:tr w14:paraId="50189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7" w:type="dxa"/>
            <w:vAlign w:val="center"/>
          </w:tcPr>
          <w:p w14:paraId="76B519B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cs="Times New Roman"/>
                <w:color w:val="auto"/>
                <w:kern w:val="0"/>
                <w:sz w:val="21"/>
                <w:szCs w:val="21"/>
                <w:vertAlign w:val="baseline"/>
                <w:lang w:val="en-US" w:eastAsia="zh-CN" w:bidi="ar-SA"/>
              </w:rPr>
              <w:t>5、固体废物</w:t>
            </w:r>
          </w:p>
        </w:tc>
        <w:tc>
          <w:tcPr>
            <w:tcW w:w="4546" w:type="dxa"/>
            <w:vAlign w:val="center"/>
          </w:tcPr>
          <w:p w14:paraId="201E5E4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①施工</w:t>
            </w:r>
            <w:r>
              <w:rPr>
                <w:rFonts w:hint="default" w:ascii="Times New Roman" w:hAnsi="Times New Roman" w:cs="Times New Roman"/>
                <w:color w:val="auto"/>
                <w:kern w:val="0"/>
                <w:sz w:val="21"/>
                <w:szCs w:val="21"/>
                <w:lang w:val="en-US" w:eastAsia="zh-CN" w:bidi="ar"/>
              </w:rPr>
              <w:t>作业点</w:t>
            </w:r>
            <w:r>
              <w:rPr>
                <w:rFonts w:hint="default" w:ascii="Times New Roman" w:hAnsi="Times New Roman" w:eastAsia="宋体" w:cs="Times New Roman"/>
                <w:color w:val="auto"/>
                <w:kern w:val="0"/>
                <w:sz w:val="21"/>
                <w:szCs w:val="21"/>
                <w:lang w:val="en-US" w:eastAsia="zh-CN" w:bidi="ar"/>
              </w:rPr>
              <w:t>的生活垃圾委托有关单位定期进行清运；②施工弃土、弃渣拉运至指定弃土场；③机修废机油、机油桶做好收集储存委托相关单位处理。</w:t>
            </w:r>
          </w:p>
        </w:tc>
        <w:tc>
          <w:tcPr>
            <w:tcW w:w="1260" w:type="dxa"/>
            <w:vMerge w:val="continue"/>
            <w:vAlign w:val="center"/>
          </w:tcPr>
          <w:p w14:paraId="0B5496D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1313" w:type="dxa"/>
            <w:vMerge w:val="continue"/>
            <w:vAlign w:val="center"/>
          </w:tcPr>
          <w:p w14:paraId="655908A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r>
      <w:tr w14:paraId="648FF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7" w:type="dxa"/>
            <w:vAlign w:val="center"/>
          </w:tcPr>
          <w:p w14:paraId="67E5AE3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cs="Times New Roman"/>
                <w:color w:val="auto"/>
                <w:kern w:val="0"/>
                <w:sz w:val="21"/>
                <w:szCs w:val="21"/>
                <w:vertAlign w:val="baseline"/>
                <w:lang w:val="en-US" w:eastAsia="zh-CN" w:bidi="ar-SA"/>
              </w:rPr>
              <w:t>6、环境监测和监理</w:t>
            </w:r>
          </w:p>
        </w:tc>
        <w:tc>
          <w:tcPr>
            <w:tcW w:w="4546" w:type="dxa"/>
            <w:vAlign w:val="center"/>
          </w:tcPr>
          <w:p w14:paraId="5D90B6C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①开展工程环境专项监理工作，并作为工程监理的重要组成部分，纳入工程监理管理体系，编制拟建公路施工期环境监理计划，在施工招标文件、施工合同和工程监理合同文件中明确环保条款和责任，定期向当地环保部门提交工程环境监理报告，建立专项档案，做好施工期环境监理工作；②严格落实施工期的环境空气、声环境、水环境监测工作。开展长期的野生动植物生态监测，并根据监测结果及时调整环境保护管理计划，为环保措施的实施时间和实施方案提供依据。</w:t>
            </w:r>
          </w:p>
        </w:tc>
        <w:tc>
          <w:tcPr>
            <w:tcW w:w="1260" w:type="dxa"/>
            <w:vMerge w:val="continue"/>
            <w:vAlign w:val="center"/>
          </w:tcPr>
          <w:p w14:paraId="77B9F94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1313" w:type="dxa"/>
            <w:vMerge w:val="continue"/>
            <w:vAlign w:val="center"/>
          </w:tcPr>
          <w:p w14:paraId="3BB8A28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r>
      <w:tr w14:paraId="46866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6" w:type="dxa"/>
            <w:gridSpan w:val="4"/>
            <w:vAlign w:val="center"/>
          </w:tcPr>
          <w:p w14:paraId="4A41936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cs="Times New Roman"/>
                <w:color w:val="auto"/>
                <w:kern w:val="0"/>
                <w:sz w:val="21"/>
                <w:szCs w:val="21"/>
                <w:vertAlign w:val="baseline"/>
                <w:lang w:val="en-US" w:eastAsia="zh-CN" w:bidi="ar-SA"/>
              </w:rPr>
              <w:t>运营期</w:t>
            </w:r>
          </w:p>
        </w:tc>
      </w:tr>
      <w:tr w14:paraId="30D6A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7" w:type="dxa"/>
            <w:vAlign w:val="center"/>
          </w:tcPr>
          <w:p w14:paraId="07ADCD3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cs="Times New Roman"/>
                <w:color w:val="auto"/>
                <w:kern w:val="0"/>
                <w:sz w:val="21"/>
                <w:szCs w:val="21"/>
                <w:vertAlign w:val="baseline"/>
                <w:lang w:val="en-US" w:eastAsia="zh-CN" w:bidi="ar-SA"/>
              </w:rPr>
              <w:t>1、生态环境</w:t>
            </w:r>
          </w:p>
        </w:tc>
        <w:tc>
          <w:tcPr>
            <w:tcW w:w="4546" w:type="dxa"/>
            <w:vAlign w:val="center"/>
          </w:tcPr>
          <w:p w14:paraId="78D1DD9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①注重保护沿线的农田、林地、草地；②公路运营期间，应继续进行植被恢复治理工作，并在公路沿线市区和乡村路段进行植被的绿化美化工作；③加强对公路沿线生态环境的管理、保护、巡护工作。禁止公路维修和检查人员采挖野生植物。</w:t>
            </w:r>
          </w:p>
        </w:tc>
        <w:tc>
          <w:tcPr>
            <w:tcW w:w="1260" w:type="dxa"/>
            <w:vMerge w:val="restart"/>
            <w:vAlign w:val="center"/>
          </w:tcPr>
          <w:p w14:paraId="5DCF1C0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cs="Times New Roman"/>
                <w:color w:val="auto"/>
                <w:kern w:val="0"/>
                <w:sz w:val="21"/>
                <w:szCs w:val="21"/>
                <w:vertAlign w:val="baseline"/>
                <w:lang w:val="en-US" w:eastAsia="zh-CN" w:bidi="ar-SA"/>
              </w:rPr>
              <w:t>运营单位</w:t>
            </w:r>
          </w:p>
        </w:tc>
        <w:tc>
          <w:tcPr>
            <w:tcW w:w="1313" w:type="dxa"/>
            <w:vMerge w:val="restart"/>
            <w:vAlign w:val="center"/>
          </w:tcPr>
          <w:p w14:paraId="1BBA102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cs="Times New Roman"/>
                <w:color w:val="auto"/>
                <w:kern w:val="0"/>
                <w:sz w:val="21"/>
                <w:szCs w:val="21"/>
                <w:lang w:val="en-US" w:eastAsia="zh-CN" w:bidi="ar"/>
              </w:rPr>
              <w:t>克孜勒苏柯尔克孜自治州</w:t>
            </w:r>
            <w:r>
              <w:rPr>
                <w:rFonts w:hint="default" w:ascii="Times New Roman" w:hAnsi="Times New Roman" w:eastAsia="宋体" w:cs="Times New Roman"/>
                <w:color w:val="auto"/>
                <w:kern w:val="0"/>
                <w:sz w:val="21"/>
                <w:szCs w:val="21"/>
                <w:lang w:val="en-US" w:eastAsia="zh-CN" w:bidi="ar"/>
              </w:rPr>
              <w:t>生态环境局</w:t>
            </w:r>
          </w:p>
        </w:tc>
      </w:tr>
      <w:tr w14:paraId="61EA0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7" w:type="dxa"/>
            <w:vAlign w:val="center"/>
          </w:tcPr>
          <w:p w14:paraId="5E49D3B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cs="Times New Roman"/>
                <w:color w:val="auto"/>
                <w:kern w:val="0"/>
                <w:sz w:val="21"/>
                <w:szCs w:val="21"/>
                <w:vertAlign w:val="baseline"/>
                <w:lang w:val="en-US" w:eastAsia="zh-CN" w:bidi="ar-SA"/>
              </w:rPr>
              <w:t>2、声环境</w:t>
            </w:r>
          </w:p>
        </w:tc>
        <w:tc>
          <w:tcPr>
            <w:tcW w:w="4546" w:type="dxa"/>
            <w:vAlign w:val="center"/>
          </w:tcPr>
          <w:p w14:paraId="7D63123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①加强对公路两侧用地的审批，首排不应规划建设学校、医院、敬老院等噪声敏感建筑；②加强运营期噪声跟踪监测，根据监测结果及时采取相应的减缓措施。</w:t>
            </w:r>
          </w:p>
        </w:tc>
        <w:tc>
          <w:tcPr>
            <w:tcW w:w="1260" w:type="dxa"/>
            <w:vMerge w:val="continue"/>
            <w:vAlign w:val="center"/>
          </w:tcPr>
          <w:p w14:paraId="58F73D3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1313" w:type="dxa"/>
            <w:vMerge w:val="continue"/>
            <w:vAlign w:val="center"/>
          </w:tcPr>
          <w:p w14:paraId="7EEAEF7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r>
      <w:tr w14:paraId="4BB11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7" w:type="dxa"/>
            <w:vAlign w:val="center"/>
          </w:tcPr>
          <w:p w14:paraId="5EEF1D9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3、固体废物</w:t>
            </w:r>
          </w:p>
        </w:tc>
        <w:tc>
          <w:tcPr>
            <w:tcW w:w="4546" w:type="dxa"/>
            <w:vAlign w:val="center"/>
          </w:tcPr>
          <w:p w14:paraId="13A746C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收费站等设置垃圾箱，委托有关单位及时将生活垃圾清运。</w:t>
            </w:r>
          </w:p>
        </w:tc>
        <w:tc>
          <w:tcPr>
            <w:tcW w:w="1260" w:type="dxa"/>
            <w:vMerge w:val="continue"/>
            <w:vAlign w:val="center"/>
          </w:tcPr>
          <w:p w14:paraId="7E9EC85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1313" w:type="dxa"/>
            <w:vMerge w:val="continue"/>
            <w:vAlign w:val="center"/>
          </w:tcPr>
          <w:p w14:paraId="0C422AE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r>
      <w:tr w14:paraId="2510E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7" w:type="dxa"/>
            <w:vAlign w:val="center"/>
          </w:tcPr>
          <w:p w14:paraId="32D2057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4、大气环境</w:t>
            </w:r>
          </w:p>
        </w:tc>
        <w:tc>
          <w:tcPr>
            <w:tcW w:w="4546" w:type="dxa"/>
            <w:vAlign w:val="center"/>
          </w:tcPr>
          <w:p w14:paraId="12C093E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收费站采暖使用清洁能源。</w:t>
            </w:r>
          </w:p>
        </w:tc>
        <w:tc>
          <w:tcPr>
            <w:tcW w:w="1260" w:type="dxa"/>
            <w:vMerge w:val="continue"/>
            <w:vAlign w:val="center"/>
          </w:tcPr>
          <w:p w14:paraId="01F2FF8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1313" w:type="dxa"/>
            <w:vMerge w:val="continue"/>
            <w:vAlign w:val="center"/>
          </w:tcPr>
          <w:p w14:paraId="02CEB7D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r>
      <w:tr w14:paraId="672C3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7" w:type="dxa"/>
            <w:vAlign w:val="center"/>
          </w:tcPr>
          <w:p w14:paraId="06057A6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5、水环境</w:t>
            </w:r>
          </w:p>
        </w:tc>
        <w:tc>
          <w:tcPr>
            <w:tcW w:w="4546" w:type="dxa"/>
            <w:vAlign w:val="center"/>
          </w:tcPr>
          <w:p w14:paraId="14D226C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①在沿线收费站设置地埋式一体化污水处理设施，生活污水经处理达标后，可用于场区绿化洒水等；②加强对公路给排水系统设施的维护管理，确保排水系统畅通</w:t>
            </w:r>
            <w:r>
              <w:rPr>
                <w:rFonts w:hint="default" w:ascii="Times New Roman" w:hAnsi="Times New Roman" w:cs="Times New Roman"/>
                <w:color w:val="auto"/>
                <w:kern w:val="0"/>
                <w:sz w:val="21"/>
                <w:szCs w:val="21"/>
                <w:lang w:val="en-US" w:eastAsia="zh-CN" w:bidi="ar"/>
              </w:rPr>
              <w:t>。</w:t>
            </w:r>
          </w:p>
        </w:tc>
        <w:tc>
          <w:tcPr>
            <w:tcW w:w="1260" w:type="dxa"/>
            <w:vMerge w:val="continue"/>
            <w:vAlign w:val="center"/>
          </w:tcPr>
          <w:p w14:paraId="4CBC51C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1313" w:type="dxa"/>
            <w:vMerge w:val="continue"/>
            <w:vAlign w:val="center"/>
          </w:tcPr>
          <w:p w14:paraId="73F5D03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r>
      <w:tr w14:paraId="3F6B1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7" w:type="dxa"/>
            <w:vAlign w:val="center"/>
          </w:tcPr>
          <w:p w14:paraId="192D2D1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6、环境风险</w:t>
            </w:r>
          </w:p>
        </w:tc>
        <w:tc>
          <w:tcPr>
            <w:tcW w:w="4546" w:type="dxa"/>
            <w:vAlign w:val="center"/>
          </w:tcPr>
          <w:p w14:paraId="21BF074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①</w:t>
            </w:r>
            <w:r>
              <w:rPr>
                <w:rFonts w:hint="default" w:ascii="Times New Roman" w:hAnsi="Times New Roman" w:cs="Times New Roman"/>
                <w:color w:val="auto"/>
                <w:kern w:val="0"/>
                <w:sz w:val="21"/>
                <w:szCs w:val="21"/>
                <w:lang w:val="en-US" w:eastAsia="zh-CN" w:bidi="ar"/>
              </w:rPr>
              <w:t>桥梁两端</w:t>
            </w:r>
            <w:r>
              <w:rPr>
                <w:rFonts w:hint="default" w:ascii="Times New Roman" w:hAnsi="Times New Roman" w:eastAsia="宋体" w:cs="Times New Roman"/>
                <w:color w:val="auto"/>
                <w:kern w:val="0"/>
                <w:sz w:val="21"/>
                <w:szCs w:val="21"/>
                <w:lang w:val="en-US" w:eastAsia="zh-CN" w:bidi="ar"/>
              </w:rPr>
              <w:t>各设1处警示牌，防撞护栏。②制定危险化学品运输环境风险事故应急预案，做好应急措施维护、应急物资储备、预案演练。</w:t>
            </w:r>
          </w:p>
        </w:tc>
        <w:tc>
          <w:tcPr>
            <w:tcW w:w="1260" w:type="dxa"/>
            <w:vMerge w:val="continue"/>
            <w:vAlign w:val="center"/>
          </w:tcPr>
          <w:p w14:paraId="5D89855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1313" w:type="dxa"/>
            <w:vMerge w:val="continue"/>
            <w:vAlign w:val="center"/>
          </w:tcPr>
          <w:p w14:paraId="1F70DC3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r>
      <w:tr w14:paraId="20C0F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7" w:type="dxa"/>
            <w:vAlign w:val="center"/>
          </w:tcPr>
          <w:p w14:paraId="0046299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7、环境影响后评价</w:t>
            </w:r>
          </w:p>
        </w:tc>
        <w:tc>
          <w:tcPr>
            <w:tcW w:w="4546" w:type="dxa"/>
            <w:vAlign w:val="center"/>
          </w:tcPr>
          <w:p w14:paraId="079914A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工程建成后3~5年内，应开展环境影响后评价，重点关注工程建设的生态环境影响，根据后评价结果，及时补充、完善相关环保措施。</w:t>
            </w:r>
          </w:p>
        </w:tc>
        <w:tc>
          <w:tcPr>
            <w:tcW w:w="1260" w:type="dxa"/>
            <w:vMerge w:val="continue"/>
            <w:vAlign w:val="center"/>
          </w:tcPr>
          <w:p w14:paraId="19F306C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1313" w:type="dxa"/>
            <w:vMerge w:val="continue"/>
            <w:vAlign w:val="center"/>
          </w:tcPr>
          <w:p w14:paraId="743DDA7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r>
    </w:tbl>
    <w:p w14:paraId="6ABA48A6">
      <w:pPr>
        <w:pStyle w:val="4"/>
        <w:keepNext/>
        <w:keepLines w:val="0"/>
        <w:pageBreakBefore w:val="0"/>
        <w:widowControl w:val="0"/>
        <w:kinsoku/>
        <w:wordWrap/>
        <w:overflowPunct/>
        <w:topLinePunct w:val="0"/>
        <w:autoSpaceDE/>
        <w:autoSpaceDN/>
        <w:bidi w:val="0"/>
        <w:adjustRightInd w:val="0"/>
        <w:snapToGrid w:val="0"/>
        <w:spacing w:before="168" w:beforeLines="5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8.1.5 应向社会公开的信息内容</w:t>
      </w:r>
    </w:p>
    <w:p w14:paraId="0661F61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建设项目环境影响评价信息公开机制方案》（环发〔2015〕162号），建设项目开工前应向社会公开相关信息：开工日期、设计单位、施工单位和环境监理单位、工程基本情况、实际选址选线、拟采取的环境保护措施清单和实施计划、由地方政府或相关部门负责配套的环境保护措施清单和实施计划等，上述信息在整个施工期内均处于公开状态。</w:t>
      </w:r>
    </w:p>
    <w:p w14:paraId="1ACB3CF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项目建设过程中，建设单位应当在施工中期向社会公开建设项目环境保护措施进展情况、施工期的环境保护措施落实情况、施工期环境监理情况、施工期环境监测结果等。</w:t>
      </w:r>
    </w:p>
    <w:p w14:paraId="2F7E69F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建设项目建成后，建设单位应当向社会公开建设项目环评提出的各项环境保护设施和措施执行情况、竣工环境保护验收监测和调查结果。对主要因排放污染物对环境产生影响的建设项目，投入生产或使用后，应当定期向社会特别是周边社区公开主要污染物排放情况。</w:t>
      </w:r>
    </w:p>
    <w:p w14:paraId="369E4540">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8.1.6 环境保护计划的执行</w:t>
      </w:r>
    </w:p>
    <w:p w14:paraId="694D703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环境保护计划的制定主要是为了落实环境影响报告书中提出的环境保护措施及建议，对项目的设计、施工和运营期的环境监测和监督等工作提出要求。</w:t>
      </w:r>
    </w:p>
    <w:p w14:paraId="731EA5B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（1）设计阶段</w:t>
      </w:r>
    </w:p>
    <w:p w14:paraId="33C5A2E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设计单位应将环境影响报告书提出的环保措施落实到施工设计中；设计文件审查时应包括对环保工作和方案设计的审查。</w:t>
      </w:r>
    </w:p>
    <w:p w14:paraId="1733509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（2）招标阶段</w:t>
      </w:r>
    </w:p>
    <w:p w14:paraId="6142725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承包商在投标中应含有环境保护的内容，在中标的合同中应有环境影响报告书提出的环境保护措施及建议的响应条文。</w:t>
      </w:r>
    </w:p>
    <w:p w14:paraId="61FEA54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（3）施工期</w:t>
      </w:r>
    </w:p>
    <w:p w14:paraId="3DF9F74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设立独立的环境管理机构，向建设单位和当地环境保护主管部门负责，对环境工程的实施情况进行监督，对施工人员进行宣传教育，重点检查生态环境保护措施、施工噪声和粉尘污染防治措施的落实情况、生活污水和生活垃圾的处理处置情况。</w:t>
      </w:r>
    </w:p>
    <w:p w14:paraId="71C9AFF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各承包单位应配备环保员，负责监督和管理环保措施的实施。在施工结束后，业主应组织全面检查工程环保措施落实和施工现场的环境恢复情况，监督施工单位及时撤出临时占用场地，拆除临时建筑，恢复被破坏的植被。</w:t>
      </w:r>
    </w:p>
    <w:p w14:paraId="3F9112B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（4）运营期</w:t>
      </w:r>
    </w:p>
    <w:p w14:paraId="0D307B3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运营期的环保管理、监测由项目运营单位负责管理实施。</w:t>
      </w:r>
    </w:p>
    <w:p w14:paraId="19B9A235">
      <w:pPr>
        <w:pStyle w:val="3"/>
        <w:numPr>
          <w:ilvl w:val="1"/>
          <w:numId w:val="0"/>
        </w:numPr>
        <w:bidi w:val="0"/>
        <w:rPr>
          <w:rFonts w:hint="default" w:ascii="Times New Roman" w:hAnsi="Times New Roman" w:cs="Times New Roman"/>
          <w:color w:val="auto"/>
        </w:rPr>
      </w:pPr>
      <w:bookmarkStart w:id="1729" w:name="_Toc10074"/>
      <w:bookmarkStart w:id="1730" w:name="_Toc32599"/>
      <w:bookmarkStart w:id="1731" w:name="_Toc11184"/>
      <w:bookmarkStart w:id="1732" w:name="_Toc31286"/>
      <w:bookmarkStart w:id="1733" w:name="_Toc27004"/>
      <w:bookmarkStart w:id="1734" w:name="_Toc1671"/>
      <w:bookmarkStart w:id="1735" w:name="_Toc13750"/>
      <w:bookmarkStart w:id="1736" w:name="_Toc28056"/>
      <w:bookmarkStart w:id="1737" w:name="_Toc6282"/>
      <w:bookmarkStart w:id="1738" w:name="_Toc18522"/>
      <w:bookmarkStart w:id="1739" w:name="_Toc8366"/>
      <w:bookmarkStart w:id="1740" w:name="_Toc4031"/>
      <w:r>
        <w:rPr>
          <w:rFonts w:hint="default" w:ascii="Times New Roman" w:hAnsi="Times New Roman" w:cs="Times New Roman"/>
          <w:color w:val="auto"/>
          <w:lang w:val="en-US" w:eastAsia="zh-CN"/>
        </w:rPr>
        <w:t>8.2 环境监理计划</w:t>
      </w:r>
      <w:bookmarkEnd w:id="1729"/>
      <w:bookmarkEnd w:id="1730"/>
      <w:bookmarkEnd w:id="1731"/>
      <w:bookmarkEnd w:id="1732"/>
      <w:bookmarkEnd w:id="1733"/>
      <w:bookmarkEnd w:id="1734"/>
      <w:bookmarkEnd w:id="1735"/>
      <w:bookmarkEnd w:id="1736"/>
      <w:bookmarkEnd w:id="1737"/>
      <w:bookmarkEnd w:id="1738"/>
      <w:bookmarkEnd w:id="1739"/>
      <w:bookmarkEnd w:id="1740"/>
    </w:p>
    <w:p w14:paraId="485D8BA1">
      <w:pPr>
        <w:pStyle w:val="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8.2.1 监理依据</w:t>
      </w:r>
    </w:p>
    <w:p w14:paraId="0351D55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环境监理依据国家和相关主管部门制定、颁发的有关</w:t>
      </w:r>
      <w:r>
        <w:rPr>
          <w:rFonts w:hint="default" w:ascii="Times New Roman" w:hAnsi="Times New Roman" w:cs="Times New Roman"/>
          <w:color w:val="auto"/>
          <w:kern w:val="0"/>
          <w:sz w:val="24"/>
          <w:szCs w:val="24"/>
          <w:lang w:val="en-US" w:eastAsia="zh-CN" w:bidi="ar"/>
        </w:rPr>
        <w:t>法律法规</w:t>
      </w:r>
      <w:r>
        <w:rPr>
          <w:rFonts w:hint="default" w:ascii="Times New Roman" w:hAnsi="Times New Roman" w:eastAsia="宋体" w:cs="Times New Roman"/>
          <w:color w:val="auto"/>
          <w:kern w:val="0"/>
          <w:sz w:val="24"/>
          <w:szCs w:val="24"/>
          <w:lang w:val="en-US" w:eastAsia="zh-CN" w:bidi="ar"/>
        </w:rPr>
        <w:t>、政策、技术标准，经批准的设计文件、投标文件和依法签订的监理、施工承包合同，以及《关于加强公路规划和建设环境影响评价工作的通知》（环发〔2007〕184号）。</w:t>
      </w:r>
    </w:p>
    <w:p w14:paraId="23EA80B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按环境监理服务的范围和内容，履行环境监理义务，独立、公正、科学、有效地服务于工程，实施全面环境监理，使工程在设计、施工、营运等方面达到环境保护要求。</w:t>
      </w:r>
    </w:p>
    <w:p w14:paraId="3D44972E">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8.2.2 环境监理应遵循的原则</w:t>
      </w:r>
    </w:p>
    <w:p w14:paraId="717ADF7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公路建设应在项目设计、施工和运行管理等各个阶段，高度重视生态环境保护和污染防治工作，严格执行建设项目环境保护“三同时”制度，规范工程建设管理的各项工作，确保符合有关环保要求。</w:t>
      </w:r>
    </w:p>
    <w:p w14:paraId="2D726E0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从事工程建设环境监理活动，应当遵循守法、诚信、公正、科学的准则。确立环境监理是“第三方”的原则，应当将环境监理和建设单位的环境管理、政府部门的环境监督执法严格区分开来，并为业主和政府部门的环境管理服务。</w:t>
      </w:r>
    </w:p>
    <w:p w14:paraId="70332A7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可由工程监理单位或环境监理单位承担环境监理工作。环境监理单位在每个标段应至少派出1 名具备环境专业背景的监理工程师负责环境监理工作。环境监理工作中应理顺和协调好建设单位、施工单位、环境监测单位及生态环境主管部门等各方面的关系，为做好环境监理工作创造有利条件。</w:t>
      </w:r>
    </w:p>
    <w:p w14:paraId="3D1AF0F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环境监理单位应根据工程特点，制定符合工程实际情况规范化的监理制度，使监理工作有序展开。</w:t>
      </w:r>
    </w:p>
    <w:p w14:paraId="629A7FEB">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8.2.3 监理范围</w:t>
      </w:r>
    </w:p>
    <w:p w14:paraId="7E4D0607">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（1）工程范围</w:t>
      </w:r>
    </w:p>
    <w:p w14:paraId="7808C52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主体工程、附属工程和临时工程等以及上述范围内生产施工对周边造成环境污染和生态破坏的区域；公路工程运营造成环境影响所采取环保措施的区域。</w:t>
      </w:r>
    </w:p>
    <w:p w14:paraId="4A4574C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（2）工作阶段</w:t>
      </w:r>
    </w:p>
    <w:p w14:paraId="7005C19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①施工准备阶段环境监理；</w:t>
      </w:r>
    </w:p>
    <w:p w14:paraId="38BA959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②施工阶段环境监理；</w:t>
      </w:r>
    </w:p>
    <w:p w14:paraId="745944E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③工程保修阶段（交工及缺陷责任期）环境监理。</w:t>
      </w:r>
    </w:p>
    <w:p w14:paraId="4654104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（3）监理时间</w:t>
      </w:r>
    </w:p>
    <w:p w14:paraId="230D082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监理时间为整个施工期。</w:t>
      </w:r>
    </w:p>
    <w:p w14:paraId="5883CCEC">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8.2.4 环境监理工作内容</w:t>
      </w:r>
    </w:p>
    <w:p w14:paraId="319D64C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本项目工程环境监理的工作内容包括环保达标监理和环保工程监理。</w:t>
      </w:r>
    </w:p>
    <w:p w14:paraId="3E9B336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环保达标监理指对主体工程的施工过程是否符合环境保护的要求进行监理，如噪声、废气、污水等排放应达到有关的</w:t>
      </w:r>
      <w:r>
        <w:rPr>
          <w:rFonts w:hint="eastAsia" w:cs="Times New Roman"/>
          <w:color w:val="auto"/>
          <w:kern w:val="0"/>
          <w:sz w:val="24"/>
          <w:szCs w:val="24"/>
          <w:lang w:val="en-US" w:eastAsia="zh-CN" w:bidi="ar"/>
        </w:rPr>
        <w:t>标准</w:t>
      </w:r>
      <w:r>
        <w:rPr>
          <w:rFonts w:hint="default" w:ascii="Times New Roman" w:hAnsi="Times New Roman" w:eastAsia="宋体" w:cs="Times New Roman"/>
          <w:color w:val="auto"/>
          <w:kern w:val="0"/>
          <w:sz w:val="24"/>
          <w:szCs w:val="24"/>
          <w:lang w:val="en-US" w:eastAsia="zh-CN" w:bidi="ar"/>
        </w:rPr>
        <w:t>，施工是否造成水土流失和生态环境破坏，是否符合有关环境保护</w:t>
      </w:r>
      <w:r>
        <w:rPr>
          <w:rFonts w:hint="default" w:ascii="Times New Roman" w:hAnsi="Times New Roman" w:cs="Times New Roman"/>
          <w:color w:val="auto"/>
          <w:kern w:val="0"/>
          <w:sz w:val="24"/>
          <w:szCs w:val="24"/>
          <w:lang w:val="en-US" w:eastAsia="zh-CN" w:bidi="ar"/>
        </w:rPr>
        <w:t>法律法规</w:t>
      </w:r>
      <w:r>
        <w:rPr>
          <w:rFonts w:hint="default" w:ascii="Times New Roman" w:hAnsi="Times New Roman" w:eastAsia="宋体" w:cs="Times New Roman"/>
          <w:color w:val="auto"/>
          <w:kern w:val="0"/>
          <w:sz w:val="24"/>
          <w:szCs w:val="24"/>
          <w:lang w:val="en-US" w:eastAsia="zh-CN" w:bidi="ar"/>
        </w:rPr>
        <w:t>规定等进行监理。</w:t>
      </w:r>
    </w:p>
    <w:p w14:paraId="6342D0C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环保工程监理是指对为保护施工和运营期的环境而建设的各项环境保护设施（包括临时工程）进行监理，如污水处理设施、绿化工程、保护植被、保护野生动植物、弃渣场的土地整治与恢复措施等。</w:t>
      </w:r>
    </w:p>
    <w:p w14:paraId="36D0BAFE">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8.2.5 环境监理组织机构及工作制度</w:t>
      </w:r>
    </w:p>
    <w:p w14:paraId="246C6A7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建设单位应按照环境影响评价文件的要求，制定施工期工程环境监理实施方案，在施工招标文件、合同中明确施工单位和监理单位的环境保护责任。</w:t>
      </w:r>
    </w:p>
    <w:p w14:paraId="229494C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拟建项目设立环保总监（由总监兼任），主管工程环境监理工作；环监办（由总监办兼）负责组织实施，各环监代表处（由总监代表处兼）和环监驻地办（由驻地办兼）具体承担监理任务。现场环境监理工程师由驻地办的路基、路面、桥梁、交通工程以及试验专业监理工程师兼任。</w:t>
      </w:r>
    </w:p>
    <w:p w14:paraId="65CF871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工程环境监理的工作制度主要包括：环境监理例会制度、环境监理记录与报告制度、人员培训制度、函件来往制度、环境监理奖惩制度以及环境监理资料归档制度。</w:t>
      </w:r>
    </w:p>
    <w:p w14:paraId="5466D2F4">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8.2.6 环境监理技术要点</w:t>
      </w:r>
    </w:p>
    <w:p w14:paraId="34A382B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环境监理单位应收集本项目的有关资料，包括项目的基本情况、环境影响报告书、水土保持方案、环境保护设计、施工企业的设备、生产管理方式、施工现场的环境情况、施工过程的排污规律和防治措施等。</w:t>
      </w:r>
    </w:p>
    <w:p w14:paraId="3095D24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项目施工方法制定施工期环境监理计划。按施工进度计划及排污行为，确定不同时间检查的重点项目和检查方式、方法。监理的技术要点是：施工初期主要检查对植被、景观的保护措施；中期主要检查施工噪声、施工及生活污水排放、沥青熔炼等；后期检查路域植被恢复情况等。</w:t>
      </w:r>
    </w:p>
    <w:p w14:paraId="2184D4D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（1）施工现场的植被保护措施检查</w:t>
      </w:r>
    </w:p>
    <w:p w14:paraId="172F7EA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审查施工企业制定的有关保护措施，并做好现场检查。由于施工过程改变了现场原有的和谐景观，应采取恢复植被及景观美化等方法减少影响。</w:t>
      </w:r>
    </w:p>
    <w:p w14:paraId="174DF50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（2）施工过程的水土保持检查 </w:t>
      </w:r>
    </w:p>
    <w:p w14:paraId="11029D9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对填方路基边坡、弃渣场的水土保持情况进行巡视检查。对承建单位报送的拟进场的工程材料、</w:t>
      </w:r>
      <w:r>
        <w:rPr>
          <w:rFonts w:hint="default" w:ascii="Times New Roman" w:hAnsi="Times New Roman" w:cs="Times New Roman"/>
          <w:color w:val="auto"/>
          <w:kern w:val="0"/>
          <w:sz w:val="24"/>
          <w:szCs w:val="24"/>
          <w:lang w:val="en-US" w:eastAsia="zh-CN" w:bidi="ar"/>
        </w:rPr>
        <w:t>种子</w:t>
      </w:r>
      <w:r>
        <w:rPr>
          <w:rFonts w:hint="default" w:ascii="Times New Roman" w:hAnsi="Times New Roman" w:eastAsia="宋体" w:cs="Times New Roman"/>
          <w:color w:val="auto"/>
          <w:kern w:val="0"/>
          <w:sz w:val="24"/>
          <w:szCs w:val="24"/>
          <w:lang w:val="en-US" w:eastAsia="zh-CN" w:bidi="ar"/>
        </w:rPr>
        <w:t>、苗木报审表及质量证明资料进行审核，并对进场的实物按照有关规范采用平行检验或见证取样方式进行抽检。</w:t>
      </w:r>
    </w:p>
    <w:p w14:paraId="2C45694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（3）污水排放检查</w:t>
      </w:r>
    </w:p>
    <w:p w14:paraId="3EE1E8D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1）用水工艺和设备检查</w:t>
      </w:r>
    </w:p>
    <w:p w14:paraId="18645F6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首先检查是否采用了禁止使用的污染水环境的工艺和设备；其次检查水资源利用中的不合理因素，督促排污单位改进工艺设备及生产管理，节约用水，减少污水排放；第三要检查有无违反国家技术政策的水污染项目建设情况。</w:t>
      </w:r>
    </w:p>
    <w:p w14:paraId="060CB45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2）检查向水体排放有毒物质的行为</w:t>
      </w:r>
    </w:p>
    <w:p w14:paraId="75C03DE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《中华人民共和国水污染防治法》第27~40条规定了严格禁止的向水体排放的污染物种类的排污行为，应作为检查的重点内容。</w:t>
      </w:r>
    </w:p>
    <w:p w14:paraId="7D1DBEC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（4）施工噪声检查</w:t>
      </w:r>
    </w:p>
    <w:p w14:paraId="41FA620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1）产生噪声的设备检查</w:t>
      </w:r>
    </w:p>
    <w:p w14:paraId="593AD37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检查产生噪声的设备是否为国家禁止生产、销售、进口、使用的淘汰产品。</w:t>
      </w:r>
    </w:p>
    <w:p w14:paraId="7DFFA53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2）检查产生噪声设备的管理</w:t>
      </w:r>
    </w:p>
    <w:p w14:paraId="20CE6D0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应监督施工单位加强设备的维护，及时更换磨损部件，降低噪声。产生噪声设备的管理还包括生产时间的合理安排。为减少对环境的影响，应检查施工单位的噪声监测记录，发现问题应及时通知施工单位整改。</w:t>
      </w:r>
    </w:p>
    <w:p w14:paraId="4112C02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3）交通噪声的检查</w:t>
      </w:r>
    </w:p>
    <w:p w14:paraId="2CFCA9A9">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发现超过功能标准的要采取措施。可采取措施有：加强交通管理，加强车辆年审，采取防噪声措施等。</w:t>
      </w:r>
    </w:p>
    <w:p w14:paraId="50DB32F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（5）大气污染控制检查</w:t>
      </w:r>
    </w:p>
    <w:p w14:paraId="1C7F126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1）施工扬尘主要有交通扬尘、工地扬尘、堆放扬尘等。要求施工单位采取防扬尘的措施，如库房堆放、包装堆放，并及时洒水喷淋等。在粉状货物运输的过程中，凡有货物跌落的地方更要有防尘的措施。</w:t>
      </w:r>
    </w:p>
    <w:p w14:paraId="4460778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2）要求在封闭的容器内熔融沥青，并采取消烟措施，要采用规定的方法和设备。</w:t>
      </w:r>
    </w:p>
    <w:p w14:paraId="71978E0E">
      <w:pPr>
        <w:pStyle w:val="3"/>
        <w:numPr>
          <w:ilvl w:val="1"/>
          <w:numId w:val="0"/>
        </w:numPr>
        <w:bidi w:val="0"/>
        <w:rPr>
          <w:rFonts w:hint="default" w:ascii="Times New Roman" w:hAnsi="Times New Roman" w:cs="Times New Roman"/>
          <w:color w:val="auto"/>
        </w:rPr>
      </w:pPr>
      <w:bookmarkStart w:id="1741" w:name="_Toc23325"/>
      <w:bookmarkStart w:id="1742" w:name="_Toc7512"/>
      <w:bookmarkStart w:id="1743" w:name="_Toc14150"/>
      <w:bookmarkStart w:id="1744" w:name="_Toc763"/>
      <w:bookmarkStart w:id="1745" w:name="_Toc8621"/>
      <w:bookmarkStart w:id="1746" w:name="_Toc14090"/>
      <w:bookmarkStart w:id="1747" w:name="_Toc544"/>
      <w:bookmarkStart w:id="1748" w:name="_Toc5140"/>
      <w:bookmarkStart w:id="1749" w:name="_Toc32096"/>
      <w:bookmarkStart w:id="1750" w:name="_Toc781"/>
      <w:bookmarkStart w:id="1751" w:name="_Toc4274"/>
      <w:bookmarkStart w:id="1752" w:name="_Toc11496"/>
      <w:r>
        <w:rPr>
          <w:rFonts w:hint="default" w:ascii="Times New Roman" w:hAnsi="Times New Roman" w:cs="Times New Roman"/>
          <w:color w:val="auto"/>
          <w:lang w:val="en-US" w:eastAsia="zh-CN"/>
        </w:rPr>
        <w:t>8.3 环境监测计划</w:t>
      </w:r>
      <w:bookmarkEnd w:id="1741"/>
      <w:bookmarkEnd w:id="1742"/>
      <w:bookmarkEnd w:id="1743"/>
      <w:bookmarkEnd w:id="1744"/>
      <w:bookmarkEnd w:id="1745"/>
      <w:bookmarkEnd w:id="1746"/>
      <w:bookmarkEnd w:id="1747"/>
      <w:bookmarkEnd w:id="1748"/>
      <w:bookmarkEnd w:id="1749"/>
      <w:bookmarkEnd w:id="1750"/>
      <w:bookmarkEnd w:id="1751"/>
      <w:bookmarkEnd w:id="1752"/>
    </w:p>
    <w:p w14:paraId="30D3704E">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8.3.1 制定目的及原则</w:t>
      </w:r>
    </w:p>
    <w:p w14:paraId="13782CA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制定环境监测计划的目的是通过监测结果适时调整环境保护行动计划，为制定环保措施的实施时间和周期提供依据，为项目的后评估提供依据。结合本项目预测的各个时期的主要环境影响及可能超标的路段和超标量而确定。</w:t>
      </w:r>
    </w:p>
    <w:p w14:paraId="38CC7FB3">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8.3.2 监测机构</w:t>
      </w:r>
    </w:p>
    <w:p w14:paraId="63C641E4">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为了统一管理，建议委托具有环境监测相关资质的单位执行环境监测计划。</w:t>
      </w:r>
    </w:p>
    <w:p w14:paraId="478046C5">
      <w:pPr>
        <w:pStyle w:val="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8.3.3 监测方案</w:t>
      </w:r>
    </w:p>
    <w:p w14:paraId="5FE8618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环境监测的重点是生态环境、声环境和环境空气。常规监测要求定点和不定点、定时和不定时抽检相结合的方式进行。监测方法按照相关标准规范进行。具体的监测计划见表8.3-1。</w:t>
      </w:r>
    </w:p>
    <w:p w14:paraId="7C92D277">
      <w:pPr>
        <w:keepNext w:val="0"/>
        <w:keepLines w:val="0"/>
        <w:widowControl/>
        <w:suppressLineNumbers w:val="0"/>
        <w:spacing w:line="240" w:lineRule="auto"/>
        <w:jc w:val="center"/>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表8.3-1 大气环境、噪声环境监测计划表</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0"/>
        <w:gridCol w:w="1140"/>
        <w:gridCol w:w="1156"/>
        <w:gridCol w:w="2341"/>
        <w:gridCol w:w="1769"/>
        <w:gridCol w:w="1420"/>
      </w:tblGrid>
      <w:tr w14:paraId="52682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90" w:type="dxa"/>
            <w:vAlign w:val="center"/>
          </w:tcPr>
          <w:p w14:paraId="4B3CF99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b/>
                <w:bCs/>
                <w:color w:val="auto"/>
                <w:kern w:val="0"/>
                <w:sz w:val="21"/>
                <w:szCs w:val="21"/>
                <w:lang w:val="en-US" w:eastAsia="zh-CN" w:bidi="ar"/>
              </w:rPr>
              <w:t>序号</w:t>
            </w:r>
          </w:p>
        </w:tc>
        <w:tc>
          <w:tcPr>
            <w:tcW w:w="1140" w:type="dxa"/>
            <w:vAlign w:val="center"/>
          </w:tcPr>
          <w:p w14:paraId="080232F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b/>
                <w:bCs/>
                <w:color w:val="auto"/>
                <w:kern w:val="0"/>
                <w:sz w:val="21"/>
                <w:szCs w:val="21"/>
                <w:lang w:val="en-US" w:eastAsia="zh-CN" w:bidi="ar"/>
              </w:rPr>
              <w:t>实施阶段</w:t>
            </w:r>
          </w:p>
        </w:tc>
        <w:tc>
          <w:tcPr>
            <w:tcW w:w="1156" w:type="dxa"/>
            <w:vAlign w:val="center"/>
          </w:tcPr>
          <w:p w14:paraId="30B4A96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b/>
                <w:bCs/>
                <w:color w:val="auto"/>
                <w:kern w:val="0"/>
                <w:sz w:val="21"/>
                <w:szCs w:val="21"/>
                <w:lang w:val="en-US" w:eastAsia="zh-CN" w:bidi="ar"/>
              </w:rPr>
              <w:t>监测内容</w:t>
            </w:r>
          </w:p>
        </w:tc>
        <w:tc>
          <w:tcPr>
            <w:tcW w:w="2341" w:type="dxa"/>
            <w:vAlign w:val="center"/>
          </w:tcPr>
          <w:p w14:paraId="15314E5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b/>
                <w:bCs/>
                <w:color w:val="auto"/>
                <w:kern w:val="0"/>
                <w:sz w:val="21"/>
                <w:szCs w:val="21"/>
                <w:lang w:val="en-US" w:eastAsia="zh-CN" w:bidi="ar"/>
              </w:rPr>
              <w:t>监测时间及频率</w:t>
            </w:r>
          </w:p>
        </w:tc>
        <w:tc>
          <w:tcPr>
            <w:tcW w:w="1769" w:type="dxa"/>
            <w:vAlign w:val="center"/>
          </w:tcPr>
          <w:p w14:paraId="6CA57C9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b/>
                <w:bCs/>
                <w:color w:val="auto"/>
                <w:kern w:val="0"/>
                <w:sz w:val="21"/>
                <w:szCs w:val="21"/>
                <w:highlight w:val="none"/>
                <w:lang w:val="en-US" w:eastAsia="zh-CN" w:bidi="ar"/>
              </w:rPr>
              <w:t>监测地点</w:t>
            </w:r>
          </w:p>
        </w:tc>
        <w:tc>
          <w:tcPr>
            <w:tcW w:w="1420" w:type="dxa"/>
            <w:vAlign w:val="center"/>
          </w:tcPr>
          <w:p w14:paraId="0902718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b/>
                <w:bCs/>
                <w:color w:val="auto"/>
                <w:kern w:val="0"/>
                <w:sz w:val="21"/>
                <w:szCs w:val="21"/>
                <w:lang w:val="en-US" w:eastAsia="zh-CN" w:bidi="ar"/>
              </w:rPr>
              <w:t>监测项目</w:t>
            </w:r>
          </w:p>
        </w:tc>
      </w:tr>
      <w:tr w14:paraId="6118E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90" w:type="dxa"/>
            <w:vMerge w:val="restart"/>
            <w:vAlign w:val="center"/>
          </w:tcPr>
          <w:p w14:paraId="79E555E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w:t>
            </w:r>
          </w:p>
        </w:tc>
        <w:tc>
          <w:tcPr>
            <w:tcW w:w="1140" w:type="dxa"/>
            <w:vMerge w:val="restart"/>
            <w:vAlign w:val="center"/>
          </w:tcPr>
          <w:p w14:paraId="01B0D43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施工期</w:t>
            </w:r>
          </w:p>
        </w:tc>
        <w:tc>
          <w:tcPr>
            <w:tcW w:w="1156" w:type="dxa"/>
            <w:vAlign w:val="center"/>
          </w:tcPr>
          <w:p w14:paraId="1556CF4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环境空气</w:t>
            </w:r>
          </w:p>
        </w:tc>
        <w:tc>
          <w:tcPr>
            <w:tcW w:w="2341" w:type="dxa"/>
            <w:vAlign w:val="center"/>
          </w:tcPr>
          <w:p w14:paraId="525EBEE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1次/季，3天/次，每天保证12小时采样时间</w:t>
            </w:r>
          </w:p>
        </w:tc>
        <w:tc>
          <w:tcPr>
            <w:tcW w:w="1769" w:type="dxa"/>
            <w:vAlign w:val="center"/>
          </w:tcPr>
          <w:p w14:paraId="42C5964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施工场界</w:t>
            </w:r>
          </w:p>
        </w:tc>
        <w:tc>
          <w:tcPr>
            <w:tcW w:w="1420" w:type="dxa"/>
            <w:vAlign w:val="center"/>
          </w:tcPr>
          <w:p w14:paraId="24D91A0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TSP</w:t>
            </w:r>
          </w:p>
        </w:tc>
      </w:tr>
      <w:tr w14:paraId="6AC7C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90" w:type="dxa"/>
            <w:vMerge w:val="continue"/>
            <w:vAlign w:val="center"/>
          </w:tcPr>
          <w:p w14:paraId="2FAC9EB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1140" w:type="dxa"/>
            <w:vMerge w:val="continue"/>
            <w:vAlign w:val="center"/>
          </w:tcPr>
          <w:p w14:paraId="420C26C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1156" w:type="dxa"/>
            <w:vAlign w:val="center"/>
          </w:tcPr>
          <w:p w14:paraId="3D8E6B7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噪声</w:t>
            </w:r>
          </w:p>
        </w:tc>
        <w:tc>
          <w:tcPr>
            <w:tcW w:w="2341" w:type="dxa"/>
            <w:vAlign w:val="center"/>
          </w:tcPr>
          <w:p w14:paraId="797D177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1次/季，施工到该路段时；2次/天，每天昼间、夜间各监测1次</w:t>
            </w:r>
          </w:p>
        </w:tc>
        <w:tc>
          <w:tcPr>
            <w:tcW w:w="1769" w:type="dxa"/>
            <w:vAlign w:val="center"/>
          </w:tcPr>
          <w:p w14:paraId="50431D1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施工场界</w:t>
            </w:r>
          </w:p>
        </w:tc>
        <w:tc>
          <w:tcPr>
            <w:tcW w:w="1420" w:type="dxa"/>
            <w:vAlign w:val="center"/>
          </w:tcPr>
          <w:p w14:paraId="6D72FFD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等效连续声级LAeq</w:t>
            </w:r>
          </w:p>
        </w:tc>
      </w:tr>
    </w:tbl>
    <w:p w14:paraId="136B308E">
      <w:pPr>
        <w:keepNext w:val="0"/>
        <w:keepLines w:val="0"/>
        <w:pageBreakBefore w:val="0"/>
        <w:widowControl/>
        <w:suppressLineNumbers w:val="0"/>
        <w:kinsoku/>
        <w:wordWrap/>
        <w:overflowPunct/>
        <w:topLinePunct w:val="0"/>
        <w:autoSpaceDE/>
        <w:autoSpaceDN/>
        <w:bidi w:val="0"/>
        <w:adjustRightInd w:val="0"/>
        <w:snapToGrid w:val="0"/>
        <w:spacing w:before="168" w:beforeLines="50" w:line="240" w:lineRule="auto"/>
        <w:ind w:firstLine="0" w:firstLineChars="0"/>
        <w:jc w:val="center"/>
        <w:textAlignment w:val="auto"/>
        <w:rPr>
          <w:rFonts w:hint="default" w:ascii="Times New Roman" w:hAnsi="Times New Roman" w:eastAsia="宋体" w:cs="Times New Roman"/>
          <w:b/>
          <w:bCs/>
          <w:color w:val="auto"/>
          <w:kern w:val="0"/>
          <w:sz w:val="21"/>
          <w:szCs w:val="21"/>
          <w:lang w:val="en-US" w:eastAsia="zh-CN" w:bidi="ar-SA"/>
        </w:rPr>
      </w:pPr>
    </w:p>
    <w:p w14:paraId="026B553F">
      <w:pPr>
        <w:keepNext w:val="0"/>
        <w:keepLines w:val="0"/>
        <w:pageBreakBefore w:val="0"/>
        <w:widowControl/>
        <w:suppressLineNumbers w:val="0"/>
        <w:kinsoku/>
        <w:wordWrap/>
        <w:overflowPunct/>
        <w:topLinePunct w:val="0"/>
        <w:autoSpaceDE/>
        <w:autoSpaceDN/>
        <w:bidi w:val="0"/>
        <w:adjustRightInd w:val="0"/>
        <w:snapToGrid w:val="0"/>
        <w:spacing w:before="168" w:beforeLines="50" w:line="240" w:lineRule="auto"/>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SA"/>
        </w:rPr>
        <w:t>表8.3-2 生态环境监测计划表</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6"/>
        <w:gridCol w:w="1289"/>
        <w:gridCol w:w="1096"/>
        <w:gridCol w:w="1037"/>
        <w:gridCol w:w="1215"/>
        <w:gridCol w:w="1976"/>
        <w:gridCol w:w="1217"/>
      </w:tblGrid>
      <w:tr w14:paraId="00714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6" w:type="dxa"/>
            <w:vAlign w:val="center"/>
          </w:tcPr>
          <w:p w14:paraId="00DD114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b/>
                <w:bCs/>
                <w:color w:val="auto"/>
                <w:kern w:val="0"/>
                <w:sz w:val="21"/>
                <w:szCs w:val="21"/>
                <w:lang w:val="en-US" w:eastAsia="zh-CN" w:bidi="ar"/>
              </w:rPr>
              <w:t>序号</w:t>
            </w:r>
          </w:p>
        </w:tc>
        <w:tc>
          <w:tcPr>
            <w:tcW w:w="1289" w:type="dxa"/>
            <w:vAlign w:val="center"/>
          </w:tcPr>
          <w:p w14:paraId="568FC08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b/>
                <w:bCs/>
                <w:color w:val="auto"/>
                <w:kern w:val="0"/>
                <w:sz w:val="21"/>
                <w:szCs w:val="21"/>
                <w:lang w:val="en-US" w:eastAsia="zh-CN" w:bidi="ar"/>
              </w:rPr>
              <w:t>监测内容</w:t>
            </w:r>
          </w:p>
        </w:tc>
        <w:tc>
          <w:tcPr>
            <w:tcW w:w="2133" w:type="dxa"/>
            <w:gridSpan w:val="2"/>
            <w:vAlign w:val="center"/>
          </w:tcPr>
          <w:p w14:paraId="4785B35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b/>
                <w:bCs/>
                <w:color w:val="auto"/>
                <w:kern w:val="0"/>
                <w:sz w:val="21"/>
                <w:szCs w:val="21"/>
                <w:lang w:val="en-US" w:eastAsia="zh-CN" w:bidi="ar"/>
              </w:rPr>
              <w:t>监测点位、范围</w:t>
            </w:r>
          </w:p>
        </w:tc>
        <w:tc>
          <w:tcPr>
            <w:tcW w:w="1215" w:type="dxa"/>
            <w:vAlign w:val="center"/>
          </w:tcPr>
          <w:p w14:paraId="18906AC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b/>
                <w:bCs/>
                <w:color w:val="auto"/>
                <w:kern w:val="0"/>
                <w:sz w:val="21"/>
                <w:szCs w:val="21"/>
                <w:lang w:val="en-US" w:eastAsia="zh-CN" w:bidi="ar"/>
              </w:rPr>
              <w:t>监测方法</w:t>
            </w:r>
          </w:p>
        </w:tc>
        <w:tc>
          <w:tcPr>
            <w:tcW w:w="1976" w:type="dxa"/>
            <w:vAlign w:val="center"/>
          </w:tcPr>
          <w:p w14:paraId="0E7C372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b/>
                <w:bCs/>
                <w:color w:val="auto"/>
                <w:kern w:val="0"/>
                <w:sz w:val="21"/>
                <w:szCs w:val="21"/>
                <w:lang w:val="en-US" w:eastAsia="zh-CN" w:bidi="ar"/>
              </w:rPr>
              <w:t>监测内容</w:t>
            </w:r>
          </w:p>
        </w:tc>
        <w:tc>
          <w:tcPr>
            <w:tcW w:w="1217" w:type="dxa"/>
            <w:vAlign w:val="center"/>
          </w:tcPr>
          <w:p w14:paraId="50F4D02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b/>
                <w:bCs/>
                <w:color w:val="auto"/>
                <w:kern w:val="0"/>
                <w:sz w:val="21"/>
                <w:szCs w:val="21"/>
                <w:lang w:val="en-US" w:eastAsia="zh-CN" w:bidi="ar"/>
              </w:rPr>
              <w:t>监测频次</w:t>
            </w:r>
          </w:p>
        </w:tc>
      </w:tr>
      <w:tr w14:paraId="4DD0A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6" w:type="dxa"/>
            <w:vAlign w:val="center"/>
          </w:tcPr>
          <w:p w14:paraId="7E610A7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w:t>
            </w:r>
          </w:p>
        </w:tc>
        <w:tc>
          <w:tcPr>
            <w:tcW w:w="1289" w:type="dxa"/>
            <w:vAlign w:val="center"/>
          </w:tcPr>
          <w:p w14:paraId="53D5929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植被监测</w:t>
            </w:r>
          </w:p>
        </w:tc>
        <w:tc>
          <w:tcPr>
            <w:tcW w:w="1096" w:type="dxa"/>
            <w:vMerge w:val="restart"/>
            <w:vAlign w:val="center"/>
          </w:tcPr>
          <w:p w14:paraId="4F21723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施工期共布设2个监测点位，其中临近段布设2个；</w:t>
            </w:r>
          </w:p>
          <w:p w14:paraId="7D8C8EE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运营期共布设2个监测点位，其中临近段布设2个。</w:t>
            </w:r>
          </w:p>
        </w:tc>
        <w:tc>
          <w:tcPr>
            <w:tcW w:w="1037" w:type="dxa"/>
            <w:vAlign w:val="center"/>
          </w:tcPr>
          <w:p w14:paraId="7961122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施工区域1000m范围内</w:t>
            </w:r>
          </w:p>
        </w:tc>
        <w:tc>
          <w:tcPr>
            <w:tcW w:w="1215" w:type="dxa"/>
            <w:vAlign w:val="center"/>
          </w:tcPr>
          <w:p w14:paraId="13E7282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样方调查和遥感监测相结合的方式进行。</w:t>
            </w:r>
          </w:p>
        </w:tc>
        <w:tc>
          <w:tcPr>
            <w:tcW w:w="1976" w:type="dxa"/>
            <w:vAlign w:val="center"/>
          </w:tcPr>
          <w:p w14:paraId="154EA78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植物资源生长状况、区系组成及特点，主要植被类型及分布；植被物种及其所占比例、面积、物候期、株高、优势度、覆盖度、天然更新状况等。</w:t>
            </w:r>
          </w:p>
        </w:tc>
        <w:tc>
          <w:tcPr>
            <w:tcW w:w="1217" w:type="dxa"/>
            <w:vAlign w:val="center"/>
          </w:tcPr>
          <w:p w14:paraId="52D3624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施工期每年监测2次，运营期前两年每年9月监测1次。</w:t>
            </w:r>
          </w:p>
        </w:tc>
      </w:tr>
      <w:tr w14:paraId="149F5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6" w:type="dxa"/>
            <w:vAlign w:val="center"/>
          </w:tcPr>
          <w:p w14:paraId="59CBF5A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w:t>
            </w:r>
          </w:p>
        </w:tc>
        <w:tc>
          <w:tcPr>
            <w:tcW w:w="1289" w:type="dxa"/>
            <w:vAlign w:val="center"/>
          </w:tcPr>
          <w:p w14:paraId="6E2F98F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动物监测</w:t>
            </w:r>
          </w:p>
        </w:tc>
        <w:tc>
          <w:tcPr>
            <w:tcW w:w="1096" w:type="dxa"/>
            <w:vMerge w:val="continue"/>
            <w:vAlign w:val="center"/>
          </w:tcPr>
          <w:p w14:paraId="3874B9A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1037" w:type="dxa"/>
            <w:vAlign w:val="center"/>
          </w:tcPr>
          <w:p w14:paraId="7AFC0B7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临近路段</w:t>
            </w:r>
          </w:p>
        </w:tc>
        <w:tc>
          <w:tcPr>
            <w:tcW w:w="1215" w:type="dxa"/>
            <w:vAlign w:val="center"/>
          </w:tcPr>
          <w:p w14:paraId="5525584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采用样线调查、红外相机监测方法。</w:t>
            </w:r>
          </w:p>
        </w:tc>
        <w:tc>
          <w:tcPr>
            <w:tcW w:w="1976" w:type="dxa"/>
            <w:vAlign w:val="center"/>
          </w:tcPr>
          <w:p w14:paraId="35C93DE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重点保护动物的数量、种类、繁殖栖息地、停歇地、分布等的变化关系。</w:t>
            </w:r>
          </w:p>
        </w:tc>
        <w:tc>
          <w:tcPr>
            <w:tcW w:w="1217" w:type="dxa"/>
            <w:vAlign w:val="center"/>
          </w:tcPr>
          <w:p w14:paraId="5EEA047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施工期每年监测2次，运营期前两年每年监测1次。</w:t>
            </w:r>
          </w:p>
        </w:tc>
      </w:tr>
    </w:tbl>
    <w:p w14:paraId="6B1DC262">
      <w:pPr>
        <w:pStyle w:val="4"/>
        <w:keepNext/>
        <w:keepLines w:val="0"/>
        <w:pageBreakBefore w:val="0"/>
        <w:widowControl w:val="0"/>
        <w:kinsoku/>
        <w:wordWrap/>
        <w:overflowPunct/>
        <w:topLinePunct w:val="0"/>
        <w:autoSpaceDE/>
        <w:autoSpaceDN/>
        <w:bidi w:val="0"/>
        <w:adjustRightInd w:val="0"/>
        <w:snapToGrid w:val="0"/>
        <w:spacing w:before="168" w:beforeLines="5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8.3.4 监测报告制度</w:t>
      </w:r>
    </w:p>
    <w:p w14:paraId="2783289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环境监测单位在每次监测工作结束后15天内应提交正式监测报告，并报交通行业主管部门和当地的环保部门。每年应有环境监测年报，若遇有突发性环境污染事故发生时，必须立即按有关程序上报。</w:t>
      </w:r>
    </w:p>
    <w:p w14:paraId="11EA050D">
      <w:pPr>
        <w:pStyle w:val="72"/>
        <w:spacing w:line="360" w:lineRule="auto"/>
        <w:rPr>
          <w:rFonts w:hint="default" w:ascii="Times New Roman" w:hAnsi="Times New Roman" w:eastAsia="宋体" w:cs="Times New Roman"/>
          <w:color w:val="auto"/>
        </w:rPr>
      </w:pPr>
    </w:p>
    <w:p w14:paraId="67153931">
      <w:pPr>
        <w:keepNext w:val="0"/>
        <w:keepLines w:val="0"/>
        <w:widowControl/>
        <w:suppressLineNumbers w:val="0"/>
        <w:jc w:val="left"/>
        <w:rPr>
          <w:rFonts w:hint="default" w:ascii="Times New Roman" w:hAnsi="Times New Roman" w:cs="Times New Roman"/>
          <w:color w:val="auto"/>
        </w:rPr>
        <w:sectPr>
          <w:pgSz w:w="11906" w:h="16838"/>
          <w:pgMar w:top="1440" w:right="1803" w:bottom="1440" w:left="1803" w:header="964" w:footer="737" w:gutter="0"/>
          <w:pgBorders>
            <w:top w:val="none" w:sz="0" w:space="0"/>
            <w:left w:val="none" w:sz="0" w:space="0"/>
            <w:bottom w:val="none" w:sz="0" w:space="0"/>
            <w:right w:val="none" w:sz="0" w:space="0"/>
          </w:pgBorders>
          <w:pgNumType w:fmt="decimal"/>
          <w:cols w:space="720" w:num="1"/>
          <w:docGrid w:type="linesAndChars" w:linePitch="333" w:charSpace="200"/>
        </w:sectPr>
      </w:pPr>
    </w:p>
    <w:p w14:paraId="5B525B11">
      <w:pPr>
        <w:pStyle w:val="2"/>
        <w:bidi w:val="0"/>
        <w:rPr>
          <w:rFonts w:hint="default" w:ascii="Times New Roman" w:hAnsi="Times New Roman" w:cs="Times New Roman"/>
          <w:color w:val="auto"/>
          <w:szCs w:val="32"/>
          <w:u w:val="none"/>
          <w:lang w:val="en-US"/>
        </w:rPr>
      </w:pPr>
      <w:bookmarkStart w:id="1753" w:name="_Toc5866"/>
      <w:bookmarkStart w:id="1754" w:name="_Toc16454"/>
      <w:bookmarkStart w:id="1755" w:name="_Toc63"/>
      <w:bookmarkStart w:id="1756" w:name="_Toc22563"/>
      <w:bookmarkStart w:id="1757" w:name="_Toc833"/>
      <w:bookmarkStart w:id="1758" w:name="_Toc13633"/>
      <w:bookmarkStart w:id="1759" w:name="_Toc29145"/>
      <w:bookmarkStart w:id="1760" w:name="_Toc13113"/>
      <w:bookmarkStart w:id="1761" w:name="_Toc12609"/>
      <w:bookmarkStart w:id="1762" w:name="_Toc19588"/>
      <w:bookmarkStart w:id="1763" w:name="_Toc12927"/>
      <w:bookmarkStart w:id="1764" w:name="_Toc6826"/>
      <w:bookmarkStart w:id="1765" w:name="_Toc30922"/>
      <w:bookmarkStart w:id="1766" w:name="_Toc27040"/>
      <w:bookmarkStart w:id="1767" w:name="_Toc9443"/>
      <w:bookmarkStart w:id="1768" w:name="_Toc8081"/>
      <w:bookmarkStart w:id="1769" w:name="_Toc28677"/>
      <w:bookmarkStart w:id="1770" w:name="_Toc11649"/>
      <w:bookmarkStart w:id="1771" w:name="_Toc20022"/>
      <w:bookmarkStart w:id="1772" w:name="_Toc15468390"/>
      <w:bookmarkStart w:id="1773" w:name="_Toc20469"/>
      <w:bookmarkStart w:id="1774" w:name="_Toc3296"/>
      <w:bookmarkStart w:id="1775" w:name="_Toc22469"/>
      <w:bookmarkStart w:id="1776" w:name="_Toc16593"/>
      <w:bookmarkStart w:id="1777" w:name="_Toc31546"/>
      <w:r>
        <w:rPr>
          <w:rFonts w:hint="default" w:ascii="Times New Roman" w:hAnsi="Times New Roman" w:cs="Times New Roman"/>
          <w:color w:val="auto"/>
          <w:lang w:val="en-US" w:eastAsia="zh-CN"/>
        </w:rPr>
        <w:t xml:space="preserve">9 </w:t>
      </w:r>
      <w:r>
        <w:rPr>
          <w:rFonts w:hint="default" w:ascii="Times New Roman" w:hAnsi="Times New Roman" w:cs="Times New Roman"/>
          <w:color w:val="auto"/>
          <w:lang w:val="en-US"/>
        </w:rPr>
        <w:t>结论及建议</w:t>
      </w:r>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p>
    <w:p w14:paraId="5988452B">
      <w:pPr>
        <w:pStyle w:val="3"/>
        <w:numPr>
          <w:ilvl w:val="1"/>
          <w:numId w:val="0"/>
        </w:numPr>
        <w:bidi w:val="0"/>
        <w:rPr>
          <w:rFonts w:hint="default" w:ascii="Times New Roman" w:hAnsi="Times New Roman" w:cs="Times New Roman"/>
          <w:color w:val="auto"/>
          <w:lang w:val="en-US" w:eastAsia="zh-CN"/>
        </w:rPr>
      </w:pPr>
      <w:bookmarkStart w:id="1778" w:name="_Toc205"/>
      <w:bookmarkStart w:id="1779" w:name="_Toc23537"/>
      <w:bookmarkStart w:id="1780" w:name="_Toc11581"/>
      <w:bookmarkStart w:id="1781" w:name="_Toc7850"/>
      <w:bookmarkStart w:id="1782" w:name="_Toc2802"/>
      <w:bookmarkStart w:id="1783" w:name="_Toc6736"/>
      <w:bookmarkStart w:id="1784" w:name="_Toc14326"/>
      <w:bookmarkStart w:id="1785" w:name="_Toc1590"/>
      <w:bookmarkStart w:id="1786" w:name="_Toc3568"/>
      <w:bookmarkStart w:id="1787" w:name="_Toc3046"/>
      <w:bookmarkStart w:id="1788" w:name="_Toc24415"/>
      <w:bookmarkStart w:id="1789" w:name="_Toc11123"/>
      <w:bookmarkStart w:id="1790" w:name="_Toc8877"/>
      <w:bookmarkStart w:id="1791" w:name="_Toc691"/>
      <w:bookmarkStart w:id="1792" w:name="_Toc25968"/>
      <w:bookmarkStart w:id="1793" w:name="_Toc20005"/>
      <w:bookmarkStart w:id="1794" w:name="_Toc25351"/>
      <w:bookmarkStart w:id="1795" w:name="_Toc10211"/>
      <w:bookmarkStart w:id="1796" w:name="_Toc5639"/>
      <w:bookmarkStart w:id="1797" w:name="_Toc3786"/>
      <w:bookmarkStart w:id="1798" w:name="_Toc15374"/>
      <w:bookmarkStart w:id="1799" w:name="_Toc1513"/>
      <w:bookmarkStart w:id="1800" w:name="_Toc28816"/>
      <w:bookmarkStart w:id="1801" w:name="_Toc15767"/>
      <w:bookmarkStart w:id="1802" w:name="_Toc32000"/>
      <w:bookmarkStart w:id="1803" w:name="_Toc25128"/>
      <w:bookmarkStart w:id="1804" w:name="_Toc17573"/>
      <w:bookmarkStart w:id="1805" w:name="_Toc17165"/>
      <w:bookmarkStart w:id="1806" w:name="_Toc27446"/>
      <w:bookmarkStart w:id="1807" w:name="_Toc31945"/>
      <w:bookmarkStart w:id="1808" w:name="_Toc8756"/>
      <w:bookmarkStart w:id="1809" w:name="_Toc4286"/>
      <w:bookmarkStart w:id="1810" w:name="_Toc27563"/>
      <w:bookmarkStart w:id="1811" w:name="_Toc7603"/>
      <w:bookmarkStart w:id="1812" w:name="_Toc11426"/>
      <w:bookmarkStart w:id="1813" w:name="_Toc6633"/>
      <w:bookmarkStart w:id="1814" w:name="_Toc20217"/>
      <w:bookmarkStart w:id="1815" w:name="_Toc12661"/>
      <w:bookmarkStart w:id="1816" w:name="_Toc6358"/>
      <w:bookmarkStart w:id="1817" w:name="_Toc8452"/>
      <w:bookmarkStart w:id="1818" w:name="_Toc3539"/>
      <w:bookmarkStart w:id="1819" w:name="_Toc187"/>
      <w:bookmarkStart w:id="1820" w:name="_Toc8623"/>
      <w:bookmarkStart w:id="1821" w:name="_Toc27702"/>
      <w:bookmarkStart w:id="1822" w:name="_Toc9896"/>
      <w:bookmarkStart w:id="1823" w:name="_Toc548"/>
      <w:bookmarkStart w:id="1824" w:name="_Toc32366"/>
      <w:bookmarkStart w:id="1825" w:name="_Toc31835"/>
      <w:bookmarkStart w:id="1826" w:name="_Toc10902"/>
      <w:bookmarkStart w:id="1827" w:name="_Toc25712"/>
      <w:bookmarkStart w:id="1828" w:name="_Toc15402"/>
      <w:bookmarkStart w:id="1829" w:name="_Toc28236"/>
      <w:bookmarkStart w:id="1830" w:name="_Toc25776"/>
      <w:bookmarkStart w:id="1831" w:name="_Toc30601"/>
      <w:bookmarkStart w:id="1832" w:name="_Toc4176"/>
      <w:bookmarkStart w:id="1833" w:name="_Toc6855"/>
      <w:bookmarkStart w:id="1834" w:name="_Toc132028300"/>
      <w:bookmarkStart w:id="1835" w:name="_Toc160529098"/>
      <w:bookmarkStart w:id="1836" w:name="_Toc133399824"/>
      <w:bookmarkStart w:id="1837" w:name="_Toc249506684"/>
      <w:bookmarkStart w:id="1838" w:name="_Toc194741043"/>
      <w:bookmarkStart w:id="1839" w:name="_Toc193083041"/>
      <w:bookmarkStart w:id="1840" w:name="_Toc131843693"/>
      <w:bookmarkStart w:id="1841" w:name="_Toc131936414"/>
      <w:bookmarkStart w:id="1842" w:name="_Toc160528940"/>
      <w:bookmarkStart w:id="1843" w:name="_Toc132956932"/>
      <w:bookmarkStart w:id="1844" w:name="_Toc131832482"/>
      <w:bookmarkStart w:id="1845" w:name="_Toc15957"/>
      <w:bookmarkStart w:id="1846" w:name="_Toc355784266"/>
      <w:bookmarkStart w:id="1847" w:name="_Toc332046982"/>
      <w:bookmarkStart w:id="1848" w:name="_Toc365647400"/>
      <w:bookmarkStart w:id="1849" w:name="_Toc32052"/>
      <w:bookmarkStart w:id="1850" w:name="_Toc7774"/>
      <w:bookmarkStart w:id="1851" w:name="_Toc404075567"/>
      <w:bookmarkStart w:id="1852" w:name="_Toc332114278"/>
      <w:bookmarkStart w:id="1853" w:name="_Toc26135"/>
      <w:bookmarkStart w:id="1854" w:name="_Toc17894"/>
      <w:bookmarkStart w:id="1855" w:name="_Toc342042404"/>
      <w:bookmarkStart w:id="1856" w:name="_Toc4503"/>
      <w:bookmarkStart w:id="1857" w:name="_Toc10845"/>
      <w:bookmarkStart w:id="1858" w:name="_Toc7052"/>
      <w:bookmarkStart w:id="1859" w:name="_Toc482529158"/>
      <w:bookmarkStart w:id="1860" w:name="_Toc19347"/>
      <w:bookmarkStart w:id="1861" w:name="_Toc9054"/>
      <w:bookmarkStart w:id="1862" w:name="_Toc14288"/>
      <w:bookmarkStart w:id="1863" w:name="_Toc5870"/>
      <w:bookmarkStart w:id="1864" w:name="_Toc18383"/>
      <w:bookmarkStart w:id="1865" w:name="_Toc14162"/>
      <w:bookmarkStart w:id="1866" w:name="_Toc11388"/>
      <w:bookmarkStart w:id="1867" w:name="_Toc27510"/>
      <w:bookmarkStart w:id="1868" w:name="_Toc7135"/>
      <w:bookmarkStart w:id="1869" w:name="_Toc3395"/>
      <w:bookmarkStart w:id="1870" w:name="_Toc351030031"/>
      <w:bookmarkStart w:id="1871" w:name="_Toc22593"/>
      <w:r>
        <w:rPr>
          <w:rFonts w:hint="default" w:ascii="Times New Roman" w:hAnsi="Times New Roman" w:cs="Times New Roman"/>
          <w:color w:val="auto"/>
          <w:lang w:val="en-US" w:eastAsia="zh-CN"/>
        </w:rPr>
        <w:t>9.1 环境影响评价结论</w:t>
      </w:r>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p>
    <w:p w14:paraId="6EDCD97B">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9</w:t>
      </w:r>
      <w:r>
        <w:rPr>
          <w:rFonts w:hint="default" w:ascii="Times New Roman" w:hAnsi="Times New Roman" w:cs="Times New Roman"/>
          <w:color w:val="auto"/>
        </w:rPr>
        <w:t>.1</w:t>
      </w:r>
      <w:bookmarkEnd w:id="1834"/>
      <w:bookmarkEnd w:id="1835"/>
      <w:bookmarkEnd w:id="1836"/>
      <w:bookmarkEnd w:id="1837"/>
      <w:bookmarkEnd w:id="1838"/>
      <w:bookmarkEnd w:id="1839"/>
      <w:bookmarkEnd w:id="1840"/>
      <w:bookmarkEnd w:id="1841"/>
      <w:bookmarkEnd w:id="1842"/>
      <w:bookmarkEnd w:id="1843"/>
      <w:bookmarkEnd w:id="1844"/>
      <w:r>
        <w:rPr>
          <w:rFonts w:hint="default" w:ascii="Times New Roman" w:hAnsi="Times New Roman" w:cs="Times New Roman"/>
          <w:color w:val="auto"/>
          <w:lang w:val="en-US" w:eastAsia="zh-CN"/>
        </w:rPr>
        <w:t xml:space="preserve">.1 </w:t>
      </w:r>
      <w:r>
        <w:rPr>
          <w:rFonts w:hint="default" w:ascii="Times New Roman" w:hAnsi="Times New Roman" w:cs="Times New Roman"/>
          <w:color w:val="auto"/>
        </w:rPr>
        <w:t>项目概况</w:t>
      </w:r>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p>
    <w:p w14:paraId="011DA09E">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kern w:val="0"/>
          <w:sz w:val="24"/>
          <w:szCs w:val="24"/>
          <w:lang w:val="en-US" w:eastAsia="zh-CN" w:bidi="ar"/>
        </w:rPr>
        <w:t>S227阿图什至喀什公路新建工程（隧道）</w:t>
      </w:r>
      <w:r>
        <w:rPr>
          <w:rFonts w:hint="default" w:ascii="Times New Roman" w:hAnsi="Times New Roman" w:eastAsia="宋体" w:cs="Times New Roman"/>
          <w:color w:val="auto"/>
          <w:sz w:val="24"/>
          <w:szCs w:val="24"/>
          <w:lang w:val="en-US" w:eastAsia="zh-CN"/>
        </w:rPr>
        <w:t>路线全长</w:t>
      </w:r>
      <w:r>
        <w:rPr>
          <w:rFonts w:hint="default" w:ascii="Times New Roman" w:hAnsi="Times New Roman" w:cs="Times New Roman"/>
          <w:color w:val="auto"/>
          <w:sz w:val="24"/>
          <w:szCs w:val="24"/>
          <w:lang w:val="en-US" w:eastAsia="zh-CN"/>
        </w:rPr>
        <w:t>5.385</w:t>
      </w:r>
      <w:r>
        <w:rPr>
          <w:rFonts w:hint="default" w:ascii="Times New Roman" w:hAnsi="Times New Roman" w:eastAsia="宋体" w:cs="Times New Roman"/>
          <w:color w:val="auto"/>
          <w:sz w:val="24"/>
          <w:szCs w:val="24"/>
          <w:lang w:val="en-US" w:eastAsia="zh-CN"/>
        </w:rPr>
        <w:t>km。按双向4车道高速公路标准建设，设计速度80km/h，桥梁275m/2座，设置隧道1149m（1162m）/1座，涵洞22道，平面交叉1处、分离式立交1处，收费站1处（与隧道管理站合建）。项目起点位于兰干塔格山北侧（兰干隧道进口处），顺接S227阿图什至喀什公路新建工程（道路）项目的终点，采用隧道结合明线形式穿越兰干塔格山（设置长隧道1座）后进入喀什经济开发区，终点位于喀什市经济开发区城东大道与横一路(规划)交叉路口。</w:t>
      </w:r>
      <w:r>
        <w:rPr>
          <w:rFonts w:hint="default" w:ascii="Times New Roman" w:hAnsi="Times New Roman" w:eastAsia="宋体" w:cs="Times New Roman"/>
          <w:color w:val="auto"/>
          <w:kern w:val="0"/>
          <w:sz w:val="24"/>
          <w:szCs w:val="24"/>
          <w:lang w:val="en-US" w:eastAsia="zh-CN" w:bidi="ar"/>
        </w:rPr>
        <w:t>永久占地面积为329923m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，临时占地为450133m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w:t>
      </w:r>
    </w:p>
    <w:p w14:paraId="1638B774">
      <w:pPr>
        <w:keepNext w:val="0"/>
        <w:keepLines w:val="0"/>
        <w:pageBreakBefore w:val="0"/>
        <w:widowControl/>
        <w:suppressLineNumbers w:val="0"/>
        <w:kinsoku/>
        <w:wordWrap/>
        <w:overflowPunct/>
        <w:topLinePunct w:val="0"/>
        <w:autoSpaceDE/>
        <w:autoSpaceDN/>
        <w:bidi w:val="0"/>
        <w:adjustRightInd w:val="0"/>
        <w:snapToGrid w:val="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highlight w:val="none"/>
          <w:lang w:val="en-US" w:eastAsia="zh-CN" w:bidi="ar"/>
        </w:rPr>
        <w:t>本工程环保投资</w:t>
      </w:r>
      <w:r>
        <w:rPr>
          <w:rFonts w:hint="default" w:ascii="Times New Roman" w:hAnsi="Times New Roman" w:cs="Times New Roman"/>
          <w:color w:val="auto"/>
          <w:kern w:val="0"/>
          <w:sz w:val="24"/>
          <w:szCs w:val="24"/>
          <w:highlight w:val="none"/>
          <w:lang w:val="en-US" w:eastAsia="zh-CN" w:bidi="ar"/>
        </w:rPr>
        <w:t>5</w:t>
      </w:r>
      <w:r>
        <w:rPr>
          <w:rFonts w:hint="eastAsia" w:cs="Times New Roman"/>
          <w:color w:val="auto"/>
          <w:kern w:val="0"/>
          <w:sz w:val="24"/>
          <w:szCs w:val="24"/>
          <w:highlight w:val="none"/>
          <w:lang w:val="en-US" w:eastAsia="zh-CN" w:bidi="ar"/>
        </w:rPr>
        <w:t>45</w:t>
      </w:r>
      <w:r>
        <w:rPr>
          <w:rFonts w:hint="default" w:ascii="Times New Roman" w:hAnsi="Times New Roman" w:eastAsia="宋体" w:cs="Times New Roman"/>
          <w:color w:val="auto"/>
          <w:kern w:val="0"/>
          <w:sz w:val="24"/>
          <w:szCs w:val="24"/>
          <w:highlight w:val="none"/>
          <w:lang w:val="en-US" w:eastAsia="zh-CN" w:bidi="ar"/>
        </w:rPr>
        <w:t>万元</w:t>
      </w:r>
      <w:r>
        <w:rPr>
          <w:rFonts w:hint="default" w:ascii="Times New Roman" w:hAnsi="Times New Roman" w:eastAsia="宋体" w:cs="Times New Roman"/>
          <w:color w:val="auto"/>
          <w:kern w:val="0"/>
          <w:sz w:val="24"/>
          <w:szCs w:val="24"/>
          <w:lang w:val="en-US" w:eastAsia="zh-CN" w:bidi="ar"/>
        </w:rPr>
        <w:t>，占总投资</w:t>
      </w:r>
      <w:r>
        <w:rPr>
          <w:rFonts w:hint="default" w:ascii="Times New Roman" w:hAnsi="Times New Roman" w:cs="Times New Roman"/>
          <w:color w:val="auto"/>
          <w:kern w:val="0"/>
          <w:sz w:val="24"/>
          <w:szCs w:val="24"/>
          <w:lang w:val="en-US" w:eastAsia="zh-CN" w:bidi="ar"/>
        </w:rPr>
        <w:t>59989.40</w:t>
      </w:r>
      <w:r>
        <w:rPr>
          <w:rFonts w:hint="default" w:ascii="Times New Roman" w:hAnsi="Times New Roman" w:eastAsia="宋体" w:cs="Times New Roman"/>
          <w:color w:val="auto"/>
          <w:kern w:val="0"/>
          <w:sz w:val="24"/>
          <w:szCs w:val="24"/>
          <w:lang w:val="en-US" w:eastAsia="zh-CN" w:bidi="ar"/>
        </w:rPr>
        <w:t>的</w:t>
      </w:r>
      <w:r>
        <w:rPr>
          <w:rFonts w:hint="default" w:ascii="Times New Roman" w:hAnsi="Times New Roman" w:cs="Times New Roman"/>
          <w:color w:val="auto"/>
          <w:kern w:val="0"/>
          <w:sz w:val="24"/>
          <w:szCs w:val="24"/>
          <w:lang w:val="en-US" w:eastAsia="zh-CN" w:bidi="ar"/>
        </w:rPr>
        <w:t>0.</w:t>
      </w:r>
      <w:r>
        <w:rPr>
          <w:rFonts w:hint="eastAsia" w:cs="Times New Roman"/>
          <w:color w:val="auto"/>
          <w:kern w:val="0"/>
          <w:sz w:val="24"/>
          <w:szCs w:val="24"/>
          <w:lang w:val="en-US" w:eastAsia="zh-CN" w:bidi="ar"/>
        </w:rPr>
        <w:t>91</w:t>
      </w:r>
      <w:r>
        <w:rPr>
          <w:rFonts w:hint="default" w:ascii="Times New Roman" w:hAnsi="Times New Roman" w:eastAsia="宋体" w:cs="Times New Roman"/>
          <w:color w:val="auto"/>
          <w:kern w:val="0"/>
          <w:sz w:val="24"/>
          <w:szCs w:val="24"/>
          <w:lang w:val="en-US" w:eastAsia="zh-CN" w:bidi="ar"/>
        </w:rPr>
        <w:t>%。</w:t>
      </w:r>
    </w:p>
    <w:p w14:paraId="2ACB2693">
      <w:pPr>
        <w:pStyle w:val="4"/>
        <w:bidi w:val="0"/>
        <w:rPr>
          <w:rFonts w:hint="default" w:ascii="Times New Roman" w:hAnsi="Times New Roman" w:eastAsia="宋体" w:cs="Times New Roman"/>
          <w:color w:val="auto"/>
          <w:lang w:val="en-US" w:eastAsia="zh-CN"/>
        </w:rPr>
      </w:pPr>
      <w:bookmarkStart w:id="1872" w:name="_Toc12740"/>
      <w:bookmarkStart w:id="1873" w:name="_Toc5425"/>
      <w:bookmarkStart w:id="1874" w:name="_Toc1085"/>
      <w:bookmarkStart w:id="1875" w:name="_Toc3924"/>
      <w:bookmarkStart w:id="1876" w:name="_Toc21710"/>
      <w:bookmarkStart w:id="1877" w:name="_Toc25761"/>
      <w:bookmarkStart w:id="1878" w:name="_Toc27580"/>
      <w:bookmarkStart w:id="1879" w:name="_Toc32139"/>
      <w:bookmarkStart w:id="1880" w:name="_Toc32573"/>
      <w:bookmarkStart w:id="1881" w:name="_Toc29835"/>
      <w:bookmarkStart w:id="1882" w:name="_Toc28921"/>
      <w:bookmarkStart w:id="1883" w:name="_Toc482529159"/>
      <w:bookmarkStart w:id="1884" w:name="_Toc27956"/>
      <w:bookmarkStart w:id="1885" w:name="_Toc5205"/>
      <w:bookmarkStart w:id="1886" w:name="_Toc9658"/>
      <w:r>
        <w:rPr>
          <w:rFonts w:hint="default" w:ascii="Times New Roman" w:hAnsi="Times New Roman" w:cs="Times New Roman"/>
          <w:color w:val="auto"/>
          <w:lang w:val="en-US" w:eastAsia="zh-CN"/>
        </w:rPr>
        <w:t>9</w:t>
      </w:r>
      <w:r>
        <w:rPr>
          <w:rFonts w:hint="default" w:ascii="Times New Roman" w:hAnsi="Times New Roman" w:cs="Times New Roman"/>
          <w:color w:val="auto"/>
        </w:rPr>
        <w:t>.</w:t>
      </w:r>
      <w:r>
        <w:rPr>
          <w:rFonts w:hint="default" w:ascii="Times New Roman" w:hAnsi="Times New Roman" w:cs="Times New Roman"/>
          <w:color w:val="auto"/>
          <w:lang w:val="en-US" w:eastAsia="zh-CN"/>
        </w:rPr>
        <w:t>1.</w:t>
      </w:r>
      <w:r>
        <w:rPr>
          <w:rFonts w:hint="default" w:ascii="Times New Roman" w:hAnsi="Times New Roman" w:cs="Times New Roman"/>
          <w:color w:val="auto"/>
        </w:rPr>
        <w:t>2</w:t>
      </w:r>
      <w:r>
        <w:rPr>
          <w:rFonts w:hint="default" w:ascii="Times New Roman" w:hAnsi="Times New Roman" w:cs="Times New Roman"/>
          <w:color w:val="auto"/>
          <w:lang w:val="en-US" w:eastAsia="zh-CN"/>
        </w:rPr>
        <w:t xml:space="preserve"> 区域</w:t>
      </w:r>
      <w:r>
        <w:rPr>
          <w:rFonts w:hint="default" w:ascii="Times New Roman" w:hAnsi="Times New Roman" w:cs="Times New Roman"/>
          <w:color w:val="auto"/>
        </w:rPr>
        <w:t>环境质量现状</w:t>
      </w:r>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r>
        <w:rPr>
          <w:rFonts w:hint="default" w:ascii="Times New Roman" w:hAnsi="Times New Roman" w:cs="Times New Roman"/>
          <w:color w:val="auto"/>
          <w:lang w:val="en-US" w:eastAsia="zh-CN"/>
        </w:rPr>
        <w:t>调查与评价</w:t>
      </w:r>
    </w:p>
    <w:p w14:paraId="1AEE152B">
      <w:pPr>
        <w:keepNext w:val="0"/>
        <w:keepLines w:val="0"/>
        <w:widowControl/>
        <w:suppressLineNumbers w:val="0"/>
        <w:jc w:val="left"/>
        <w:rPr>
          <w:rFonts w:hint="default" w:ascii="Times New Roman" w:hAnsi="Times New Roman" w:cs="Times New Roman"/>
          <w:b w:val="0"/>
          <w:bCs w:val="0"/>
          <w:color w:val="auto"/>
          <w:sz w:val="24"/>
          <w:szCs w:val="24"/>
        </w:rPr>
      </w:pPr>
      <w:r>
        <w:rPr>
          <w:rFonts w:hint="default" w:ascii="Times New Roman" w:hAnsi="Times New Roman" w:cs="Times New Roman"/>
          <w:color w:val="auto"/>
          <w:lang w:eastAsia="zh-CN"/>
        </w:rPr>
        <w:t>（</w:t>
      </w:r>
      <w:r>
        <w:rPr>
          <w:rFonts w:hint="default" w:ascii="Times New Roman" w:hAnsi="Times New Roman" w:cs="Times New Roman"/>
          <w:b w:val="0"/>
          <w:bCs w:val="0"/>
          <w:color w:val="auto"/>
          <w:sz w:val="24"/>
          <w:szCs w:val="24"/>
          <w:lang w:val="en-US" w:eastAsia="zh-CN"/>
        </w:rPr>
        <w:t>1</w:t>
      </w:r>
      <w:r>
        <w:rPr>
          <w:rFonts w:hint="default" w:ascii="Times New Roman" w:hAnsi="Times New Roman" w:cs="Times New Roman"/>
          <w:b w:val="0"/>
          <w:bCs w:val="0"/>
          <w:color w:val="auto"/>
          <w:sz w:val="24"/>
          <w:szCs w:val="24"/>
          <w:lang w:eastAsia="zh-CN"/>
        </w:rPr>
        <w:t>）</w:t>
      </w:r>
      <w:r>
        <w:rPr>
          <w:rFonts w:hint="default" w:ascii="Times New Roman" w:hAnsi="Times New Roman" w:eastAsia="宋体" w:cs="Times New Roman"/>
          <w:b w:val="0"/>
          <w:bCs w:val="0"/>
          <w:color w:val="auto"/>
          <w:kern w:val="0"/>
          <w:sz w:val="24"/>
          <w:szCs w:val="24"/>
          <w:lang w:val="en-US" w:eastAsia="zh-CN" w:bidi="ar"/>
        </w:rPr>
        <w:t>生态环境现状调查</w:t>
      </w:r>
    </w:p>
    <w:p w14:paraId="50F77F7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b w:val="0"/>
          <w:bCs w:val="0"/>
          <w:color w:val="auto"/>
          <w:kern w:val="0"/>
          <w:sz w:val="24"/>
          <w:szCs w:val="24"/>
          <w:lang w:val="en-US" w:eastAsia="zh-CN" w:bidi="ar"/>
        </w:rPr>
        <w:t>根据《新疆生态功能区划》，本工程沿线地区均属Ⅳ塔里木盆地暖温荒漠及绿洲农业生态区，Ⅳ1 塔里木盆地西部、北部荒漠及绿洲农业生态亚区，57.喀什三角洲绿洲农业盐渍化敏感</w:t>
      </w:r>
      <w:r>
        <w:rPr>
          <w:rFonts w:hint="default" w:ascii="Times New Roman" w:hAnsi="Times New Roman" w:eastAsia="宋体" w:cs="Times New Roman"/>
          <w:color w:val="auto"/>
          <w:kern w:val="0"/>
          <w:sz w:val="24"/>
          <w:szCs w:val="24"/>
          <w:lang w:val="en-US" w:eastAsia="zh-CN" w:bidi="ar"/>
        </w:rPr>
        <w:t>生态功能区，项目占地范围内植被主要为人工植被，林木主要为杨树、柳树，农田主要种植玉米、棉花，本工程所在区域由于长期从事农业生产活动及其他经济活动的影响，野生动物较少，主要为人工饲养的家畜家禽，此外还有一些常见小型哺乳类动物。</w:t>
      </w:r>
    </w:p>
    <w:p w14:paraId="336F76ED">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本工程评价范围内无自然保护区、风景名胜区、水源保护区等生态特殊敏感区，项目公路沿线主要生态保护目标为道路两侧林地、农田和野生动植物。</w:t>
      </w:r>
    </w:p>
    <w:p w14:paraId="3ECBC005">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现状评价结论认为：评价范围内以荒漠和绿洲生态为主，环境的功能具有一定的稳定性及可持续发展性，具有一定的承受干扰的能力及生态完整性。</w:t>
      </w:r>
    </w:p>
    <w:p w14:paraId="708DBA49">
      <w:pPr>
        <w:keepNext w:val="0"/>
        <w:keepLines w:val="0"/>
        <w:widowControl/>
        <w:suppressLineNumbers w:val="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w:t>
      </w:r>
      <w:r>
        <w:rPr>
          <w:rFonts w:hint="default" w:ascii="Times New Roman" w:hAnsi="Times New Roman" w:eastAsia="宋体" w:cs="Times New Roman"/>
          <w:b w:val="0"/>
          <w:bCs w:val="0"/>
          <w:color w:val="auto"/>
          <w:sz w:val="24"/>
          <w:szCs w:val="24"/>
          <w:lang w:val="en-US" w:eastAsia="zh-CN"/>
        </w:rPr>
        <w:t>2</w:t>
      </w:r>
      <w:r>
        <w:rPr>
          <w:rFonts w:hint="default" w:ascii="Times New Roman" w:hAnsi="Times New Roman" w:eastAsia="宋体" w:cs="Times New Roman"/>
          <w:b w:val="0"/>
          <w:bCs w:val="0"/>
          <w:color w:val="auto"/>
          <w:sz w:val="24"/>
          <w:szCs w:val="24"/>
        </w:rPr>
        <w:t>）</w:t>
      </w:r>
      <w:r>
        <w:rPr>
          <w:rFonts w:hint="default" w:ascii="Times New Roman" w:hAnsi="Times New Roman" w:eastAsia="宋体" w:cs="Times New Roman"/>
          <w:b w:val="0"/>
          <w:bCs w:val="0"/>
          <w:color w:val="auto"/>
          <w:kern w:val="0"/>
          <w:sz w:val="24"/>
          <w:szCs w:val="24"/>
          <w:lang w:val="en-US" w:eastAsia="zh-CN" w:bidi="ar"/>
        </w:rPr>
        <w:t>环境空气现状调查</w:t>
      </w:r>
    </w:p>
    <w:p w14:paraId="4C39FEF8">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本次评价选择</w:t>
      </w:r>
      <w:r>
        <w:rPr>
          <w:rFonts w:hint="default" w:ascii="Times New Roman" w:hAnsi="Times New Roman" w:cs="Times New Roman"/>
          <w:color w:val="auto"/>
          <w:kern w:val="0"/>
          <w:sz w:val="24"/>
          <w:lang w:bidi="ar"/>
        </w:rPr>
        <w:t>中华人民共和国生态环境部环境工程评估中心发布的</w:t>
      </w:r>
      <w:r>
        <w:rPr>
          <w:rFonts w:hint="default" w:ascii="Times New Roman" w:hAnsi="Times New Roman" w:cs="Times New Roman"/>
          <w:color w:val="auto"/>
          <w:kern w:val="0"/>
          <w:sz w:val="24"/>
          <w:highlight w:val="none"/>
          <w:lang w:bidi="ar"/>
        </w:rPr>
        <w:t>“环境空气质量模型技术支持服务系统”</w:t>
      </w:r>
      <w:r>
        <w:rPr>
          <w:rFonts w:hint="default" w:ascii="Times New Roman" w:hAnsi="Times New Roman" w:cs="Times New Roman"/>
          <w:color w:val="auto"/>
          <w:kern w:val="0"/>
          <w:sz w:val="24"/>
          <w:lang w:val="en-US" w:eastAsia="zh-CN" w:bidi="ar"/>
        </w:rPr>
        <w:t>喀什地区</w:t>
      </w:r>
      <w:r>
        <w:rPr>
          <w:rFonts w:hint="default" w:ascii="Times New Roman" w:hAnsi="Times New Roman" w:cs="Times New Roman"/>
          <w:color w:val="auto"/>
          <w:kern w:val="0"/>
          <w:sz w:val="24"/>
          <w:highlight w:val="none"/>
          <w:lang w:bidi="ar"/>
        </w:rPr>
        <w:t>202</w:t>
      </w:r>
      <w:r>
        <w:rPr>
          <w:rFonts w:hint="default" w:ascii="Times New Roman" w:hAnsi="Times New Roman" w:cs="Times New Roman"/>
          <w:color w:val="auto"/>
          <w:kern w:val="0"/>
          <w:sz w:val="24"/>
          <w:highlight w:val="none"/>
          <w:lang w:val="en-US" w:eastAsia="zh-CN" w:bidi="ar"/>
        </w:rPr>
        <w:t>4</w:t>
      </w:r>
      <w:r>
        <w:rPr>
          <w:rFonts w:hint="default" w:ascii="Times New Roman" w:hAnsi="Times New Roman" w:cs="Times New Roman"/>
          <w:color w:val="auto"/>
          <w:kern w:val="0"/>
          <w:sz w:val="24"/>
          <w:highlight w:val="none"/>
          <w:lang w:bidi="ar"/>
        </w:rPr>
        <w:t>年</w:t>
      </w:r>
      <w:r>
        <w:rPr>
          <w:rFonts w:hint="default" w:ascii="Times New Roman" w:hAnsi="Times New Roman" w:cs="Times New Roman"/>
          <w:color w:val="auto"/>
          <w:kern w:val="0"/>
          <w:sz w:val="24"/>
          <w:lang w:bidi="ar"/>
        </w:rPr>
        <w:t>大气环境达标区判定数据</w:t>
      </w:r>
      <w:r>
        <w:rPr>
          <w:rFonts w:hint="default" w:ascii="Times New Roman" w:hAnsi="Times New Roman" w:eastAsia="宋体" w:cs="Times New Roman"/>
          <w:color w:val="auto"/>
          <w:kern w:val="0"/>
          <w:sz w:val="24"/>
          <w:szCs w:val="24"/>
          <w:lang w:val="en-US" w:eastAsia="zh-CN" w:bidi="ar"/>
        </w:rPr>
        <w:t>，作为各地区环境空气现状评价基本污染物SO</w:t>
      </w:r>
      <w:r>
        <w:rPr>
          <w:rFonts w:hint="default" w:ascii="Times New Roman" w:hAnsi="Times New Roman" w:eastAsia="宋体" w:cs="Times New Roman"/>
          <w:color w:val="auto"/>
          <w:kern w:val="0"/>
          <w:sz w:val="24"/>
          <w:szCs w:val="24"/>
          <w:vertAlign w:val="subscript"/>
          <w:lang w:val="en-US" w:eastAsia="zh-CN" w:bidi="ar"/>
        </w:rPr>
        <w:t>2</w:t>
      </w:r>
      <w:r>
        <w:rPr>
          <w:rFonts w:hint="default" w:ascii="Times New Roman" w:hAnsi="Times New Roman" w:eastAsia="宋体" w:cs="Times New Roman"/>
          <w:color w:val="auto"/>
          <w:kern w:val="0"/>
          <w:sz w:val="24"/>
          <w:szCs w:val="24"/>
          <w:lang w:val="en-US" w:eastAsia="zh-CN" w:bidi="ar"/>
        </w:rPr>
        <w:t>、NO</w:t>
      </w:r>
      <w:r>
        <w:rPr>
          <w:rFonts w:hint="default" w:ascii="Times New Roman" w:hAnsi="Times New Roman" w:eastAsia="宋体" w:cs="Times New Roman"/>
          <w:color w:val="auto"/>
          <w:kern w:val="0"/>
          <w:sz w:val="24"/>
          <w:szCs w:val="24"/>
          <w:vertAlign w:val="subscript"/>
          <w:lang w:val="en-US" w:eastAsia="zh-CN" w:bidi="ar"/>
        </w:rPr>
        <w:t>2</w:t>
      </w:r>
      <w:r>
        <w:rPr>
          <w:rFonts w:hint="default" w:ascii="Times New Roman" w:hAnsi="Times New Roman" w:eastAsia="宋体" w:cs="Times New Roman"/>
          <w:color w:val="auto"/>
          <w:kern w:val="0"/>
          <w:sz w:val="24"/>
          <w:szCs w:val="24"/>
          <w:lang w:val="en-US" w:eastAsia="zh-CN" w:bidi="ar"/>
        </w:rPr>
        <w:t>、PM</w:t>
      </w:r>
      <w:r>
        <w:rPr>
          <w:rFonts w:hint="default" w:ascii="Times New Roman" w:hAnsi="Times New Roman" w:eastAsia="宋体" w:cs="Times New Roman"/>
          <w:color w:val="auto"/>
          <w:kern w:val="0"/>
          <w:sz w:val="24"/>
          <w:szCs w:val="24"/>
          <w:vertAlign w:val="subscript"/>
          <w:lang w:val="en-US" w:eastAsia="zh-CN" w:bidi="ar"/>
        </w:rPr>
        <w:t>10</w:t>
      </w:r>
      <w:r>
        <w:rPr>
          <w:rFonts w:hint="default" w:ascii="Times New Roman" w:hAnsi="Times New Roman" w:eastAsia="宋体" w:cs="Times New Roman"/>
          <w:color w:val="auto"/>
          <w:kern w:val="0"/>
          <w:sz w:val="24"/>
          <w:szCs w:val="24"/>
          <w:lang w:val="en-US" w:eastAsia="zh-CN" w:bidi="ar"/>
        </w:rPr>
        <w:t>、PM</w:t>
      </w:r>
      <w:r>
        <w:rPr>
          <w:rFonts w:hint="default" w:ascii="Times New Roman" w:hAnsi="Times New Roman" w:eastAsia="宋体" w:cs="Times New Roman"/>
          <w:color w:val="auto"/>
          <w:kern w:val="0"/>
          <w:sz w:val="24"/>
          <w:szCs w:val="24"/>
          <w:vertAlign w:val="subscript"/>
          <w:lang w:val="en-US" w:eastAsia="zh-CN" w:bidi="ar"/>
        </w:rPr>
        <w:t>2.5</w:t>
      </w:r>
      <w:r>
        <w:rPr>
          <w:rFonts w:hint="default" w:ascii="Times New Roman" w:hAnsi="Times New Roman" w:eastAsia="宋体" w:cs="Times New Roman"/>
          <w:color w:val="auto"/>
          <w:kern w:val="0"/>
          <w:sz w:val="24"/>
          <w:szCs w:val="24"/>
          <w:lang w:val="en-US" w:eastAsia="zh-CN" w:bidi="ar"/>
        </w:rPr>
        <w:t>、CO的数据来源。</w:t>
      </w:r>
    </w:p>
    <w:p w14:paraId="0D9DF354">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cs="Times New Roman"/>
          <w:color w:val="auto"/>
          <w:sz w:val="24"/>
        </w:rPr>
        <w:t>项目所在区域SO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、NO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、PM</w:t>
      </w:r>
      <w:r>
        <w:rPr>
          <w:rFonts w:hint="default" w:ascii="Times New Roman" w:hAnsi="Times New Roman" w:cs="Times New Roman"/>
          <w:color w:val="auto"/>
          <w:sz w:val="24"/>
          <w:vertAlign w:val="subscript"/>
        </w:rPr>
        <w:t>2.5</w:t>
      </w:r>
      <w:r>
        <w:rPr>
          <w:rFonts w:hint="default" w:ascii="Times New Roman" w:hAnsi="Times New Roman" w:cs="Times New Roman"/>
          <w:color w:val="auto"/>
          <w:sz w:val="24"/>
        </w:rPr>
        <w:t>年平均浓度均满足《环境空气质量标准》（GB3095-2012）的二级标准要求；O</w:t>
      </w:r>
      <w:r>
        <w:rPr>
          <w:rFonts w:hint="default" w:ascii="Times New Roman" w:hAnsi="Times New Roman" w:cs="Times New Roman"/>
          <w:color w:val="auto"/>
          <w:sz w:val="24"/>
          <w:vertAlign w:val="subscript"/>
        </w:rPr>
        <w:t>3</w:t>
      </w:r>
      <w:r>
        <w:rPr>
          <w:rFonts w:hint="default" w:ascii="Times New Roman" w:hAnsi="Times New Roman" w:cs="Times New Roman"/>
          <w:color w:val="auto"/>
          <w:sz w:val="24"/>
        </w:rPr>
        <w:t>最大8小时第90 百分位数日平均浓度及CO第95百分位数日平均浓度均满足《环境空气质量标准》（GB3095-2012）的二级标准要求；PM</w:t>
      </w:r>
      <w:r>
        <w:rPr>
          <w:rFonts w:hint="default" w:ascii="Times New Roman" w:hAnsi="Times New Roman" w:cs="Times New Roman"/>
          <w:color w:val="auto"/>
          <w:sz w:val="24"/>
          <w:vertAlign w:val="subscript"/>
        </w:rPr>
        <w:t>10</w:t>
      </w:r>
      <w:r>
        <w:rPr>
          <w:rFonts w:hint="default" w:ascii="Times New Roman" w:hAnsi="Times New Roman" w:cs="Times New Roman"/>
          <w:color w:val="auto"/>
          <w:sz w:val="24"/>
        </w:rPr>
        <w:t>年平均浓度不满足《环境空气质量标准》（GB3095-2012）的二级标准要求，故本项目所在区域为不达标区域。</w:t>
      </w:r>
    </w:p>
    <w:p w14:paraId="37A41721">
      <w:pPr>
        <w:ind w:firstLine="480"/>
        <w:rPr>
          <w:rFonts w:hint="default" w:ascii="Times New Roman" w:hAnsi="Times New Roman" w:eastAsia="宋体" w:cs="Times New Roman"/>
          <w:color w:val="auto"/>
          <w:lang w:eastAsia="zh-CN"/>
        </w:rPr>
      </w:pPr>
      <w:r>
        <w:rPr>
          <w:rFonts w:hint="default" w:ascii="Times New Roman" w:hAnsi="Times New Roman" w:cs="Times New Roman"/>
          <w:color w:val="auto"/>
        </w:rPr>
        <w:t>（</w:t>
      </w:r>
      <w:r>
        <w:rPr>
          <w:rFonts w:hint="default" w:ascii="Times New Roman" w:hAnsi="Times New Roman" w:cs="Times New Roman"/>
          <w:color w:val="auto"/>
          <w:lang w:val="en-US" w:eastAsia="zh-CN"/>
        </w:rPr>
        <w:t>3</w:t>
      </w:r>
      <w:r>
        <w:rPr>
          <w:rFonts w:hint="default" w:ascii="Times New Roman" w:hAnsi="Times New Roman" w:cs="Times New Roman"/>
          <w:color w:val="auto"/>
        </w:rPr>
        <w:t>）水环境现状</w:t>
      </w:r>
      <w:r>
        <w:rPr>
          <w:rFonts w:hint="default" w:ascii="Times New Roman" w:hAnsi="Times New Roman" w:cs="Times New Roman"/>
          <w:color w:val="auto"/>
          <w:lang w:val="en-US" w:eastAsia="zh-CN"/>
        </w:rPr>
        <w:t>调查</w:t>
      </w:r>
    </w:p>
    <w:p w14:paraId="1942641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kern w:val="0"/>
          <w:sz w:val="24"/>
          <w:szCs w:val="24"/>
          <w:lang w:val="en-US" w:eastAsia="zh-CN" w:bidi="ar"/>
        </w:rPr>
        <w:t>本项目为线性工程，项目沿线涉及阿图什市、喀什市境内，项目区距离最近河流为恰克马克河，位于项目区北侧2.7km</w:t>
      </w:r>
      <w:r>
        <w:rPr>
          <w:rFonts w:hint="default" w:ascii="Times New Roman" w:hAnsi="Times New Roman" w:eastAsia="宋体" w:cs="Times New Roman"/>
          <w:color w:val="auto"/>
          <w:kern w:val="0"/>
          <w:sz w:val="24"/>
          <w:szCs w:val="24"/>
          <w:lang w:val="en-US" w:eastAsia="zh-CN" w:bidi="ar"/>
        </w:rPr>
        <w:t>。</w:t>
      </w:r>
    </w:p>
    <w:p w14:paraId="38E03F2C">
      <w:pPr>
        <w:ind w:firstLine="480"/>
        <w:rPr>
          <w:rFonts w:hint="default" w:ascii="Times New Roman" w:hAnsi="Times New Roman" w:eastAsia="宋体" w:cs="Times New Roman"/>
          <w:color w:val="auto"/>
          <w:lang w:eastAsia="zh-CN"/>
        </w:rPr>
      </w:pPr>
      <w:r>
        <w:rPr>
          <w:rFonts w:hint="default" w:ascii="Times New Roman" w:hAnsi="Times New Roman" w:cs="Times New Roman"/>
          <w:color w:val="auto"/>
        </w:rPr>
        <w:t>（</w:t>
      </w:r>
      <w:r>
        <w:rPr>
          <w:rFonts w:hint="default" w:ascii="Times New Roman" w:hAnsi="Times New Roman" w:cs="Times New Roman"/>
          <w:color w:val="auto"/>
          <w:lang w:val="en-US" w:eastAsia="zh-CN"/>
        </w:rPr>
        <w:t>4</w:t>
      </w:r>
      <w:r>
        <w:rPr>
          <w:rFonts w:hint="default" w:ascii="Times New Roman" w:hAnsi="Times New Roman" w:cs="Times New Roman"/>
          <w:color w:val="auto"/>
        </w:rPr>
        <w:t>）声环境现状</w:t>
      </w:r>
      <w:r>
        <w:rPr>
          <w:rFonts w:hint="default" w:ascii="Times New Roman" w:hAnsi="Times New Roman" w:cs="Times New Roman"/>
          <w:color w:val="auto"/>
          <w:lang w:val="en-US" w:eastAsia="zh-CN"/>
        </w:rPr>
        <w:t>调查</w:t>
      </w:r>
    </w:p>
    <w:p w14:paraId="6EE5D7D9">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本工程为新建项目，</w:t>
      </w:r>
      <w:r>
        <w:rPr>
          <w:rFonts w:hint="default" w:ascii="Times New Roman" w:hAnsi="Times New Roman" w:cs="Times New Roman"/>
          <w:color w:val="auto"/>
          <w:kern w:val="0"/>
          <w:sz w:val="24"/>
          <w:szCs w:val="24"/>
          <w:lang w:val="en-US" w:eastAsia="zh-CN" w:bidi="ar"/>
        </w:rPr>
        <w:t>不涉及声环境敏感目标，项目沿线监</w:t>
      </w:r>
      <w:r>
        <w:rPr>
          <w:rFonts w:hint="default" w:ascii="Times New Roman" w:hAnsi="Times New Roman" w:eastAsia="宋体" w:cs="Times New Roman"/>
          <w:color w:val="auto"/>
          <w:kern w:val="0"/>
          <w:sz w:val="24"/>
          <w:szCs w:val="24"/>
          <w:lang w:val="en-US" w:eastAsia="zh-CN" w:bidi="ar"/>
        </w:rPr>
        <w:t>测结果表明，目前各监测点的昼、夜间噪声监测值均可以达到《声环境质量标准》（GB 3096-2008）2类标准。项目区声环境质量较好。</w:t>
      </w:r>
    </w:p>
    <w:p w14:paraId="7AF64BB7">
      <w:pPr>
        <w:pStyle w:val="3"/>
        <w:numPr>
          <w:ilvl w:val="1"/>
          <w:numId w:val="0"/>
        </w:numPr>
        <w:bidi w:val="0"/>
        <w:rPr>
          <w:rFonts w:hint="default" w:ascii="Times New Roman" w:hAnsi="Times New Roman" w:cs="Times New Roman"/>
          <w:color w:val="auto"/>
        </w:rPr>
      </w:pPr>
      <w:bookmarkStart w:id="1887" w:name="_Toc11900"/>
      <w:bookmarkStart w:id="1888" w:name="_Toc9682"/>
      <w:bookmarkStart w:id="1889" w:name="_Toc12031"/>
      <w:bookmarkStart w:id="1890" w:name="_Toc5896"/>
      <w:bookmarkStart w:id="1891" w:name="_Toc20769"/>
      <w:r>
        <w:rPr>
          <w:rFonts w:hint="default" w:ascii="Times New Roman" w:hAnsi="Times New Roman" w:cs="Times New Roman"/>
          <w:color w:val="auto"/>
          <w:lang w:val="en-US" w:eastAsia="zh-CN"/>
        </w:rPr>
        <w:t>9.2 主要环境影响</w:t>
      </w:r>
      <w:bookmarkEnd w:id="1887"/>
      <w:bookmarkEnd w:id="1888"/>
      <w:bookmarkEnd w:id="1889"/>
      <w:bookmarkEnd w:id="1890"/>
      <w:bookmarkEnd w:id="1891"/>
    </w:p>
    <w:p w14:paraId="7BBCFDC9">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9.2.1 生态影响评价结论</w:t>
      </w:r>
    </w:p>
    <w:p w14:paraId="718C4F79">
      <w:pPr>
        <w:keepNext w:val="0"/>
        <w:keepLines w:val="0"/>
        <w:widowControl/>
        <w:suppressLineNumbers w:val="0"/>
        <w:jc w:val="both"/>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本项目永久占地面积为329923m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，临时占地为450133m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不占用基本农田）。本项目永久占地会对当地现有的土地资源和农业生产产生一定的影响，但是相对土地资源的占用率很小。此外，临时占地施工结束后会及时进行生态恢复，因此临时占地的影响也是短暂的。综上，本项目工程占地对区域土地资源与农业生产影响可以接受。</w:t>
      </w:r>
    </w:p>
    <w:p w14:paraId="1381010D">
      <w:pPr>
        <w:keepNext w:val="0"/>
        <w:keepLines w:val="0"/>
        <w:widowControl/>
        <w:suppressLineNumbers w:val="0"/>
        <w:jc w:val="both"/>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工程建设后造成评价范围内植被生物量损失约为94.53t/a。项目破坏植被对占地范围内的生物量有一定的影响。公路的建设使植被生物量减少和丧失是公路工程产生的主要负面影响之一，施工期由于碾压、施工人员踩踏等，施工作业周围的植被将遭到破坏，但施工期影响是短期的、可恢复的。</w:t>
      </w:r>
    </w:p>
    <w:p w14:paraId="329B2F7A">
      <w:pPr>
        <w:keepNext w:val="0"/>
        <w:keepLines w:val="0"/>
        <w:widowControl/>
        <w:suppressLineNumbers w:val="0"/>
        <w:jc w:val="both"/>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本项目公路沿线两侧1km范围内野生动物相对较少，主要为一些啮齿类小型哺乳动物。因此，本项目运营期产生的噪声对区域野生动物影响较小。</w:t>
      </w:r>
    </w:p>
    <w:p w14:paraId="71CCFE2F">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9.2.2 环境空气评价结论</w:t>
      </w:r>
    </w:p>
    <w:p w14:paraId="426B16F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施工期路基填筑过程中，以施工道路车辆运输引起的扬尘为主，据对公路施工现场的调查，汽车行驶引起的路面扬尘和施工区扬尘对周围环境的影响最突出。沥青的熔融、搅拌、摊铺时会产生以THC、TSP和BaP为主的烟尘，其中THC和BaP为有害物质，对空气将造成一定的污染，对人体也有伤害。类比可知，拟建项目沿线各路段CO及NO</w:t>
      </w:r>
      <w:r>
        <w:rPr>
          <w:rFonts w:hint="default" w:ascii="Times New Roman" w:hAnsi="Times New Roman" w:eastAsia="宋体" w:cs="Times New Roman"/>
          <w:color w:val="auto"/>
          <w:kern w:val="0"/>
          <w:sz w:val="16"/>
          <w:szCs w:val="16"/>
          <w:lang w:val="en-US" w:eastAsia="zh-CN" w:bidi="ar"/>
        </w:rPr>
        <w:t>2</w:t>
      </w:r>
      <w:r>
        <w:rPr>
          <w:rFonts w:hint="default" w:ascii="Times New Roman" w:hAnsi="Times New Roman" w:eastAsia="宋体" w:cs="Times New Roman"/>
          <w:color w:val="auto"/>
          <w:kern w:val="0"/>
          <w:sz w:val="24"/>
          <w:szCs w:val="24"/>
          <w:lang w:val="en-US" w:eastAsia="zh-CN" w:bidi="ar"/>
        </w:rPr>
        <w:t>在营运近中期均无超标现象。</w:t>
      </w:r>
    </w:p>
    <w:p w14:paraId="6EF20AAB">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9.2.3 水环境影响评价结论</w:t>
      </w:r>
    </w:p>
    <w:p w14:paraId="4060E9B9">
      <w:pPr>
        <w:keepNext w:val="0"/>
        <w:keepLines w:val="0"/>
        <w:widowControl/>
        <w:suppressLineNumbers w:val="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本项目线路不涉及地表水体</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cs="Times New Roman"/>
          <w:color w:val="auto"/>
          <w:kern w:val="0"/>
          <w:sz w:val="24"/>
          <w:szCs w:val="24"/>
          <w:lang w:val="en-US" w:eastAsia="zh-CN" w:bidi="ar"/>
        </w:rPr>
        <w:t>施工临时区选择远离水体布置，施工废水及生活污水经处理后回用或达标排放，对周边水环境影响较小。运营期</w:t>
      </w:r>
      <w:r>
        <w:rPr>
          <w:rFonts w:hint="eastAsia" w:cs="Times New Roman"/>
          <w:color w:val="auto"/>
          <w:kern w:val="0"/>
          <w:sz w:val="24"/>
          <w:szCs w:val="24"/>
          <w:lang w:val="en-US" w:eastAsia="zh-CN" w:bidi="ar"/>
        </w:rPr>
        <w:t>路线不经过水体</w:t>
      </w:r>
      <w:r>
        <w:rPr>
          <w:rFonts w:hint="default" w:ascii="Times New Roman" w:hAnsi="Times New Roman" w:cs="Times New Roman"/>
          <w:color w:val="auto"/>
          <w:kern w:val="0"/>
          <w:sz w:val="24"/>
          <w:szCs w:val="24"/>
          <w:lang w:val="en-US" w:eastAsia="zh-CN" w:bidi="ar"/>
        </w:rPr>
        <w:t>。同时，项目采取了一系列严格的水环境保护措施，如禁止在河流路段设置取土场、弃渣场等临时设施，加强对施工用水的管理等，进一步降低了对水环境的潜在影响。综合来看，本项目对水环境的影响处于可接受范围。</w:t>
      </w:r>
    </w:p>
    <w:p w14:paraId="74EE61A0">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9.2.4 声环境影响评价结论</w:t>
      </w:r>
    </w:p>
    <w:p w14:paraId="519B5747">
      <w:pPr>
        <w:keepNext w:val="0"/>
        <w:keepLines w:val="0"/>
        <w:widowControl/>
        <w:suppressLineNumbers w:val="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本项目评价范围之内</w:t>
      </w:r>
      <w:r>
        <w:rPr>
          <w:rFonts w:hint="eastAsia" w:cs="Times New Roman"/>
          <w:color w:val="auto"/>
          <w:kern w:val="0"/>
          <w:sz w:val="24"/>
          <w:szCs w:val="24"/>
          <w:lang w:val="en-US" w:eastAsia="zh-CN" w:bidi="ar"/>
        </w:rPr>
        <w:t>不</w:t>
      </w:r>
      <w:r>
        <w:rPr>
          <w:rFonts w:hint="default" w:ascii="Times New Roman" w:hAnsi="Times New Roman" w:cs="Times New Roman"/>
          <w:color w:val="auto"/>
          <w:kern w:val="0"/>
          <w:sz w:val="24"/>
          <w:szCs w:val="24"/>
          <w:lang w:val="en-US" w:eastAsia="zh-CN" w:bidi="ar"/>
        </w:rPr>
        <w:t>涉及声环境敏感目标，然而施工沿线不可避免会途经部分村庄。施工期间，诸如挖掘机、装载机、压路机等各类施工机械运行时所产生的噪声，会对周边村庄居民的生活造成一定影响。不过，通过合理规划施工时间，避免在居民休息时段开展高噪声作业，同时于施工现场设置围挡等降噪举措，能够有效缩小噪声传播范围并降低其强度。</w:t>
      </w:r>
    </w:p>
    <w:p w14:paraId="73820DDF">
      <w:pPr>
        <w:keepNext w:val="0"/>
        <w:keepLines w:val="0"/>
        <w:widowControl/>
        <w:suppressLineNumbers w:val="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运营期内，车辆行驶产生的交通噪声为主要声源。鉴于项目设计时已考量声环境影响，采取了设置绿化带等降噪措施，且项目所在区域声环境质量现状良好，预计运营期交通噪声对周边环境的影响处于可接受范围，不会出现明显的噪声超标扰民现象。</w:t>
      </w:r>
    </w:p>
    <w:p w14:paraId="261E43CB">
      <w:pPr>
        <w:keepNext w:val="0"/>
        <w:keepLines w:val="0"/>
        <w:widowControl/>
        <w:suppressLineNumbers w:val="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施工单位应</w:t>
      </w:r>
      <w:r>
        <w:rPr>
          <w:rFonts w:hint="default" w:ascii="Times New Roman" w:hAnsi="Times New Roman" w:eastAsia="宋体" w:cs="Times New Roman"/>
          <w:color w:val="auto"/>
          <w:kern w:val="0"/>
          <w:sz w:val="24"/>
          <w:szCs w:val="24"/>
          <w:lang w:val="en-US" w:eastAsia="zh-CN" w:bidi="ar"/>
        </w:rPr>
        <w:t xml:space="preserve">合理选取运输路线，尽可能避开居住区，并在昼间进行运输。隧道施工需采用先进的爆破工艺，严格把控施工期噪声。项目完工后，施工噪声影响可消除。 </w:t>
      </w:r>
    </w:p>
    <w:p w14:paraId="3E0C8B56">
      <w:pPr>
        <w:pStyle w:val="3"/>
        <w:numPr>
          <w:ilvl w:val="1"/>
          <w:numId w:val="0"/>
        </w:numPr>
        <w:bidi w:val="0"/>
        <w:rPr>
          <w:rFonts w:hint="default" w:ascii="Times New Roman" w:hAnsi="Times New Roman" w:cs="Times New Roman"/>
          <w:color w:val="auto"/>
        </w:rPr>
      </w:pPr>
      <w:bookmarkStart w:id="1892" w:name="_Toc27658"/>
      <w:bookmarkStart w:id="1893" w:name="_Toc12210"/>
      <w:bookmarkStart w:id="1894" w:name="_Toc24251"/>
      <w:bookmarkStart w:id="1895" w:name="_Toc8300"/>
      <w:bookmarkStart w:id="1896" w:name="_Toc4472"/>
      <w:r>
        <w:rPr>
          <w:rFonts w:hint="default" w:ascii="Times New Roman" w:hAnsi="Times New Roman" w:cs="Times New Roman"/>
          <w:color w:val="auto"/>
          <w:lang w:val="en-US" w:eastAsia="zh-CN"/>
        </w:rPr>
        <w:t>9.3 主要环境保护措施</w:t>
      </w:r>
      <w:bookmarkEnd w:id="1892"/>
      <w:bookmarkEnd w:id="1893"/>
      <w:bookmarkEnd w:id="1894"/>
      <w:bookmarkEnd w:id="1895"/>
      <w:bookmarkEnd w:id="1896"/>
    </w:p>
    <w:p w14:paraId="1A53AC6B">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针对本工程主要环境保护因素为生态环境、声环境及水环境。</w:t>
      </w:r>
    </w:p>
    <w:p w14:paraId="55FFAD5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（1）生态环境保护措施</w:t>
      </w:r>
    </w:p>
    <w:p w14:paraId="296FB536">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农田区施工在路基施工期一定要文明施工，按时每日洒水两次，在干旱季节每日需洒水多次，必要时还需进行维修，以防对沿线农业生产造成影响，引起不必要的纠纷。此段施工还应搞好农业交通和农灌及洪水的分流疏导，尽可能减少道路施工对沿线农业生产的影响。</w:t>
      </w:r>
    </w:p>
    <w:p w14:paraId="7BB9A8D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②对占用的农田的</w:t>
      </w:r>
      <w:r>
        <w:rPr>
          <w:rFonts w:hint="default" w:ascii="Times New Roman" w:hAnsi="Times New Roman" w:cs="Times New Roman"/>
          <w:color w:val="auto"/>
          <w:kern w:val="0"/>
          <w:sz w:val="24"/>
          <w:szCs w:val="24"/>
          <w:lang w:val="en-US" w:eastAsia="zh-CN" w:bidi="ar"/>
        </w:rPr>
        <w:t>耕地</w:t>
      </w:r>
      <w:r>
        <w:rPr>
          <w:rFonts w:hint="default" w:ascii="Times New Roman" w:hAnsi="Times New Roman" w:eastAsia="宋体" w:cs="Times New Roman"/>
          <w:color w:val="auto"/>
          <w:kern w:val="0"/>
          <w:sz w:val="24"/>
          <w:szCs w:val="24"/>
          <w:lang w:val="en-US" w:eastAsia="zh-CN" w:bidi="ar"/>
        </w:rPr>
        <w:t>表土进行单独收集，用于附属设施区绿化覆土或用于复垦和新垦农田的土壤改造。严禁</w:t>
      </w:r>
      <w:r>
        <w:rPr>
          <w:rFonts w:hint="eastAsia" w:cs="Times New Roman"/>
          <w:color w:val="auto"/>
          <w:kern w:val="0"/>
          <w:sz w:val="24"/>
          <w:szCs w:val="24"/>
          <w:lang w:val="en-US" w:eastAsia="zh-CN" w:bidi="ar"/>
        </w:rPr>
        <w:t>乱砍滥伐</w:t>
      </w:r>
      <w:r>
        <w:rPr>
          <w:rFonts w:hint="default" w:ascii="Times New Roman" w:hAnsi="Times New Roman" w:eastAsia="宋体" w:cs="Times New Roman"/>
          <w:color w:val="auto"/>
          <w:kern w:val="0"/>
          <w:sz w:val="24"/>
          <w:szCs w:val="24"/>
          <w:lang w:val="en-US" w:eastAsia="zh-CN" w:bidi="ar"/>
        </w:rPr>
        <w:t>该段林木，爱护一草一木。</w:t>
      </w:r>
    </w:p>
    <w:p w14:paraId="4CF39CC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③建议加强施工期机械、车辆行驶路线的管理，划定明确的施工作业范围和行驶路线，严禁越界施工和偏离施工便道在无监管活动。</w:t>
      </w:r>
    </w:p>
    <w:p w14:paraId="6D45E04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④施工结束后，预制厂、料场等，一律平整土地，清除用地范围内的一切固体废弃物；不得随意倾倒沥青废料，应用防渗膜包裹后运至弃土场填埋。</w:t>
      </w:r>
    </w:p>
    <w:p w14:paraId="2409B06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⑤公路养护部门不仅要加强对公路本身的养护，也要注意保护公路地界内的农田及其植被，防止人为破坏。</w:t>
      </w:r>
    </w:p>
    <w:p w14:paraId="2862288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（2）声环境保护措施</w:t>
      </w:r>
    </w:p>
    <w:p w14:paraId="0B5B1D93">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①对夯土机、打桩机施工时设置临时声屏障进行遮挡，既可以避免沿线居民进入施工场地，也可对施工噪声进行遮挡。</w:t>
      </w:r>
    </w:p>
    <w:p w14:paraId="3CAD5152">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②在敏感点附近禁止夜间（0∶00～08∶00）施工作业。昼间施工，加强管理，避免突发性的噪声影响周边居民的正常生产生活。</w:t>
      </w:r>
    </w:p>
    <w:p w14:paraId="0BE49930">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③隧道施工需采用先进的爆破工艺，严格把控施工期噪声。</w:t>
      </w:r>
    </w:p>
    <w:p w14:paraId="12F9C9E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因此本次采取的措施可满足降噪的要求。</w:t>
      </w:r>
    </w:p>
    <w:p w14:paraId="11A0EA8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（3）水环境保护措施</w:t>
      </w:r>
    </w:p>
    <w:p w14:paraId="261F6C5F">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①工程承包合同中应明确筑路材料（如沥青、油料、化学品、粉煤灰、水泥、砂、石料等）的运输过程中防止洒漏条款，堆放场地不得设在渠道水体岸边，以免随雨水冲入水体造成污染。</w:t>
      </w:r>
    </w:p>
    <w:p w14:paraId="26262E0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②尽量选用先进的设备、机械，以有效地减少跑，冒、滴、漏的数量及机械维修次数，从而减少含油污水的产生量。</w:t>
      </w:r>
    </w:p>
    <w:p w14:paraId="7C90FEEA">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③施工结束后，应清理施工现场、材料堆场等临时占地，收集遗留的各种垃圾、废料，进行回收利用，剩余部分交环卫部门统一处理，防止被雨水冲刷进入水体。</w:t>
      </w:r>
    </w:p>
    <w:p w14:paraId="4E2B5EB8">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④禁止在</w:t>
      </w:r>
      <w:r>
        <w:rPr>
          <w:rFonts w:hint="default" w:ascii="Times New Roman" w:hAnsi="Times New Roman" w:cs="Times New Roman"/>
          <w:color w:val="auto"/>
          <w:kern w:val="0"/>
          <w:sz w:val="24"/>
          <w:szCs w:val="24"/>
          <w:lang w:val="en-US" w:eastAsia="zh-CN" w:bidi="ar"/>
        </w:rPr>
        <w:t>沿线河流、</w:t>
      </w:r>
      <w:r>
        <w:rPr>
          <w:rFonts w:hint="default" w:ascii="Times New Roman" w:hAnsi="Times New Roman" w:eastAsia="宋体" w:cs="Times New Roman"/>
          <w:color w:val="auto"/>
          <w:kern w:val="0"/>
          <w:sz w:val="24"/>
          <w:szCs w:val="24"/>
          <w:lang w:val="en-US" w:eastAsia="zh-CN" w:bidi="ar"/>
        </w:rPr>
        <w:t>渠道中洗车，保证农用灌溉渠系的畅通和水环境功能。保证公路涵洞的畅通，经常维护和检修，避免农区涵洞的淤积和堵塞，造成对农业生产的影响。</w:t>
      </w:r>
    </w:p>
    <w:p w14:paraId="207637A2">
      <w:pPr>
        <w:pStyle w:val="3"/>
        <w:numPr>
          <w:ilvl w:val="1"/>
          <w:numId w:val="0"/>
        </w:numPr>
        <w:bidi w:val="0"/>
        <w:rPr>
          <w:rFonts w:hint="default" w:ascii="Times New Roman" w:hAnsi="Times New Roman" w:cs="Times New Roman"/>
          <w:color w:val="auto"/>
        </w:rPr>
      </w:pPr>
      <w:bookmarkStart w:id="1897" w:name="_Toc29879"/>
      <w:bookmarkStart w:id="1898" w:name="_Toc25632"/>
      <w:bookmarkStart w:id="1899" w:name="_Toc27405"/>
      <w:bookmarkStart w:id="1900" w:name="_Toc32424"/>
      <w:bookmarkStart w:id="1901" w:name="_Toc24320"/>
      <w:bookmarkStart w:id="1902" w:name="_Toc482529166"/>
      <w:bookmarkStart w:id="1903" w:name="_Toc26591"/>
      <w:bookmarkStart w:id="1904" w:name="_Toc28706"/>
      <w:bookmarkStart w:id="1905" w:name="_Toc31119"/>
      <w:bookmarkStart w:id="1906" w:name="_Toc16254"/>
      <w:bookmarkStart w:id="1907" w:name="_Toc13345"/>
      <w:bookmarkStart w:id="1908" w:name="_Toc22964"/>
      <w:bookmarkStart w:id="1909" w:name="_Toc23768"/>
      <w:bookmarkStart w:id="1910" w:name="_Toc8501"/>
      <w:bookmarkStart w:id="1911" w:name="_Toc11009"/>
      <w:bookmarkStart w:id="1912" w:name="_Toc4349"/>
      <w:r>
        <w:rPr>
          <w:rFonts w:hint="default" w:ascii="Times New Roman" w:hAnsi="Times New Roman" w:cs="Times New Roman"/>
          <w:color w:val="auto"/>
          <w:lang w:val="en-US" w:eastAsia="zh-CN"/>
        </w:rPr>
        <w:t>9.4 环境管理及监测计划</w:t>
      </w:r>
      <w:bookmarkEnd w:id="1897"/>
      <w:bookmarkEnd w:id="1898"/>
      <w:bookmarkEnd w:id="1899"/>
      <w:bookmarkEnd w:id="1900"/>
      <w:bookmarkEnd w:id="1901"/>
    </w:p>
    <w:p w14:paraId="5C076D61">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本工程施工期和营运期的环境保护监督工作由新疆维吾尔自治区生态环境厅、</w:t>
      </w:r>
      <w:r>
        <w:rPr>
          <w:rFonts w:hint="default" w:ascii="Times New Roman" w:hAnsi="Times New Roman" w:eastAsia="宋体" w:cs="Times New Roman"/>
          <w:i w:val="0"/>
          <w:iCs w:val="0"/>
          <w:caps w:val="0"/>
          <w:color w:val="auto"/>
          <w:spacing w:val="0"/>
          <w:sz w:val="24"/>
          <w:szCs w:val="24"/>
          <w:shd w:val="clear" w:color="auto" w:fill="FFFFFF"/>
          <w:lang w:val="en-US" w:eastAsia="zh-CN"/>
        </w:rPr>
        <w:t>克孜勒苏柯尔克孜自治州</w:t>
      </w:r>
      <w:r>
        <w:rPr>
          <w:rFonts w:hint="default" w:ascii="Times New Roman" w:hAnsi="Times New Roman" w:eastAsia="宋体" w:cs="Times New Roman"/>
          <w:color w:val="auto"/>
          <w:kern w:val="0"/>
          <w:sz w:val="24"/>
          <w:szCs w:val="24"/>
          <w:lang w:val="en-US" w:eastAsia="zh-CN" w:bidi="ar"/>
        </w:rPr>
        <w:t>生态环境局共同执行，主要是监督建设单位实施环境行动计划，执行有关环境管理法规、标准；协调各部门之间做好环保工作；负责项目环保设施的施工、竣工、运行情况的检查、监督管理等。本次根据本工程特点，对施工期运营期设置了各环境要素的监测计划，具体详见表8.2-1至8.2-4。</w:t>
      </w:r>
    </w:p>
    <w:p w14:paraId="41C409EB">
      <w:pPr>
        <w:pStyle w:val="3"/>
        <w:numPr>
          <w:ilvl w:val="1"/>
          <w:numId w:val="0"/>
        </w:numPr>
        <w:bidi w:val="0"/>
        <w:rPr>
          <w:rFonts w:hint="default" w:ascii="Times New Roman" w:hAnsi="Times New Roman" w:cs="Times New Roman"/>
          <w:color w:val="auto"/>
          <w:lang w:val="en-US" w:eastAsia="zh-CN"/>
        </w:rPr>
      </w:pPr>
      <w:bookmarkStart w:id="1913" w:name="_Toc18859"/>
      <w:bookmarkStart w:id="1914" w:name="_Toc815"/>
      <w:bookmarkStart w:id="1915" w:name="_Toc2989"/>
      <w:bookmarkStart w:id="1916" w:name="_Toc2784"/>
      <w:bookmarkStart w:id="1917" w:name="_Toc12337"/>
      <w:r>
        <w:rPr>
          <w:rFonts w:hint="default" w:ascii="Times New Roman" w:hAnsi="Times New Roman" w:cs="Times New Roman"/>
          <w:color w:val="auto"/>
          <w:lang w:val="en-US" w:eastAsia="zh-CN"/>
        </w:rPr>
        <w:t>9</w:t>
      </w:r>
      <w:r>
        <w:rPr>
          <w:rFonts w:hint="default" w:ascii="Times New Roman" w:hAnsi="Times New Roman" w:cs="Times New Roman"/>
          <w:color w:val="auto"/>
        </w:rPr>
        <w:t>.</w:t>
      </w:r>
      <w:r>
        <w:rPr>
          <w:rFonts w:hint="default" w:ascii="Times New Roman" w:hAnsi="Times New Roman" w:cs="Times New Roman"/>
          <w:color w:val="auto"/>
          <w:lang w:val="en-US" w:eastAsia="zh-CN"/>
        </w:rPr>
        <w:t xml:space="preserve">5 </w:t>
      </w:r>
      <w:r>
        <w:rPr>
          <w:rFonts w:hint="eastAsia" w:cs="Times New Roman"/>
          <w:color w:val="auto"/>
          <w:lang w:val="en-US" w:eastAsia="zh-CN"/>
        </w:rPr>
        <w:t>公众参与</w:t>
      </w:r>
      <w:bookmarkEnd w:id="1913"/>
    </w:p>
    <w:p w14:paraId="637100F0">
      <w:pPr>
        <w:rPr>
          <w:rFonts w:hint="default"/>
          <w:color w:val="auto"/>
          <w:lang w:val="en-US" w:eastAsia="zh-CN"/>
        </w:rPr>
      </w:pPr>
      <w:r>
        <w:rPr>
          <w:rFonts w:hint="default"/>
          <w:color w:val="auto"/>
          <w:lang w:val="en-US" w:eastAsia="zh-CN"/>
        </w:rPr>
        <w:t>本项目公众参与工作分建设项目信息网上公示、报纸公示及现场公示。</w:t>
      </w:r>
      <w:r>
        <w:rPr>
          <w:rFonts w:hint="eastAsia"/>
          <w:color w:val="auto"/>
          <w:lang w:val="en-US" w:eastAsia="zh-CN"/>
        </w:rPr>
        <w:t>2024年4月28日</w:t>
      </w:r>
      <w:r>
        <w:rPr>
          <w:rFonts w:hint="default"/>
          <w:color w:val="auto"/>
          <w:lang w:val="en-US" w:eastAsia="zh-CN"/>
        </w:rPr>
        <w:t>在新疆维吾尔自治区生态环境保护产业协会发布了</w:t>
      </w:r>
      <w:r>
        <w:rPr>
          <w:rFonts w:hint="eastAsia"/>
          <w:color w:val="auto"/>
          <w:lang w:val="en-US" w:eastAsia="zh-CN"/>
        </w:rPr>
        <w:t>第</w:t>
      </w:r>
      <w:r>
        <w:rPr>
          <w:rFonts w:hint="default"/>
          <w:color w:val="auto"/>
          <w:lang w:val="en-US" w:eastAsia="zh-CN"/>
        </w:rPr>
        <w:t>一次</w:t>
      </w:r>
      <w:r>
        <w:rPr>
          <w:rFonts w:hint="eastAsia"/>
          <w:color w:val="auto"/>
          <w:lang w:val="en-US" w:eastAsia="zh-CN"/>
        </w:rPr>
        <w:t>公示</w:t>
      </w:r>
      <w:r>
        <w:rPr>
          <w:rFonts w:hint="default"/>
          <w:color w:val="auto"/>
          <w:lang w:val="en-US" w:eastAsia="zh-CN"/>
        </w:rPr>
        <w:t>、</w:t>
      </w:r>
      <w:r>
        <w:rPr>
          <w:rFonts w:hint="eastAsia"/>
          <w:color w:val="auto"/>
          <w:lang w:val="en-US" w:eastAsia="zh-CN"/>
        </w:rPr>
        <w:t>2024年6月6日开展了</w:t>
      </w:r>
      <w:r>
        <w:rPr>
          <w:rFonts w:hint="default"/>
          <w:color w:val="auto"/>
          <w:lang w:val="en-US" w:eastAsia="zh-CN"/>
        </w:rPr>
        <w:t>征求意见稿公示，</w:t>
      </w:r>
      <w:r>
        <w:rPr>
          <w:rFonts w:hint="eastAsia"/>
          <w:color w:val="auto"/>
          <w:lang w:val="en-US" w:eastAsia="zh-CN"/>
        </w:rPr>
        <w:t>并</w:t>
      </w:r>
      <w:r>
        <w:rPr>
          <w:rFonts w:hint="default"/>
          <w:color w:val="auto"/>
          <w:lang w:val="en-US" w:eastAsia="zh-CN"/>
        </w:rPr>
        <w:t>在</w:t>
      </w:r>
      <w:r>
        <w:rPr>
          <w:rFonts w:hint="eastAsia"/>
          <w:color w:val="auto"/>
          <w:lang w:val="en-US" w:eastAsia="zh-CN"/>
        </w:rPr>
        <w:t>克孜勒苏日报</w:t>
      </w:r>
      <w:r>
        <w:rPr>
          <w:rFonts w:hint="default"/>
          <w:color w:val="auto"/>
          <w:lang w:val="en-US" w:eastAsia="zh-CN"/>
        </w:rPr>
        <w:t>进行了两次报纸公示。</w:t>
      </w:r>
      <w:r>
        <w:rPr>
          <w:rFonts w:hint="eastAsia"/>
          <w:color w:val="auto"/>
          <w:lang w:val="en-US" w:eastAsia="zh-CN"/>
        </w:rPr>
        <w:t>建设</w:t>
      </w:r>
      <w:r>
        <w:rPr>
          <w:rFonts w:hint="default"/>
          <w:color w:val="auto"/>
          <w:lang w:val="en-US" w:eastAsia="zh-CN"/>
        </w:rPr>
        <w:t>单位在向生态环境主管部门报批环境影响报告书前，于2026年3月</w:t>
      </w:r>
      <w:r>
        <w:rPr>
          <w:rFonts w:hint="eastAsia"/>
          <w:color w:val="auto"/>
          <w:lang w:val="en-US" w:eastAsia="zh-CN"/>
        </w:rPr>
        <w:t>5</w:t>
      </w:r>
      <w:r>
        <w:rPr>
          <w:rFonts w:hint="default"/>
          <w:color w:val="auto"/>
          <w:lang w:val="en-US" w:eastAsia="zh-CN"/>
        </w:rPr>
        <w:t>日在新疆维吾尔自治区生态环境保护产业协会网站上进行拟报批公示</w:t>
      </w:r>
      <w:r>
        <w:rPr>
          <w:rFonts w:hint="eastAsia"/>
          <w:color w:val="auto"/>
          <w:lang w:val="en-US" w:eastAsia="zh-CN"/>
        </w:rPr>
        <w:t>。</w:t>
      </w:r>
      <w:r>
        <w:rPr>
          <w:rFonts w:hint="default"/>
          <w:color w:val="auto"/>
          <w:lang w:val="en-US" w:eastAsia="zh-CN"/>
        </w:rPr>
        <w:t>本项目在公示期间，未收到公众电话或邮件咨询意见及反对意见。对于公众比较关心的环境问题，报告书的相关章节作出了相应的环保措施要求，可以降低或消除这些环境影响。</w:t>
      </w:r>
    </w:p>
    <w:p w14:paraId="424E23C1">
      <w:pPr>
        <w:pStyle w:val="3"/>
        <w:numPr>
          <w:ilvl w:val="1"/>
          <w:numId w:val="0"/>
        </w:numPr>
        <w:bidi w:val="0"/>
        <w:rPr>
          <w:rFonts w:hint="default" w:ascii="Times New Roman" w:hAnsi="Times New Roman" w:cs="Times New Roman"/>
          <w:color w:val="auto"/>
        </w:rPr>
      </w:pPr>
      <w:bookmarkStart w:id="1918" w:name="_Toc30267"/>
      <w:r>
        <w:rPr>
          <w:rFonts w:hint="eastAsia" w:cs="Times New Roman"/>
          <w:color w:val="auto"/>
          <w:lang w:val="en-US" w:eastAsia="zh-CN"/>
        </w:rPr>
        <w:t>9.6</w:t>
      </w:r>
      <w:r>
        <w:rPr>
          <w:rFonts w:hint="default" w:ascii="Times New Roman" w:hAnsi="Times New Roman" w:cs="Times New Roman"/>
          <w:color w:val="auto"/>
          <w:lang w:val="en-US" w:eastAsia="zh-CN"/>
        </w:rPr>
        <w:t>评价</w:t>
      </w:r>
      <w:r>
        <w:rPr>
          <w:rFonts w:hint="default" w:ascii="Times New Roman" w:hAnsi="Times New Roman" w:cs="Times New Roman"/>
          <w:color w:val="auto"/>
        </w:rPr>
        <w:t>结论</w:t>
      </w:r>
      <w:bookmarkEnd w:id="1902"/>
      <w:bookmarkEnd w:id="1903"/>
      <w:bookmarkEnd w:id="1904"/>
      <w:bookmarkEnd w:id="1905"/>
      <w:bookmarkEnd w:id="1906"/>
      <w:bookmarkEnd w:id="1907"/>
      <w:bookmarkEnd w:id="1908"/>
      <w:bookmarkEnd w:id="1909"/>
      <w:bookmarkEnd w:id="1910"/>
      <w:bookmarkEnd w:id="1911"/>
      <w:bookmarkEnd w:id="1912"/>
      <w:bookmarkEnd w:id="1914"/>
      <w:bookmarkEnd w:id="1915"/>
      <w:bookmarkEnd w:id="1916"/>
      <w:bookmarkEnd w:id="1917"/>
      <w:bookmarkEnd w:id="1918"/>
    </w:p>
    <w:p w14:paraId="5712DB54">
      <w:pPr>
        <w:keepNext w:val="0"/>
        <w:keepLines w:val="0"/>
        <w:widowControl/>
        <w:suppressLineNumbers w:val="0"/>
        <w:jc w:val="left"/>
        <w:rPr>
          <w:rFonts w:hint="default" w:ascii="Times New Roman" w:hAnsi="Times New Roman" w:cs="Times New Roman"/>
          <w:color w:val="auto"/>
        </w:rPr>
      </w:pPr>
      <w:bookmarkStart w:id="1919" w:name="_Toc15969"/>
      <w:bookmarkStart w:id="1920" w:name="_Toc1129"/>
      <w:bookmarkStart w:id="1921" w:name="_Toc10884"/>
      <w:bookmarkStart w:id="1922" w:name="_Toc28383"/>
      <w:bookmarkStart w:id="1923" w:name="_Toc18447"/>
      <w:bookmarkStart w:id="1924" w:name="_Toc17898"/>
      <w:bookmarkStart w:id="1925" w:name="_Toc1878"/>
      <w:bookmarkStart w:id="1926" w:name="_Toc482529167"/>
      <w:bookmarkStart w:id="1927" w:name="_Toc459909500"/>
      <w:bookmarkStart w:id="1928" w:name="_Toc7477"/>
      <w:bookmarkStart w:id="1929" w:name="_Toc13623"/>
      <w:bookmarkStart w:id="1930" w:name="_Toc22144"/>
      <w:bookmarkStart w:id="1931" w:name="_Toc26507"/>
      <w:bookmarkStart w:id="1932" w:name="_Toc2438"/>
      <w:bookmarkStart w:id="1933" w:name="_Toc26176"/>
      <w:bookmarkStart w:id="1934" w:name="_Toc10075"/>
      <w:bookmarkStart w:id="1935" w:name="_Toc18881"/>
      <w:bookmarkStart w:id="1936" w:name="_Toc7501"/>
      <w:bookmarkStart w:id="1937" w:name="_Toc2887"/>
      <w:bookmarkStart w:id="1938" w:name="_Toc21460"/>
      <w:bookmarkStart w:id="1939" w:name="_Toc31723"/>
      <w:bookmarkStart w:id="1940" w:name="_Toc167"/>
      <w:bookmarkStart w:id="1941" w:name="_Toc30735"/>
      <w:bookmarkStart w:id="1942" w:name="_Toc16987"/>
      <w:bookmarkStart w:id="1943" w:name="_Toc20356"/>
      <w:bookmarkStart w:id="1944" w:name="_Toc365391348"/>
      <w:bookmarkStart w:id="1945" w:name="_Toc29264"/>
      <w:bookmarkStart w:id="1946" w:name="_Toc25663"/>
      <w:bookmarkStart w:id="1947" w:name="_Toc16086"/>
      <w:bookmarkStart w:id="1948" w:name="_Toc1856"/>
      <w:bookmarkStart w:id="1949" w:name="_Toc7115"/>
      <w:bookmarkStart w:id="1950" w:name="_Toc10334"/>
      <w:bookmarkStart w:id="1951" w:name="_Toc25600"/>
      <w:bookmarkStart w:id="1952" w:name="_Toc9162"/>
      <w:bookmarkStart w:id="1953" w:name="_Toc23006"/>
      <w:bookmarkStart w:id="1954" w:name="_Toc24597"/>
      <w:bookmarkStart w:id="1955" w:name="_Toc15885"/>
      <w:bookmarkStart w:id="1956" w:name="_Toc5167"/>
      <w:bookmarkStart w:id="1957" w:name="_Toc9646"/>
      <w:bookmarkStart w:id="1958" w:name="_Toc14553"/>
      <w:bookmarkStart w:id="1959" w:name="_Toc26728"/>
      <w:bookmarkStart w:id="1960" w:name="_Toc1469"/>
      <w:bookmarkStart w:id="1961" w:name="_Toc17689"/>
      <w:bookmarkStart w:id="1962" w:name="_Toc1431"/>
      <w:bookmarkStart w:id="1963" w:name="_Toc17323"/>
      <w:bookmarkStart w:id="1964" w:name="_Toc3014"/>
      <w:r>
        <w:rPr>
          <w:rFonts w:hint="default" w:ascii="Times New Roman" w:hAnsi="Times New Roman" w:eastAsia="宋体" w:cs="Times New Roman"/>
          <w:color w:val="auto"/>
          <w:kern w:val="0"/>
          <w:sz w:val="24"/>
          <w:szCs w:val="24"/>
          <w:lang w:val="en-US" w:eastAsia="zh-CN" w:bidi="ar"/>
        </w:rPr>
        <w:t>本项目位于新疆维吾尔自治区阿图什市</w:t>
      </w:r>
      <w:r>
        <w:rPr>
          <w:rFonts w:hint="default" w:ascii="Times New Roman" w:hAnsi="Times New Roman" w:cs="Times New Roman"/>
          <w:color w:val="auto"/>
          <w:kern w:val="0"/>
          <w:sz w:val="24"/>
          <w:szCs w:val="24"/>
          <w:lang w:val="en-US" w:eastAsia="zh-CN" w:bidi="ar"/>
        </w:rPr>
        <w:t>、喀什地区喀什市</w:t>
      </w:r>
      <w:r>
        <w:rPr>
          <w:rFonts w:hint="default" w:ascii="Times New Roman" w:hAnsi="Times New Roman" w:eastAsia="宋体" w:cs="Times New Roman"/>
          <w:color w:val="auto"/>
          <w:kern w:val="0"/>
          <w:sz w:val="24"/>
          <w:szCs w:val="24"/>
          <w:lang w:val="en-US" w:eastAsia="zh-CN" w:bidi="ar"/>
        </w:rPr>
        <w:t>，是连接阿图什市与喀什市以及阿图什轻工业园区与喀什经济</w:t>
      </w:r>
      <w:r>
        <w:rPr>
          <w:rFonts w:hint="default" w:ascii="Times New Roman" w:hAnsi="Times New Roman" w:cs="Times New Roman"/>
          <w:color w:val="auto"/>
          <w:kern w:val="0"/>
          <w:sz w:val="24"/>
          <w:szCs w:val="24"/>
          <w:lang w:val="en-US" w:eastAsia="zh-CN" w:bidi="ar"/>
        </w:rPr>
        <w:t>开发区</w:t>
      </w:r>
      <w:r>
        <w:rPr>
          <w:rFonts w:hint="default" w:ascii="Times New Roman" w:hAnsi="Times New Roman" w:eastAsia="宋体" w:cs="Times New Roman"/>
          <w:color w:val="auto"/>
          <w:kern w:val="0"/>
          <w:sz w:val="24"/>
          <w:szCs w:val="24"/>
          <w:lang w:val="en-US" w:eastAsia="zh-CN" w:bidi="ar"/>
        </w:rPr>
        <w:t>的快速通道。项目的建设符合国家产业政策及相关规划政策要求，新增扰动较少，选址区域周边无环境敏感点，只要按照“三同时”的要求认真落实本环评提出的各项污染防治措施，并加强项目运行过程中的环境管理，在保证各种治理设施正常运行的情况下，从环保角度考虑，项目的建设是可行的。</w:t>
      </w:r>
    </w:p>
    <w:p w14:paraId="61B36D73">
      <w:pPr>
        <w:bidi w:val="0"/>
        <w:rPr>
          <w:rFonts w:hint="default" w:ascii="Times New Roman" w:hAnsi="Times New Roman" w:cs="Times New Roman"/>
          <w:color w:val="auto"/>
        </w:rPr>
      </w:pPr>
    </w:p>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p w14:paraId="0A55329F">
      <w:pPr>
        <w:tabs>
          <w:tab w:val="left" w:pos="1155"/>
        </w:tabs>
        <w:snapToGrid w:val="0"/>
        <w:spacing w:line="360" w:lineRule="auto"/>
        <w:ind w:firstLine="480" w:firstLineChars="200"/>
        <w:rPr>
          <w:rFonts w:hint="default" w:ascii="Times New Roman" w:hAnsi="Times New Roman" w:cs="Times New Roman"/>
          <w:color w:val="auto"/>
        </w:rPr>
      </w:pPr>
    </w:p>
    <w:p w14:paraId="70DF78DE">
      <w:pPr>
        <w:pStyle w:val="29"/>
        <w:keepNext w:val="0"/>
        <w:keepLines w:val="0"/>
        <w:pageBreakBefore w:val="0"/>
        <w:widowControl/>
        <w:kinsoku/>
        <w:wordWrap/>
        <w:overflowPunct/>
        <w:topLinePunct w:val="0"/>
        <w:autoSpaceDE/>
        <w:autoSpaceDN/>
        <w:bidi w:val="0"/>
        <w:adjustRightInd w:val="0"/>
        <w:snapToGrid w:val="0"/>
        <w:spacing w:after="0"/>
        <w:ind w:left="0" w:leftChars="0"/>
        <w:textAlignment w:val="auto"/>
        <w:rPr>
          <w:rFonts w:hint="default" w:ascii="Times New Roman" w:hAnsi="Times New Roman" w:eastAsia="宋体" w:cs="Times New Roman"/>
          <w:color w:val="auto"/>
          <w:lang w:val="en-US" w:eastAsia="zh-CN"/>
        </w:rPr>
      </w:pPr>
    </w:p>
    <w:p w14:paraId="68E8B030">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lang w:val="en-US" w:eastAsia="zh-CN"/>
        </w:rPr>
      </w:pPr>
    </w:p>
    <w:p w14:paraId="63D6C892">
      <w:pPr>
        <w:spacing w:line="360" w:lineRule="auto"/>
        <w:ind w:firstLine="480" w:firstLineChars="200"/>
        <w:rPr>
          <w:rFonts w:hint="default" w:ascii="Times New Roman" w:hAnsi="Times New Roman" w:cs="Times New Roman"/>
          <w:color w:val="auto"/>
          <w:sz w:val="24"/>
        </w:rPr>
      </w:pPr>
    </w:p>
    <w:sectPr>
      <w:pgSz w:w="11906" w:h="16838"/>
      <w:pgMar w:top="1440" w:right="1803" w:bottom="1423" w:left="1803" w:header="850" w:footer="737" w:gutter="0"/>
      <w:pgBorders>
        <w:top w:val="none" w:sz="0" w:space="0"/>
        <w:left w:val="none" w:sz="0" w:space="0"/>
        <w:bottom w:val="none" w:sz="0" w:space="0"/>
        <w:right w:val="none" w:sz="0" w:space="0"/>
      </w:pgBorders>
      <w:pgNumType w:fmt="decimal"/>
      <w:cols w:space="720" w:num="1"/>
      <w:docGrid w:type="linesAndChars" w:linePitch="333" w:charSpace="2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81"/>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embedRegular r:id="rId1" w:fontKey="{5E74AC38-881F-4567-B7B8-D28B31C1448C}"/>
  </w:font>
  <w:font w:name="黑体">
    <w:panose1 w:val="02010609060101010101"/>
    <w:charset w:val="86"/>
    <w:family w:val="auto"/>
    <w:pitch w:val="default"/>
    <w:sig w:usb0="800002BF" w:usb1="38CF7CFA" w:usb2="00000016" w:usb3="00000000" w:csb0="00040001" w:csb1="00000000"/>
    <w:embedRegular r:id="rId2" w:fontKey="{CB3C4C89-2901-46DF-8758-C730C6B194C4}"/>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
    <w:altName w:val="Times New Roman"/>
    <w:panose1 w:val="00000000000000000000"/>
    <w:charset w:val="00"/>
    <w:family w:val="auto"/>
    <w:pitch w:val="default"/>
    <w:sig w:usb0="00000000" w:usb1="00000000" w:usb2="00000000" w:usb3="00000000" w:csb0="00000001" w:csb1="00000000"/>
  </w:font>
  <w:font w:name="Courier (W1)">
    <w:altName w:val="Lucida Console"/>
    <w:panose1 w:val="00000000000000000000"/>
    <w:charset w:val="00"/>
    <w:family w:val="modern"/>
    <w:pitch w:val="default"/>
    <w:sig w:usb0="00000000" w:usb1="00000000" w:usb2="00000000" w:usb3="00000000" w:csb0="00000001" w:csb1="00000000"/>
  </w:font>
  <w:font w:name="Lucida Console">
    <w:panose1 w:val="020B0609040504020204"/>
    <w:charset w:val="00"/>
    <w:family w:val="auto"/>
    <w:pitch w:val="default"/>
    <w:sig w:usb0="8000028F" w:usb1="00001800" w:usb2="00000000" w:usb3="00000000" w:csb0="0000001F" w:csb1="D7D70000"/>
  </w:font>
  <w:font w:name="微软雅黑">
    <w:panose1 w:val="020B0503020204020204"/>
    <w:charset w:val="86"/>
    <w:family w:val="swiss"/>
    <w:pitch w:val="default"/>
    <w:sig w:usb0="80000287" w:usb1="280F3C52" w:usb2="00000016" w:usb3="00000000" w:csb0="0004001F" w:csb1="00000000"/>
  </w:font>
  <w:font w:name="华文仿宋">
    <w:panose1 w:val="02010600040101010101"/>
    <w:charset w:val="86"/>
    <w:family w:val="auto"/>
    <w:pitch w:val="default"/>
    <w:sig w:usb0="00000287" w:usb1="080F0000" w:usb2="00000000" w:usb3="00000000" w:csb0="0004009F" w:csb1="DFD70000"/>
  </w:font>
  <w:font w:name="楷体_GB2312">
    <w:panose1 w:val="02010609030101010101"/>
    <w:charset w:val="86"/>
    <w:family w:val="modern"/>
    <w:pitch w:val="default"/>
    <w:sig w:usb0="00000001" w:usb1="080E0000" w:usb2="00000000" w:usb3="00000000" w:csb0="00040000" w:csb1="00000000"/>
    <w:embedRegular r:id="rId3" w:fontKey="{9ECF233A-6BA9-418F-BE67-00358FC62885}"/>
  </w:font>
  <w:font w:name="TimesNewRomanPSMT">
    <w:altName w:val="Times New Roman"/>
    <w:panose1 w:val="00000000000000000000"/>
    <w:charset w:val="00"/>
    <w:family w:val="auto"/>
    <w:pitch w:val="default"/>
    <w:sig w:usb0="00000000" w:usb1="00000000" w:usb2="00000000" w:usb3="00000000" w:csb0="00040001" w:csb1="00000000"/>
  </w:font>
  <w:font w:name="Verdana">
    <w:panose1 w:val="020B0604030504040204"/>
    <w:charset w:val="00"/>
    <w:family w:val="swiss"/>
    <w:pitch w:val="default"/>
    <w:sig w:usb0="A10006FF" w:usb1="4000205B" w:usb2="00000010" w:usb3="00000000" w:csb0="2000019F" w:csb1="00000000"/>
  </w:font>
  <w:font w:name="TimesNewRomanPS-BoldMT">
    <w:altName w:val="Segoe Print"/>
    <w:panose1 w:val="00000000000000000000"/>
    <w:charset w:val="00"/>
    <w:family w:val="auto"/>
    <w:pitch w:val="default"/>
    <w:sig w:usb0="00000000" w:usb1="00000000" w:usb2="00000000" w:usb3="00000000" w:csb0="00000000" w:csb1="00000000"/>
    <w:embedRegular r:id="rId4" w:fontKey="{D0C4EE60-2B74-42BF-889D-68B8F74FA0EC}"/>
  </w:font>
  <w:font w:name="Segoe Print">
    <w:panose1 w:val="02000600000000000000"/>
    <w:charset w:val="00"/>
    <w:family w:val="auto"/>
    <w:pitch w:val="default"/>
    <w:sig w:usb0="0000028F" w:usb1="00000000" w:usb2="00000000" w:usb3="00000000" w:csb0="2000009F" w:csb1="47010000"/>
  </w:font>
  <w:font w:name="等线">
    <w:panose1 w:val="02010600030101010101"/>
    <w:charset w:val="86"/>
    <w:family w:val="auto"/>
    <w:pitch w:val="default"/>
    <w:sig w:usb0="A00002BF" w:usb1="38CF7CFA" w:usb2="00000016" w:usb3="00000000" w:csb0="0004000F" w:csb1="00000000"/>
    <w:embedRegular r:id="rId5" w:fontKey="{24E7EA79-9687-4136-AAA3-46CC3C6A0167}"/>
  </w:font>
  <w:font w:name="楷体">
    <w:panose1 w:val="02010609060101010101"/>
    <w:charset w:val="86"/>
    <w:family w:val="auto"/>
    <w:pitch w:val="default"/>
    <w:sig w:usb0="800002BF" w:usb1="38CF7CFA" w:usb2="00000016" w:usb3="00000000" w:csb0="00040001" w:csb1="00000000"/>
    <w:embedRegular r:id="rId6" w:fontKey="{7B3EABE2-638D-475A-93AA-07033D2A6EBD}"/>
  </w:font>
  <w:font w:name="Segoe UI Symbol">
    <w:panose1 w:val="020B0502040204020203"/>
    <w:charset w:val="00"/>
    <w:family w:val="auto"/>
    <w:pitch w:val="default"/>
    <w:sig w:usb0="8000006F" w:usb1="1200FBEF" w:usb2="0064C000" w:usb3="00000002" w:csb0="00000001" w:csb1="40000000"/>
    <w:embedRegular r:id="rId7" w:fontKey="{71B45A7E-E6C7-4D1C-B23A-78EDF4F692FC}"/>
  </w:font>
  <w:font w:name="MS Gothic">
    <w:panose1 w:val="020B0609070205080204"/>
    <w:charset w:val="80"/>
    <w:family w:val="auto"/>
    <w:pitch w:val="default"/>
    <w:sig w:usb0="E00002FF" w:usb1="6AC7FDFB" w:usb2="00000012" w:usb3="00000000" w:csb0="4002009F" w:csb1="DFD70000"/>
    <w:embedRegular r:id="rId8" w:fontKey="{01BDC136-524B-4848-AEF8-04854A640E1E}"/>
  </w:font>
  <w:font w:name="CIDFont">
    <w:altName w:val="Segoe Print"/>
    <w:panose1 w:val="00000000000000000000"/>
    <w:charset w:val="00"/>
    <w:family w:val="auto"/>
    <w:pitch w:val="default"/>
    <w:sig w:usb0="00000000" w:usb1="00000000" w:usb2="00000000" w:usb3="00000000" w:csb0="00000000" w:csb1="00000000"/>
    <w:embedRegular r:id="rId9" w:fontKey="{1BC1202A-BF5C-461E-A7F3-3718A55DF218}"/>
  </w:font>
  <w:font w:name="MS UI Gothic">
    <w:panose1 w:val="020B0600070205080204"/>
    <w:charset w:val="80"/>
    <w:family w:val="auto"/>
    <w:pitch w:val="default"/>
    <w:sig w:usb0="E00002FF" w:usb1="6AC7FDFB" w:usb2="00000012" w:usb3="00000000" w:csb0="4002009F" w:csb1="DFD70000"/>
    <w:embedRegular r:id="rId10" w:fontKey="{28777766-AF93-47E4-AAFE-4802DF4BF161}"/>
  </w:font>
  <w:font w:name="Wingdings 2">
    <w:panose1 w:val="05020102010507070707"/>
    <w:charset w:val="00"/>
    <w:family w:val="auto"/>
    <w:pitch w:val="default"/>
    <w:sig w:usb0="00000000" w:usb1="00000000" w:usb2="00000000" w:usb3="00000000" w:csb0="80000000" w:csb1="00000000"/>
    <w:embedRegular r:id="rId11" w:fontKey="{E36BB180-9E4F-45B2-B758-83DD806AA6AF}"/>
  </w:font>
  <w:font w:name="华文中宋">
    <w:panose1 w:val="02010600040101010101"/>
    <w:charset w:val="86"/>
    <w:family w:val="auto"/>
    <w:pitch w:val="default"/>
    <w:sig w:usb0="00000287" w:usb1="080F0000" w:usb2="00000000" w:usb3="00000000" w:csb0="0004009F" w:csb1="DFD70000"/>
    <w:embedRegular r:id="rId12" w:fontKey="{933FF604-ADE7-4CC8-9542-97CC9933FA84}"/>
  </w:font>
  <w:font w:name="WPSEMBED1">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F8E54E">
    <w:pPr>
      <w:pStyle w:val="1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82E948">
    <w:pPr>
      <w:pStyle w:val="19"/>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42" name="文本框 2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7EBB5B">
                          <w:pPr>
                            <w:pStyle w:val="1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5/N30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fzd9NAIAAGUEAAAOAAAAAAAAAAEAIAAAAB8BAABkcnMvZTJvRG9jLnhtbFBL&#10;BQYAAAAABgAGAFkBAADFBQAAAAA=&#10;">
              <v:fill on="f" focussize="0,0"/>
              <v:stroke on="f" weight="0.5pt"/>
              <v:imagedata o:title=""/>
              <o:lock v:ext="edit" aspectratio="f"/>
              <v:textbox inset="0mm,0mm,0mm,0mm" style="mso-fit-shape-to-text:t;">
                <w:txbxContent>
                  <w:p w14:paraId="137EBB5B">
                    <w:pPr>
                      <w:pStyle w:val="1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881E05">
    <w:pPr>
      <w:pStyle w:val="19"/>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43" name="文本框 2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F1652A">
                          <w:pPr>
                            <w:pStyle w:val="1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7</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DqeE1AgAAZQ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dPL6ihLDNEp++v7t&#10;9OPX6edXkg4hUePCDJEPDrGxfWtbNM5wHnCYmLeV1+kLTgR+CHy8CCzaSHi6NJ1MpzlcHL5hA/zs&#10;8brzIb4TVpNkFNSjgp2w7LAJsQ8dQlI2Y9dSqa6KypCmoNdXb/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FcOp4TUCAABlBAAADgAAAAAAAAABACAAAAAfAQAAZHJzL2Uyb0RvYy54bWxQ&#10;SwUGAAAAAAYABgBZAQAAxgUAAAAA&#10;">
              <v:fill on="f" focussize="0,0"/>
              <v:stroke on="f" weight="0.5pt"/>
              <v:imagedata o:title=""/>
              <o:lock v:ext="edit" aspectratio="f"/>
              <v:textbox inset="0mm,0mm,0mm,0mm" style="mso-fit-shape-to-text:t;">
                <w:txbxContent>
                  <w:p w14:paraId="37F1652A">
                    <w:pPr>
                      <w:pStyle w:val="1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7</w:t>
                    </w:r>
                    <w:r>
                      <w:rPr>
                        <w:rFonts w:hint="eastAsia"/>
                        <w:lang w:eastAsia="zh-C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D6F4BF">
    <w:pPr>
      <w:spacing w:line="176" w:lineRule="auto"/>
      <w:ind w:left="4358"/>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w:t>
    </w:r>
    <w:r>
      <w:rPr>
        <w:rFonts w:ascii="Times New Roman" w:hAnsi="Times New Roman" w:eastAsia="Times New Roman" w:cs="Times New Roman"/>
        <w:spacing w:val="7"/>
        <w:sz w:val="18"/>
        <w:szCs w:val="18"/>
      </w:rPr>
      <w:t xml:space="preserve"> </w:t>
    </w:r>
    <w:r>
      <w:rPr>
        <w:rFonts w:ascii="Times New Roman" w:hAnsi="Times New Roman" w:eastAsia="Times New Roman" w:cs="Times New Roman"/>
        <w:spacing w:val="-3"/>
        <w:sz w:val="18"/>
        <w:szCs w:val="18"/>
      </w:rPr>
      <w:t>206</w:t>
    </w:r>
    <w:r>
      <w:rPr>
        <w:rFonts w:ascii="Times New Roman" w:hAnsi="Times New Roman" w:eastAsia="Times New Roman" w:cs="Times New Roman"/>
        <w:spacing w:val="7"/>
        <w:sz w:val="18"/>
        <w:szCs w:val="18"/>
      </w:rPr>
      <w:t xml:space="preserve"> </w:t>
    </w:r>
    <w:r>
      <w:rPr>
        <w:rFonts w:ascii="Times New Roman" w:hAnsi="Times New Roman" w:eastAsia="Times New Roman" w:cs="Times New Roman"/>
        <w:spacing w:val="-3"/>
        <w:sz w:val="18"/>
        <w:szCs w:val="18"/>
      </w:rPr>
      <w:t>-</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1B04CD">
    <w:pPr>
      <w:pStyle w:val="19"/>
      <w:ind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44" name="文本框 2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9A830A">
                          <w:pPr>
                            <w:pStyle w:val="1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156</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b6koA1AgAAZQQAAA4AAABkcnMvZTJvRG9jLnhtbK1UzY7TMBC+I/EO&#10;lu80aVl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dHJ1RYlhGiU/ff92&#10;+vHr9PMrSYeQqHFhhsgHh9jYvrUtGmc4DzhMzNvK6/QFJwI/BD5eBBZtJDxdmk6m0xwuDt+wAX72&#10;eN35EN8Jq0kyCupRwU5YdtiE2IcOISmbsWupVFdFZUhT0OvXb/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hvqSgDUCAABlBAAADgAAAAAAAAABACAAAAAfAQAAZHJzL2Uyb0RvYy54bWxQ&#10;SwUGAAAAAAYABgBZAQAAxgUAAAAA&#10;">
              <v:fill on="f" focussize="0,0"/>
              <v:stroke on="f" weight="0.5pt"/>
              <v:imagedata o:title=""/>
              <o:lock v:ext="edit" aspectratio="f"/>
              <v:textbox inset="0mm,0mm,0mm,0mm" style="mso-fit-shape-to-text:t;">
                <w:txbxContent>
                  <w:p w14:paraId="799A830A">
                    <w:pPr>
                      <w:pStyle w:val="1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156</w:t>
                    </w:r>
                    <w:r>
                      <w:rPr>
                        <w:rFonts w:hint="eastAsia"/>
                        <w:lang w:eastAsia="zh-CN"/>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1EF793">
    <w:pPr>
      <w:pStyle w:val="20"/>
      <w:spacing w:line="240" w:lineRule="auto"/>
      <w:rPr>
        <w:rFonts w:hint="default"/>
        <w:lang w:val="en-US"/>
      </w:rPr>
    </w:pPr>
    <w:bookmarkStart w:id="1965" w:name="_GoBack"/>
    <w:r>
      <w:rPr>
        <w:rFonts w:hint="eastAsia" w:ascii="Times New Roman" w:hAnsi="Times New Roman" w:cs="Times New Roman"/>
        <w:b/>
        <w:bCs/>
        <w:sz w:val="21"/>
        <w:szCs w:val="21"/>
        <w:lang w:val="en-US" w:eastAsia="zh-CN"/>
      </w:rPr>
      <w:t>S227阿图什至喀什公路新建工程（隧道）</w:t>
    </w:r>
    <w:r>
      <w:rPr>
        <w:rFonts w:hint="eastAsia" w:ascii="Times New Roman" w:hAnsi="Times New Roman" w:eastAsia="宋体" w:cs="Times New Roman"/>
        <w:b/>
        <w:bCs/>
        <w:sz w:val="21"/>
        <w:szCs w:val="21"/>
        <w:lang w:val="en-US" w:eastAsia="zh-CN"/>
      </w:rPr>
      <w:t>环境影响报告书</w:t>
    </w:r>
  </w:p>
  <w:bookmarkEnd w:id="1965"/>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C731F2">
    <w:pPr>
      <w:pStyle w:val="20"/>
      <w:spacing w:line="240" w:lineRule="auto"/>
      <w:rPr>
        <w:sz w:val="21"/>
        <w:szCs w:val="21"/>
      </w:rPr>
    </w:pPr>
    <w:r>
      <w:rPr>
        <w:rFonts w:hint="eastAsia" w:ascii="Times New Roman" w:hAnsi="Times New Roman" w:cs="Times New Roman"/>
        <w:b/>
        <w:bCs/>
        <w:sz w:val="21"/>
        <w:szCs w:val="21"/>
        <w:lang w:val="en-US" w:eastAsia="zh-CN"/>
      </w:rPr>
      <w:t>S227阿图什至喀什公路新建工程（隧道）</w:t>
    </w:r>
    <w:r>
      <w:rPr>
        <w:rFonts w:hint="eastAsia" w:ascii="Times New Roman" w:hAnsi="Times New Roman" w:eastAsia="宋体" w:cs="Times New Roman"/>
        <w:b/>
        <w:bCs/>
        <w:sz w:val="21"/>
        <w:szCs w:val="21"/>
        <w:lang w:val="en-US" w:eastAsia="zh-CN"/>
      </w:rPr>
      <w:t>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57A3FC">
    <w:pPr>
      <w:spacing w:before="15" w:line="219" w:lineRule="auto"/>
      <w:ind w:left="0" w:leftChars="0" w:firstLine="0" w:firstLineChars="0"/>
      <w:jc w:val="center"/>
      <w:rPr>
        <w:rFonts w:ascii="宋体" w:hAnsi="宋体" w:eastAsia="宋体" w:cs="宋体"/>
        <w:sz w:val="18"/>
        <w:szCs w:val="18"/>
      </w:rPr>
    </w:pPr>
    <w:r>
      <w:rPr>
        <w:rFonts w:hint="eastAsia" w:cs="Times New Roman"/>
        <w:b/>
        <w:bCs/>
        <w:sz w:val="21"/>
        <w:szCs w:val="21"/>
        <w:lang w:val="en-US" w:eastAsia="zh-CN"/>
      </w:rPr>
      <w:t>S227阿图什至喀什公路新建工程（隧道）</w:t>
    </w:r>
    <w:r>
      <w:rPr>
        <w:rFonts w:hint="eastAsia" w:ascii="Times New Roman" w:hAnsi="Times New Roman" w:eastAsia="宋体" w:cs="Times New Roman"/>
        <w:b/>
        <w:bCs/>
        <w:sz w:val="21"/>
        <w:szCs w:val="21"/>
        <w:lang w:val="en-US" w:eastAsia="zh-CN"/>
      </w:rPr>
      <w:t>环境影响报告书</w:t>
    </w:r>
    <w:r>
      <mc:AlternateContent>
        <mc:Choice Requires="wps">
          <w:drawing>
            <wp:anchor distT="0" distB="0" distL="114300" distR="114300" simplePos="0" relativeHeight="251672576" behindDoc="0" locked="0" layoutInCell="0" allowOverlap="1">
              <wp:simplePos x="0" y="0"/>
              <wp:positionH relativeFrom="page">
                <wp:posOffset>935990</wp:posOffset>
              </wp:positionH>
              <wp:positionV relativeFrom="page">
                <wp:posOffset>701040</wp:posOffset>
              </wp:positionV>
              <wp:extent cx="5688330" cy="9525"/>
              <wp:effectExtent l="0" t="0" r="0" b="0"/>
              <wp:wrapNone/>
              <wp:docPr id="29" name="任意多边形 29"/>
              <wp:cNvGraphicFramePr/>
              <a:graphic xmlns:a="http://schemas.openxmlformats.org/drawingml/2006/main">
                <a:graphicData uri="http://schemas.microsoft.com/office/word/2010/wordprocessingShape">
                  <wps:wsp>
                    <wps:cNvSpPr/>
                    <wps:spPr>
                      <a:xfrm>
                        <a:off x="0" y="0"/>
                        <a:ext cx="5688330" cy="9525"/>
                      </a:xfrm>
                      <a:custGeom>
                        <a:avLst/>
                        <a:gdLst/>
                        <a:ahLst/>
                        <a:cxnLst/>
                        <a:pathLst>
                          <a:path w="8957" h="15">
                            <a:moveTo>
                              <a:pt x="0" y="0"/>
                            </a:moveTo>
                            <a:lnTo>
                              <a:pt x="8957" y="0"/>
                            </a:lnTo>
                            <a:lnTo>
                              <a:pt x="8957" y="14"/>
                            </a:lnTo>
                            <a:lnTo>
                              <a:pt x="0" y="14"/>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73.7pt;margin-top:55.2pt;height:0.75pt;width:447.9pt;mso-position-horizontal-relative:page;mso-position-vertical-relative:page;z-index:251672576;mso-width-relative:page;mso-height-relative:page;" fillcolor="#000000" filled="t" stroked="f" coordsize="8957,15" o:allowincell="f" o:gfxdata="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FiJ82QAAAAwBAAAPAAAA&#10;AAAAAAEAIAAAACIAAABkcnMvZG93bnJldi54bWxQSwECFAAUAAAACACHTuJAar6OwhQCAAB9BAAA&#10;DgAAAAAAAAABACAAAAAoAQAAZHJzL2Uyb0RvYy54bWxQSwUGAAAAAAYABgBZAQAArgUAAAAA&#10;" path="m0,0l8957,0,8957,14,0,14,0,0xe">
              <v:fill on="t" focussize="0,0"/>
              <v:stroke on="f"/>
              <v:imagedata o:title=""/>
              <o:lock v:ext="edit" aspectratio="f"/>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5817A8">
    <w:pPr>
      <w:pStyle w:val="103"/>
      <w:keepNext w:val="0"/>
      <w:keepLines w:val="0"/>
      <w:pageBreakBefore w:val="0"/>
      <w:widowControl/>
      <w:pBdr>
        <w:bottom w:val="single" w:color="auto" w:sz="4" w:space="0"/>
      </w:pBdr>
      <w:kinsoku/>
      <w:wordWrap/>
      <w:overflowPunct/>
      <w:topLinePunct w:val="0"/>
      <w:autoSpaceDE/>
      <w:autoSpaceDN/>
      <w:bidi w:val="0"/>
      <w:adjustRightInd w:val="0"/>
      <w:snapToGrid w:val="0"/>
      <w:spacing w:line="240" w:lineRule="auto"/>
      <w:ind w:firstLine="0" w:firstLineChars="0"/>
      <w:jc w:val="center"/>
      <w:textAlignment w:val="auto"/>
      <w:rPr>
        <w:b/>
        <w:bCs/>
      </w:rPr>
    </w:pPr>
    <w:r>
      <w:rPr>
        <w:rFonts w:hint="eastAsia" w:eastAsia="宋体" w:cs="Times New Roman"/>
        <w:b/>
        <w:bCs/>
        <w:i w:val="0"/>
        <w:iCs w:val="0"/>
        <w:caps w:val="0"/>
        <w:color w:val="auto"/>
        <w:spacing w:val="0"/>
        <w:sz w:val="21"/>
        <w:szCs w:val="21"/>
        <w:shd w:val="clear" w:color="auto" w:fill="FFFFFF"/>
        <w:lang w:val="en-US" w:eastAsia="zh-CN"/>
      </w:rPr>
      <w:t>S227阿图什至喀什公路新建工程（隧道）</w:t>
    </w:r>
    <w:r>
      <w:rPr>
        <w:rFonts w:hint="eastAsia"/>
        <w:b/>
        <w:bCs/>
        <w:sz w:val="21"/>
        <w:szCs w:val="21"/>
      </w:rPr>
      <w:t>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D"/>
    <w:multiLevelType w:val="multilevel"/>
    <w:tmpl w:val="0000000D"/>
    <w:lvl w:ilvl="0" w:tentative="0">
      <w:start w:val="1"/>
      <w:numFmt w:val="none"/>
      <w:pStyle w:val="90"/>
      <w:suff w:val="nothing"/>
      <w:lvlText w:val="%1"/>
      <w:lvlJc w:val="left"/>
      <w:pPr>
        <w:ind w:left="0" w:firstLine="0"/>
      </w:pPr>
      <w:rPr>
        <w:rFonts w:hint="default" w:ascii="Times New Roman" w:hAnsi="Times New Roman"/>
        <w:b/>
        <w:i w:val="0"/>
        <w:sz w:val="21"/>
      </w:rPr>
    </w:lvl>
    <w:lvl w:ilvl="1" w:tentative="0">
      <w:start w:val="1"/>
      <w:numFmt w:val="decimal"/>
      <w:suff w:val="nothing"/>
      <w:lvlText w:val="%1%2　"/>
      <w:lvlJc w:val="left"/>
      <w:pPr>
        <w:ind w:left="0" w:firstLine="0"/>
      </w:pPr>
      <w:rPr>
        <w:rFonts w:hint="eastAsia" w:ascii="黑体" w:hAnsi="Times New Roman" w:eastAsia="黑体"/>
        <w:b w:val="0"/>
        <w:i w:val="0"/>
        <w:sz w:val="21"/>
      </w:rPr>
    </w:lvl>
    <w:lvl w:ilvl="2" w:tentative="0">
      <w:start w:val="1"/>
      <w:numFmt w:val="decimal"/>
      <w:suff w:val="nothing"/>
      <w:lvlText w:val="%1%2.%3　"/>
      <w:lvlJc w:val="left"/>
      <w:pPr>
        <w:ind w:left="0" w:firstLine="0"/>
      </w:pPr>
      <w:rPr>
        <w:rFonts w:hint="eastAsia" w:ascii="黑体" w:hAnsi="Times New Roman" w:eastAsia="黑体"/>
        <w:b w:val="0"/>
        <w:i w:val="0"/>
        <w:sz w:val="21"/>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1">
    <w:nsid w:val="4E29492A"/>
    <w:multiLevelType w:val="multilevel"/>
    <w:tmpl w:val="4E29492A"/>
    <w:lvl w:ilvl="0" w:tentative="0">
      <w:start w:val="1"/>
      <w:numFmt w:val="decimal"/>
      <w:isLgl/>
      <w:lvlText w:val="%1."/>
      <w:lvlJc w:val="left"/>
      <w:pPr>
        <w:tabs>
          <w:tab w:val="left" w:pos="425"/>
        </w:tabs>
        <w:ind w:left="425" w:hanging="425"/>
      </w:pPr>
      <w:rPr>
        <w:rFonts w:hint="eastAsia"/>
      </w:rPr>
    </w:lvl>
    <w:lvl w:ilvl="1" w:tentative="0">
      <w:start w:val="1"/>
      <w:numFmt w:val="decimal"/>
      <w:pStyle w:val="3"/>
      <w:lvlText w:val="%1.%2."/>
      <w:lvlJc w:val="left"/>
      <w:pPr>
        <w:tabs>
          <w:tab w:val="left" w:pos="567"/>
        </w:tabs>
        <w:ind w:left="567" w:hanging="567"/>
      </w:pPr>
      <w:rPr>
        <w:rFonts w:hint="eastAsia"/>
      </w:rPr>
    </w:lvl>
    <w:lvl w:ilvl="2" w:tentative="0">
      <w:start w:val="1"/>
      <w:numFmt w:val="decimal"/>
      <w:lvlText w:val="%1.%2.%3."/>
      <w:lvlJc w:val="left"/>
      <w:pPr>
        <w:tabs>
          <w:tab w:val="left" w:pos="709"/>
        </w:tabs>
        <w:ind w:left="709" w:hanging="709"/>
      </w:pPr>
      <w:rPr>
        <w:rFonts w:hint="eastAsia"/>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I1MTYzYzQxNmJmODg3MzBkZmRiYmQ0ZjMxZWFlNWMifQ=="/>
    <w:docVar w:name="KSO_WPS_MARK_KEY" w:val="e9a0916f-f34f-4e7e-8299-3ebde9564f12"/>
  </w:docVars>
  <w:rsids>
    <w:rsidRoot w:val="00172A27"/>
    <w:rsid w:val="0001431D"/>
    <w:rsid w:val="000417B5"/>
    <w:rsid w:val="000B5B28"/>
    <w:rsid w:val="000E2CD2"/>
    <w:rsid w:val="000F3490"/>
    <w:rsid w:val="000F34F5"/>
    <w:rsid w:val="00107DE6"/>
    <w:rsid w:val="00107F2C"/>
    <w:rsid w:val="0011584D"/>
    <w:rsid w:val="001179C3"/>
    <w:rsid w:val="00155AEE"/>
    <w:rsid w:val="00156258"/>
    <w:rsid w:val="00160FAE"/>
    <w:rsid w:val="00182D1F"/>
    <w:rsid w:val="001B3D29"/>
    <w:rsid w:val="001E0AC1"/>
    <w:rsid w:val="00215C7F"/>
    <w:rsid w:val="00256200"/>
    <w:rsid w:val="0026434B"/>
    <w:rsid w:val="002718EB"/>
    <w:rsid w:val="00340126"/>
    <w:rsid w:val="0035608E"/>
    <w:rsid w:val="003849AA"/>
    <w:rsid w:val="003F3E6B"/>
    <w:rsid w:val="00420F01"/>
    <w:rsid w:val="00430393"/>
    <w:rsid w:val="00431FD9"/>
    <w:rsid w:val="004337D9"/>
    <w:rsid w:val="00441792"/>
    <w:rsid w:val="004623B7"/>
    <w:rsid w:val="00483B8F"/>
    <w:rsid w:val="00533838"/>
    <w:rsid w:val="00541C0E"/>
    <w:rsid w:val="005B4A64"/>
    <w:rsid w:val="005B79F2"/>
    <w:rsid w:val="00606699"/>
    <w:rsid w:val="00674F4F"/>
    <w:rsid w:val="00675481"/>
    <w:rsid w:val="006B22C2"/>
    <w:rsid w:val="006B3994"/>
    <w:rsid w:val="006B5688"/>
    <w:rsid w:val="006B7EBD"/>
    <w:rsid w:val="006F632A"/>
    <w:rsid w:val="007164E9"/>
    <w:rsid w:val="007402CA"/>
    <w:rsid w:val="0074325C"/>
    <w:rsid w:val="007521F2"/>
    <w:rsid w:val="00775A35"/>
    <w:rsid w:val="00790AB5"/>
    <w:rsid w:val="00797F2C"/>
    <w:rsid w:val="007C6CCD"/>
    <w:rsid w:val="007F0AD3"/>
    <w:rsid w:val="00843053"/>
    <w:rsid w:val="008516B6"/>
    <w:rsid w:val="00885A35"/>
    <w:rsid w:val="008871D0"/>
    <w:rsid w:val="00914D49"/>
    <w:rsid w:val="00944C00"/>
    <w:rsid w:val="00962F79"/>
    <w:rsid w:val="00963149"/>
    <w:rsid w:val="009D2101"/>
    <w:rsid w:val="00A14D16"/>
    <w:rsid w:val="00A23ED9"/>
    <w:rsid w:val="00A451F5"/>
    <w:rsid w:val="00A54CCA"/>
    <w:rsid w:val="00AA3E60"/>
    <w:rsid w:val="00AB7E73"/>
    <w:rsid w:val="00AD0E6E"/>
    <w:rsid w:val="00AE1409"/>
    <w:rsid w:val="00AE5A55"/>
    <w:rsid w:val="00B12193"/>
    <w:rsid w:val="00B66016"/>
    <w:rsid w:val="00BC00FE"/>
    <w:rsid w:val="00BC1C13"/>
    <w:rsid w:val="00BD255A"/>
    <w:rsid w:val="00BD58E3"/>
    <w:rsid w:val="00BE1738"/>
    <w:rsid w:val="00BE216E"/>
    <w:rsid w:val="00BF3E20"/>
    <w:rsid w:val="00C41BFF"/>
    <w:rsid w:val="00C50249"/>
    <w:rsid w:val="00C6147D"/>
    <w:rsid w:val="00C7778B"/>
    <w:rsid w:val="00C9252E"/>
    <w:rsid w:val="00CD09DF"/>
    <w:rsid w:val="00CE389E"/>
    <w:rsid w:val="00D13D25"/>
    <w:rsid w:val="00D16078"/>
    <w:rsid w:val="00D22183"/>
    <w:rsid w:val="00D74992"/>
    <w:rsid w:val="00DD7542"/>
    <w:rsid w:val="00E250E8"/>
    <w:rsid w:val="00E32478"/>
    <w:rsid w:val="00E80F74"/>
    <w:rsid w:val="00E81E62"/>
    <w:rsid w:val="00EB2C58"/>
    <w:rsid w:val="00EB53FB"/>
    <w:rsid w:val="00EE4774"/>
    <w:rsid w:val="00F53C5D"/>
    <w:rsid w:val="00FA6C24"/>
    <w:rsid w:val="00FF267B"/>
    <w:rsid w:val="01057174"/>
    <w:rsid w:val="01084B27"/>
    <w:rsid w:val="01182BDD"/>
    <w:rsid w:val="011D439E"/>
    <w:rsid w:val="01323CE1"/>
    <w:rsid w:val="01522E63"/>
    <w:rsid w:val="015A1C8B"/>
    <w:rsid w:val="01752A85"/>
    <w:rsid w:val="01956124"/>
    <w:rsid w:val="019D1F5A"/>
    <w:rsid w:val="01C63133"/>
    <w:rsid w:val="01CF7782"/>
    <w:rsid w:val="01D709F9"/>
    <w:rsid w:val="01F176F8"/>
    <w:rsid w:val="021D673F"/>
    <w:rsid w:val="022D16AD"/>
    <w:rsid w:val="02384BAA"/>
    <w:rsid w:val="023C65E8"/>
    <w:rsid w:val="02455CEE"/>
    <w:rsid w:val="024970A8"/>
    <w:rsid w:val="02641C78"/>
    <w:rsid w:val="02776F99"/>
    <w:rsid w:val="028B6AB3"/>
    <w:rsid w:val="02930AB7"/>
    <w:rsid w:val="02A25B89"/>
    <w:rsid w:val="02B63EF1"/>
    <w:rsid w:val="02C51CD5"/>
    <w:rsid w:val="02D06813"/>
    <w:rsid w:val="02E80480"/>
    <w:rsid w:val="02EB264D"/>
    <w:rsid w:val="030B27EE"/>
    <w:rsid w:val="030D7ED2"/>
    <w:rsid w:val="033A0C2B"/>
    <w:rsid w:val="033D2AA7"/>
    <w:rsid w:val="034D095E"/>
    <w:rsid w:val="034F2403"/>
    <w:rsid w:val="0352476B"/>
    <w:rsid w:val="035E2B6B"/>
    <w:rsid w:val="03660F66"/>
    <w:rsid w:val="03BE60FC"/>
    <w:rsid w:val="03CC06C2"/>
    <w:rsid w:val="03F51722"/>
    <w:rsid w:val="042A0CA0"/>
    <w:rsid w:val="043833BC"/>
    <w:rsid w:val="04A746F7"/>
    <w:rsid w:val="04BD1DBA"/>
    <w:rsid w:val="04C70380"/>
    <w:rsid w:val="04D07E4D"/>
    <w:rsid w:val="04D51AAC"/>
    <w:rsid w:val="04D550AF"/>
    <w:rsid w:val="04D96793"/>
    <w:rsid w:val="051C221A"/>
    <w:rsid w:val="05290F57"/>
    <w:rsid w:val="055023C0"/>
    <w:rsid w:val="05687CEB"/>
    <w:rsid w:val="056B01D9"/>
    <w:rsid w:val="059264EC"/>
    <w:rsid w:val="05B44655"/>
    <w:rsid w:val="05BB2466"/>
    <w:rsid w:val="05C7282F"/>
    <w:rsid w:val="05CB6CDD"/>
    <w:rsid w:val="05DA2686"/>
    <w:rsid w:val="05F2362B"/>
    <w:rsid w:val="060C10DB"/>
    <w:rsid w:val="0616597F"/>
    <w:rsid w:val="062F14C1"/>
    <w:rsid w:val="063D0C88"/>
    <w:rsid w:val="06652520"/>
    <w:rsid w:val="06776655"/>
    <w:rsid w:val="067E4B74"/>
    <w:rsid w:val="0680104B"/>
    <w:rsid w:val="068931F1"/>
    <w:rsid w:val="069025ED"/>
    <w:rsid w:val="069614BD"/>
    <w:rsid w:val="06B47EBB"/>
    <w:rsid w:val="06B502A7"/>
    <w:rsid w:val="06C453DB"/>
    <w:rsid w:val="06D907F1"/>
    <w:rsid w:val="06E41108"/>
    <w:rsid w:val="06F127CA"/>
    <w:rsid w:val="06F23CF7"/>
    <w:rsid w:val="07133C6D"/>
    <w:rsid w:val="071E447F"/>
    <w:rsid w:val="07267E44"/>
    <w:rsid w:val="07270FC2"/>
    <w:rsid w:val="07294766"/>
    <w:rsid w:val="072D2F81"/>
    <w:rsid w:val="073B6A3E"/>
    <w:rsid w:val="07416A2C"/>
    <w:rsid w:val="074F5A1D"/>
    <w:rsid w:val="077F3984"/>
    <w:rsid w:val="07A629CC"/>
    <w:rsid w:val="07C37441"/>
    <w:rsid w:val="07CE3C22"/>
    <w:rsid w:val="07F25F78"/>
    <w:rsid w:val="0802440D"/>
    <w:rsid w:val="082223BA"/>
    <w:rsid w:val="086A1FB2"/>
    <w:rsid w:val="088F0D5E"/>
    <w:rsid w:val="089D6191"/>
    <w:rsid w:val="08A52FEB"/>
    <w:rsid w:val="08D025B5"/>
    <w:rsid w:val="08E04023"/>
    <w:rsid w:val="090917CB"/>
    <w:rsid w:val="09114A79"/>
    <w:rsid w:val="091B6BAA"/>
    <w:rsid w:val="091E1B1B"/>
    <w:rsid w:val="09310C84"/>
    <w:rsid w:val="09376EA9"/>
    <w:rsid w:val="093A17D3"/>
    <w:rsid w:val="096930D9"/>
    <w:rsid w:val="09706452"/>
    <w:rsid w:val="09741370"/>
    <w:rsid w:val="09746495"/>
    <w:rsid w:val="098654A9"/>
    <w:rsid w:val="09907166"/>
    <w:rsid w:val="09AA1703"/>
    <w:rsid w:val="09E97995"/>
    <w:rsid w:val="0A0531B7"/>
    <w:rsid w:val="0A0F2EC5"/>
    <w:rsid w:val="0A243414"/>
    <w:rsid w:val="0A31685F"/>
    <w:rsid w:val="0A692F63"/>
    <w:rsid w:val="0A807C8A"/>
    <w:rsid w:val="0ABC0C54"/>
    <w:rsid w:val="0AC03A76"/>
    <w:rsid w:val="0B656F85"/>
    <w:rsid w:val="0BD0158B"/>
    <w:rsid w:val="0BDC27F2"/>
    <w:rsid w:val="0BDD1F33"/>
    <w:rsid w:val="0C112E71"/>
    <w:rsid w:val="0C3C77C2"/>
    <w:rsid w:val="0C427CB0"/>
    <w:rsid w:val="0C5E427E"/>
    <w:rsid w:val="0C96213D"/>
    <w:rsid w:val="0CAB3F48"/>
    <w:rsid w:val="0CB30325"/>
    <w:rsid w:val="0CC446AD"/>
    <w:rsid w:val="0CDD10C8"/>
    <w:rsid w:val="0CE15269"/>
    <w:rsid w:val="0CF27067"/>
    <w:rsid w:val="0D26294C"/>
    <w:rsid w:val="0D3B5703"/>
    <w:rsid w:val="0D3C1768"/>
    <w:rsid w:val="0D483549"/>
    <w:rsid w:val="0D4B5BBA"/>
    <w:rsid w:val="0D4F23D3"/>
    <w:rsid w:val="0D7F02AE"/>
    <w:rsid w:val="0D811A27"/>
    <w:rsid w:val="0D90379A"/>
    <w:rsid w:val="0DA333F3"/>
    <w:rsid w:val="0DBE5CF1"/>
    <w:rsid w:val="0DBF27B3"/>
    <w:rsid w:val="0DC161D1"/>
    <w:rsid w:val="0DC857B1"/>
    <w:rsid w:val="0DDB71F5"/>
    <w:rsid w:val="0DDC300B"/>
    <w:rsid w:val="0DE403E1"/>
    <w:rsid w:val="0E3A3974"/>
    <w:rsid w:val="0E545D4D"/>
    <w:rsid w:val="0E635844"/>
    <w:rsid w:val="0E7877FA"/>
    <w:rsid w:val="0E793AA3"/>
    <w:rsid w:val="0E8D3F9B"/>
    <w:rsid w:val="0E8E0C08"/>
    <w:rsid w:val="0E8E6884"/>
    <w:rsid w:val="0E990EFC"/>
    <w:rsid w:val="0EA0778B"/>
    <w:rsid w:val="0EB61AAE"/>
    <w:rsid w:val="0EC25BEB"/>
    <w:rsid w:val="0EC92E4B"/>
    <w:rsid w:val="0F0F039E"/>
    <w:rsid w:val="0F1025C2"/>
    <w:rsid w:val="0F2260B1"/>
    <w:rsid w:val="0F334C5E"/>
    <w:rsid w:val="0F360EBB"/>
    <w:rsid w:val="0F7B0652"/>
    <w:rsid w:val="0F7C6C89"/>
    <w:rsid w:val="0F8415D3"/>
    <w:rsid w:val="0F8B118C"/>
    <w:rsid w:val="0F9274EE"/>
    <w:rsid w:val="0FF47C8B"/>
    <w:rsid w:val="10024EF9"/>
    <w:rsid w:val="102111C6"/>
    <w:rsid w:val="103971E8"/>
    <w:rsid w:val="104D5ABF"/>
    <w:rsid w:val="105857F3"/>
    <w:rsid w:val="105D24B8"/>
    <w:rsid w:val="10677B63"/>
    <w:rsid w:val="10BF25DB"/>
    <w:rsid w:val="10C46124"/>
    <w:rsid w:val="10CC403B"/>
    <w:rsid w:val="10D20F4E"/>
    <w:rsid w:val="10E6175F"/>
    <w:rsid w:val="1102100A"/>
    <w:rsid w:val="11107543"/>
    <w:rsid w:val="112F5B47"/>
    <w:rsid w:val="113039F6"/>
    <w:rsid w:val="11510AAC"/>
    <w:rsid w:val="116C5DC8"/>
    <w:rsid w:val="11A047AA"/>
    <w:rsid w:val="11C0307B"/>
    <w:rsid w:val="11D31B27"/>
    <w:rsid w:val="12075A11"/>
    <w:rsid w:val="1215756B"/>
    <w:rsid w:val="121B2D1E"/>
    <w:rsid w:val="1225795C"/>
    <w:rsid w:val="12402856"/>
    <w:rsid w:val="126B3FF7"/>
    <w:rsid w:val="127470AD"/>
    <w:rsid w:val="128E689D"/>
    <w:rsid w:val="129074D1"/>
    <w:rsid w:val="12C159CD"/>
    <w:rsid w:val="12C964FF"/>
    <w:rsid w:val="1300334B"/>
    <w:rsid w:val="13040226"/>
    <w:rsid w:val="1324792E"/>
    <w:rsid w:val="132500A3"/>
    <w:rsid w:val="132E2502"/>
    <w:rsid w:val="13300EC6"/>
    <w:rsid w:val="1331226C"/>
    <w:rsid w:val="13385E01"/>
    <w:rsid w:val="13451652"/>
    <w:rsid w:val="136C4E31"/>
    <w:rsid w:val="1372767D"/>
    <w:rsid w:val="138D55D3"/>
    <w:rsid w:val="13AB3BAB"/>
    <w:rsid w:val="13C801BE"/>
    <w:rsid w:val="13D5058C"/>
    <w:rsid w:val="14253892"/>
    <w:rsid w:val="1430263B"/>
    <w:rsid w:val="14365114"/>
    <w:rsid w:val="14392248"/>
    <w:rsid w:val="144A059A"/>
    <w:rsid w:val="14810818"/>
    <w:rsid w:val="14836939"/>
    <w:rsid w:val="14976F7E"/>
    <w:rsid w:val="14AB7BDB"/>
    <w:rsid w:val="14CE3EA5"/>
    <w:rsid w:val="150A54C0"/>
    <w:rsid w:val="151439D2"/>
    <w:rsid w:val="154135D6"/>
    <w:rsid w:val="15465847"/>
    <w:rsid w:val="154E3166"/>
    <w:rsid w:val="15605210"/>
    <w:rsid w:val="15655FDB"/>
    <w:rsid w:val="158970AB"/>
    <w:rsid w:val="15936060"/>
    <w:rsid w:val="15A9411A"/>
    <w:rsid w:val="15AA3B11"/>
    <w:rsid w:val="15AE2127"/>
    <w:rsid w:val="15CA22E2"/>
    <w:rsid w:val="15CF2F6B"/>
    <w:rsid w:val="15D12754"/>
    <w:rsid w:val="15D85842"/>
    <w:rsid w:val="15DE1A29"/>
    <w:rsid w:val="16147CF7"/>
    <w:rsid w:val="163D0D06"/>
    <w:rsid w:val="165B6CC5"/>
    <w:rsid w:val="168357F5"/>
    <w:rsid w:val="16CD03B6"/>
    <w:rsid w:val="16D9538A"/>
    <w:rsid w:val="16DE6E51"/>
    <w:rsid w:val="16FE1553"/>
    <w:rsid w:val="17121053"/>
    <w:rsid w:val="17254630"/>
    <w:rsid w:val="175F56C8"/>
    <w:rsid w:val="176F6C9D"/>
    <w:rsid w:val="177F4C25"/>
    <w:rsid w:val="179B5DF0"/>
    <w:rsid w:val="179E7583"/>
    <w:rsid w:val="17E72B30"/>
    <w:rsid w:val="17E94CA2"/>
    <w:rsid w:val="180627F8"/>
    <w:rsid w:val="186C3FC5"/>
    <w:rsid w:val="186F0F42"/>
    <w:rsid w:val="18801EFE"/>
    <w:rsid w:val="1889381A"/>
    <w:rsid w:val="188D1138"/>
    <w:rsid w:val="189157B1"/>
    <w:rsid w:val="18B508AA"/>
    <w:rsid w:val="18BA4890"/>
    <w:rsid w:val="18BA5A1A"/>
    <w:rsid w:val="18C35497"/>
    <w:rsid w:val="18D82C9F"/>
    <w:rsid w:val="18D86C89"/>
    <w:rsid w:val="18E13BCB"/>
    <w:rsid w:val="18F7663F"/>
    <w:rsid w:val="18FE477D"/>
    <w:rsid w:val="190E4532"/>
    <w:rsid w:val="19116FA1"/>
    <w:rsid w:val="19193C4F"/>
    <w:rsid w:val="19391A60"/>
    <w:rsid w:val="194A5C14"/>
    <w:rsid w:val="195D78AF"/>
    <w:rsid w:val="195F08ED"/>
    <w:rsid w:val="19620551"/>
    <w:rsid w:val="196A1E12"/>
    <w:rsid w:val="196F2C2D"/>
    <w:rsid w:val="197E5465"/>
    <w:rsid w:val="199D2C8B"/>
    <w:rsid w:val="19B0368B"/>
    <w:rsid w:val="19B80DD0"/>
    <w:rsid w:val="19BF21B1"/>
    <w:rsid w:val="19C01A32"/>
    <w:rsid w:val="19C1571E"/>
    <w:rsid w:val="19C7658D"/>
    <w:rsid w:val="19FD2C86"/>
    <w:rsid w:val="1A0B238E"/>
    <w:rsid w:val="1A131F09"/>
    <w:rsid w:val="1A3B290C"/>
    <w:rsid w:val="1A645F1E"/>
    <w:rsid w:val="1A6E5932"/>
    <w:rsid w:val="1A72304B"/>
    <w:rsid w:val="1A8962C8"/>
    <w:rsid w:val="1ABD0331"/>
    <w:rsid w:val="1B053CB8"/>
    <w:rsid w:val="1B174C16"/>
    <w:rsid w:val="1B444966"/>
    <w:rsid w:val="1B55264E"/>
    <w:rsid w:val="1B6034CD"/>
    <w:rsid w:val="1B62708C"/>
    <w:rsid w:val="1B98237C"/>
    <w:rsid w:val="1BB43D12"/>
    <w:rsid w:val="1BDB6FCE"/>
    <w:rsid w:val="1BF12377"/>
    <w:rsid w:val="1BF27E9D"/>
    <w:rsid w:val="1BF65BDF"/>
    <w:rsid w:val="1C0F6CA1"/>
    <w:rsid w:val="1C0F74D8"/>
    <w:rsid w:val="1C3A691E"/>
    <w:rsid w:val="1C675FDC"/>
    <w:rsid w:val="1C7A6810"/>
    <w:rsid w:val="1C817B9F"/>
    <w:rsid w:val="1C926210"/>
    <w:rsid w:val="1CAC6B4F"/>
    <w:rsid w:val="1CAC7D01"/>
    <w:rsid w:val="1CCC06EE"/>
    <w:rsid w:val="1CDA328E"/>
    <w:rsid w:val="1D11654B"/>
    <w:rsid w:val="1D1327C1"/>
    <w:rsid w:val="1D174B5A"/>
    <w:rsid w:val="1D1E20C6"/>
    <w:rsid w:val="1D2755B7"/>
    <w:rsid w:val="1D3502B9"/>
    <w:rsid w:val="1D3637B7"/>
    <w:rsid w:val="1D562585"/>
    <w:rsid w:val="1D8027FD"/>
    <w:rsid w:val="1D873BEB"/>
    <w:rsid w:val="1D886D0B"/>
    <w:rsid w:val="1D8F16F3"/>
    <w:rsid w:val="1DA51D34"/>
    <w:rsid w:val="1DFF0DC7"/>
    <w:rsid w:val="1E136CEE"/>
    <w:rsid w:val="1E205195"/>
    <w:rsid w:val="1E320A25"/>
    <w:rsid w:val="1E336610"/>
    <w:rsid w:val="1E3826BA"/>
    <w:rsid w:val="1E3A283B"/>
    <w:rsid w:val="1E4A1C8D"/>
    <w:rsid w:val="1E5C0BFC"/>
    <w:rsid w:val="1E840FE0"/>
    <w:rsid w:val="1E893A4C"/>
    <w:rsid w:val="1E9C251A"/>
    <w:rsid w:val="1EB95F91"/>
    <w:rsid w:val="1ED01396"/>
    <w:rsid w:val="1F2B709C"/>
    <w:rsid w:val="1F486752"/>
    <w:rsid w:val="1F4B00DD"/>
    <w:rsid w:val="1F50309A"/>
    <w:rsid w:val="1F574248"/>
    <w:rsid w:val="1F592C68"/>
    <w:rsid w:val="1F843970"/>
    <w:rsid w:val="1F8E4377"/>
    <w:rsid w:val="1F970C00"/>
    <w:rsid w:val="1F9B338C"/>
    <w:rsid w:val="1FB51C42"/>
    <w:rsid w:val="1FB61F57"/>
    <w:rsid w:val="1FC1616E"/>
    <w:rsid w:val="1FC764E8"/>
    <w:rsid w:val="1FDC50EC"/>
    <w:rsid w:val="1FE25607"/>
    <w:rsid w:val="1FF960B3"/>
    <w:rsid w:val="200D127A"/>
    <w:rsid w:val="201C3E3A"/>
    <w:rsid w:val="20507992"/>
    <w:rsid w:val="20566113"/>
    <w:rsid w:val="205720C1"/>
    <w:rsid w:val="205F1489"/>
    <w:rsid w:val="207F28AF"/>
    <w:rsid w:val="20862DAB"/>
    <w:rsid w:val="2088088F"/>
    <w:rsid w:val="209918BD"/>
    <w:rsid w:val="20CB6718"/>
    <w:rsid w:val="20DA0A71"/>
    <w:rsid w:val="20DA412E"/>
    <w:rsid w:val="20F36B91"/>
    <w:rsid w:val="20F900A6"/>
    <w:rsid w:val="211617F9"/>
    <w:rsid w:val="212B1583"/>
    <w:rsid w:val="215B0191"/>
    <w:rsid w:val="21780E44"/>
    <w:rsid w:val="218B3C37"/>
    <w:rsid w:val="21A8797C"/>
    <w:rsid w:val="21AD345A"/>
    <w:rsid w:val="21B74787"/>
    <w:rsid w:val="21EA74EC"/>
    <w:rsid w:val="21FB3F4F"/>
    <w:rsid w:val="22034BB2"/>
    <w:rsid w:val="221C6DA9"/>
    <w:rsid w:val="222608A0"/>
    <w:rsid w:val="222B4109"/>
    <w:rsid w:val="222C28DC"/>
    <w:rsid w:val="2274264E"/>
    <w:rsid w:val="229376A0"/>
    <w:rsid w:val="2294396B"/>
    <w:rsid w:val="22C32593"/>
    <w:rsid w:val="22C83D5D"/>
    <w:rsid w:val="22CD12F1"/>
    <w:rsid w:val="22D07222"/>
    <w:rsid w:val="22D7732F"/>
    <w:rsid w:val="22E64245"/>
    <w:rsid w:val="22ED2838"/>
    <w:rsid w:val="22FA160E"/>
    <w:rsid w:val="23607782"/>
    <w:rsid w:val="23735731"/>
    <w:rsid w:val="238C776A"/>
    <w:rsid w:val="2392443F"/>
    <w:rsid w:val="23953EC0"/>
    <w:rsid w:val="239A7798"/>
    <w:rsid w:val="23B02B18"/>
    <w:rsid w:val="23B472C5"/>
    <w:rsid w:val="23ED7B16"/>
    <w:rsid w:val="24226D88"/>
    <w:rsid w:val="242F6167"/>
    <w:rsid w:val="243A146E"/>
    <w:rsid w:val="243E5C3F"/>
    <w:rsid w:val="24620F42"/>
    <w:rsid w:val="247F00B7"/>
    <w:rsid w:val="24834F09"/>
    <w:rsid w:val="248F6932"/>
    <w:rsid w:val="24A82CC6"/>
    <w:rsid w:val="24BC72A3"/>
    <w:rsid w:val="24D6035C"/>
    <w:rsid w:val="24DA7CE2"/>
    <w:rsid w:val="24E63F68"/>
    <w:rsid w:val="24FA3079"/>
    <w:rsid w:val="250E49C9"/>
    <w:rsid w:val="251C07F8"/>
    <w:rsid w:val="251E1D03"/>
    <w:rsid w:val="25215865"/>
    <w:rsid w:val="25424FEC"/>
    <w:rsid w:val="2561056D"/>
    <w:rsid w:val="256947B0"/>
    <w:rsid w:val="257302A1"/>
    <w:rsid w:val="25753256"/>
    <w:rsid w:val="259F2A8E"/>
    <w:rsid w:val="259F4BE1"/>
    <w:rsid w:val="25A06A30"/>
    <w:rsid w:val="25BA1F3B"/>
    <w:rsid w:val="25C66FF8"/>
    <w:rsid w:val="25CC175F"/>
    <w:rsid w:val="25D95AFA"/>
    <w:rsid w:val="25E82A3D"/>
    <w:rsid w:val="25E90563"/>
    <w:rsid w:val="2614798E"/>
    <w:rsid w:val="262F241A"/>
    <w:rsid w:val="26506052"/>
    <w:rsid w:val="26551DA8"/>
    <w:rsid w:val="268559FD"/>
    <w:rsid w:val="26A61FB0"/>
    <w:rsid w:val="26B21DE3"/>
    <w:rsid w:val="26BF097A"/>
    <w:rsid w:val="26C012C4"/>
    <w:rsid w:val="26C51377"/>
    <w:rsid w:val="26C54497"/>
    <w:rsid w:val="26CA2142"/>
    <w:rsid w:val="26CE5833"/>
    <w:rsid w:val="26FE3B9A"/>
    <w:rsid w:val="27030FF0"/>
    <w:rsid w:val="27032064"/>
    <w:rsid w:val="270C4FC5"/>
    <w:rsid w:val="273837FA"/>
    <w:rsid w:val="2742617D"/>
    <w:rsid w:val="27533EE6"/>
    <w:rsid w:val="27910EAE"/>
    <w:rsid w:val="27D439D2"/>
    <w:rsid w:val="27D87618"/>
    <w:rsid w:val="27E17743"/>
    <w:rsid w:val="27EB4516"/>
    <w:rsid w:val="27EE7C6A"/>
    <w:rsid w:val="284C6656"/>
    <w:rsid w:val="28583421"/>
    <w:rsid w:val="28AE4FCB"/>
    <w:rsid w:val="28EF5E90"/>
    <w:rsid w:val="293E0BC6"/>
    <w:rsid w:val="29470268"/>
    <w:rsid w:val="296E27BA"/>
    <w:rsid w:val="299A60D1"/>
    <w:rsid w:val="29C559FC"/>
    <w:rsid w:val="29CE7B2A"/>
    <w:rsid w:val="29D40AA5"/>
    <w:rsid w:val="29D477B9"/>
    <w:rsid w:val="29E44118"/>
    <w:rsid w:val="29EE439A"/>
    <w:rsid w:val="29FF6BE5"/>
    <w:rsid w:val="2A03124A"/>
    <w:rsid w:val="2A103D92"/>
    <w:rsid w:val="2A1E1E90"/>
    <w:rsid w:val="2A4B7C27"/>
    <w:rsid w:val="2A5470B9"/>
    <w:rsid w:val="2A681962"/>
    <w:rsid w:val="2AC9302B"/>
    <w:rsid w:val="2AD261F9"/>
    <w:rsid w:val="2AD27817"/>
    <w:rsid w:val="2AF91157"/>
    <w:rsid w:val="2B0934C1"/>
    <w:rsid w:val="2B2E2CA4"/>
    <w:rsid w:val="2B4A3BCC"/>
    <w:rsid w:val="2B4B7298"/>
    <w:rsid w:val="2B652E8F"/>
    <w:rsid w:val="2BB709E0"/>
    <w:rsid w:val="2BBE1B4A"/>
    <w:rsid w:val="2BC525C7"/>
    <w:rsid w:val="2BC76BAD"/>
    <w:rsid w:val="2BCC5554"/>
    <w:rsid w:val="2BDC1582"/>
    <w:rsid w:val="2BEB6DE3"/>
    <w:rsid w:val="2BF30E14"/>
    <w:rsid w:val="2BF36914"/>
    <w:rsid w:val="2BF67536"/>
    <w:rsid w:val="2C0811C5"/>
    <w:rsid w:val="2C6B1BBC"/>
    <w:rsid w:val="2C820DC9"/>
    <w:rsid w:val="2C8D12DD"/>
    <w:rsid w:val="2CA62764"/>
    <w:rsid w:val="2CAE7E10"/>
    <w:rsid w:val="2CB066F4"/>
    <w:rsid w:val="2CCB3F36"/>
    <w:rsid w:val="2CD24F58"/>
    <w:rsid w:val="2CDD0CDF"/>
    <w:rsid w:val="2CE133F0"/>
    <w:rsid w:val="2CEF54BB"/>
    <w:rsid w:val="2CF256E6"/>
    <w:rsid w:val="2D075ED9"/>
    <w:rsid w:val="2D0A10AD"/>
    <w:rsid w:val="2D0D5178"/>
    <w:rsid w:val="2D4A595A"/>
    <w:rsid w:val="2D630C26"/>
    <w:rsid w:val="2D803771"/>
    <w:rsid w:val="2D8F0E98"/>
    <w:rsid w:val="2DEF5F0F"/>
    <w:rsid w:val="2DF4639F"/>
    <w:rsid w:val="2DFA4FE8"/>
    <w:rsid w:val="2E1147A3"/>
    <w:rsid w:val="2E2E2FB7"/>
    <w:rsid w:val="2E350E75"/>
    <w:rsid w:val="2E3635E9"/>
    <w:rsid w:val="2E642E7C"/>
    <w:rsid w:val="2E717347"/>
    <w:rsid w:val="2E957926"/>
    <w:rsid w:val="2E9F5C62"/>
    <w:rsid w:val="2EC163DA"/>
    <w:rsid w:val="2EC5023D"/>
    <w:rsid w:val="2ECE36BD"/>
    <w:rsid w:val="2ED85DFF"/>
    <w:rsid w:val="2EF42185"/>
    <w:rsid w:val="2F002D2A"/>
    <w:rsid w:val="2F0B154A"/>
    <w:rsid w:val="2F4A02C4"/>
    <w:rsid w:val="2F784CC3"/>
    <w:rsid w:val="2F8F327D"/>
    <w:rsid w:val="2FAC22B0"/>
    <w:rsid w:val="2FB77F49"/>
    <w:rsid w:val="2FC0066F"/>
    <w:rsid w:val="2FC72B00"/>
    <w:rsid w:val="2FCF4325"/>
    <w:rsid w:val="300D06D5"/>
    <w:rsid w:val="301B5F5D"/>
    <w:rsid w:val="30472CF3"/>
    <w:rsid w:val="30827AD5"/>
    <w:rsid w:val="30AE4883"/>
    <w:rsid w:val="30B05A06"/>
    <w:rsid w:val="30B8125D"/>
    <w:rsid w:val="30CC6AB7"/>
    <w:rsid w:val="30F72018"/>
    <w:rsid w:val="310D1576"/>
    <w:rsid w:val="31222817"/>
    <w:rsid w:val="31260DCB"/>
    <w:rsid w:val="3136601F"/>
    <w:rsid w:val="314C7BB2"/>
    <w:rsid w:val="31557F29"/>
    <w:rsid w:val="31716E56"/>
    <w:rsid w:val="317E045D"/>
    <w:rsid w:val="317F5429"/>
    <w:rsid w:val="31911305"/>
    <w:rsid w:val="31A67308"/>
    <w:rsid w:val="31AC0DC2"/>
    <w:rsid w:val="31E27428"/>
    <w:rsid w:val="31FB2D2C"/>
    <w:rsid w:val="32303E6D"/>
    <w:rsid w:val="32317519"/>
    <w:rsid w:val="323C1EC0"/>
    <w:rsid w:val="324C7059"/>
    <w:rsid w:val="327678EE"/>
    <w:rsid w:val="328D7E61"/>
    <w:rsid w:val="32923F62"/>
    <w:rsid w:val="32D81351"/>
    <w:rsid w:val="32D92872"/>
    <w:rsid w:val="32DC1AA9"/>
    <w:rsid w:val="32FE77D2"/>
    <w:rsid w:val="33216343"/>
    <w:rsid w:val="332A73EA"/>
    <w:rsid w:val="334B1879"/>
    <w:rsid w:val="33501C21"/>
    <w:rsid w:val="33674BFD"/>
    <w:rsid w:val="33725E2C"/>
    <w:rsid w:val="33820877"/>
    <w:rsid w:val="339F3544"/>
    <w:rsid w:val="33AD0E22"/>
    <w:rsid w:val="33B95A18"/>
    <w:rsid w:val="33C32756"/>
    <w:rsid w:val="33E5739B"/>
    <w:rsid w:val="340C1276"/>
    <w:rsid w:val="34132915"/>
    <w:rsid w:val="34390907"/>
    <w:rsid w:val="34590E94"/>
    <w:rsid w:val="346F36CD"/>
    <w:rsid w:val="349017EA"/>
    <w:rsid w:val="34AB38D0"/>
    <w:rsid w:val="34BB1355"/>
    <w:rsid w:val="34E35F7E"/>
    <w:rsid w:val="34FC0EB6"/>
    <w:rsid w:val="34FC3E0F"/>
    <w:rsid w:val="3527045D"/>
    <w:rsid w:val="355359F9"/>
    <w:rsid w:val="355C665B"/>
    <w:rsid w:val="35633082"/>
    <w:rsid w:val="35743C94"/>
    <w:rsid w:val="357F6175"/>
    <w:rsid w:val="357F7812"/>
    <w:rsid w:val="35A24718"/>
    <w:rsid w:val="35BF572D"/>
    <w:rsid w:val="35DD5CD6"/>
    <w:rsid w:val="35F024B1"/>
    <w:rsid w:val="36010FB1"/>
    <w:rsid w:val="361231BE"/>
    <w:rsid w:val="361707D4"/>
    <w:rsid w:val="36200CAA"/>
    <w:rsid w:val="36592B9B"/>
    <w:rsid w:val="36631C4A"/>
    <w:rsid w:val="366E242B"/>
    <w:rsid w:val="366E687E"/>
    <w:rsid w:val="367550B6"/>
    <w:rsid w:val="368E784F"/>
    <w:rsid w:val="369646C3"/>
    <w:rsid w:val="36B204FD"/>
    <w:rsid w:val="36C71B83"/>
    <w:rsid w:val="36EE03B6"/>
    <w:rsid w:val="36F20CBC"/>
    <w:rsid w:val="373970F4"/>
    <w:rsid w:val="373B5D7B"/>
    <w:rsid w:val="3776719C"/>
    <w:rsid w:val="377979C4"/>
    <w:rsid w:val="379B1B27"/>
    <w:rsid w:val="37AD15AD"/>
    <w:rsid w:val="37D3697D"/>
    <w:rsid w:val="37DA37A2"/>
    <w:rsid w:val="37DA63AD"/>
    <w:rsid w:val="37E42858"/>
    <w:rsid w:val="37F013AF"/>
    <w:rsid w:val="38217182"/>
    <w:rsid w:val="382C7438"/>
    <w:rsid w:val="382F09DC"/>
    <w:rsid w:val="38390EF6"/>
    <w:rsid w:val="384358B1"/>
    <w:rsid w:val="384F24A7"/>
    <w:rsid w:val="386D0B7F"/>
    <w:rsid w:val="38715069"/>
    <w:rsid w:val="387A6D95"/>
    <w:rsid w:val="388B706D"/>
    <w:rsid w:val="38962CE6"/>
    <w:rsid w:val="38965901"/>
    <w:rsid w:val="38A43561"/>
    <w:rsid w:val="38B36091"/>
    <w:rsid w:val="38B844F1"/>
    <w:rsid w:val="38C60ABD"/>
    <w:rsid w:val="38D11504"/>
    <w:rsid w:val="38D41444"/>
    <w:rsid w:val="39285EF6"/>
    <w:rsid w:val="392B4CC2"/>
    <w:rsid w:val="39361BD5"/>
    <w:rsid w:val="39392504"/>
    <w:rsid w:val="394359D8"/>
    <w:rsid w:val="39521423"/>
    <w:rsid w:val="39561614"/>
    <w:rsid w:val="39617767"/>
    <w:rsid w:val="39621785"/>
    <w:rsid w:val="39634A95"/>
    <w:rsid w:val="396C1F7E"/>
    <w:rsid w:val="39D53485"/>
    <w:rsid w:val="39E6723B"/>
    <w:rsid w:val="39F61E58"/>
    <w:rsid w:val="39FB4122"/>
    <w:rsid w:val="3A0C2674"/>
    <w:rsid w:val="3A13262E"/>
    <w:rsid w:val="3A3B26DD"/>
    <w:rsid w:val="3A4B7556"/>
    <w:rsid w:val="3A511371"/>
    <w:rsid w:val="3A593108"/>
    <w:rsid w:val="3A9C6B0B"/>
    <w:rsid w:val="3AA7481D"/>
    <w:rsid w:val="3AF80D3F"/>
    <w:rsid w:val="3B0312A1"/>
    <w:rsid w:val="3B27498C"/>
    <w:rsid w:val="3B3901A7"/>
    <w:rsid w:val="3B5F6EA5"/>
    <w:rsid w:val="3B6049CB"/>
    <w:rsid w:val="3B6439C5"/>
    <w:rsid w:val="3B677B08"/>
    <w:rsid w:val="3B6D0DB7"/>
    <w:rsid w:val="3B6F4C0F"/>
    <w:rsid w:val="3B777157"/>
    <w:rsid w:val="3B7B5DC6"/>
    <w:rsid w:val="3B8406BA"/>
    <w:rsid w:val="3B914B85"/>
    <w:rsid w:val="3BE0777E"/>
    <w:rsid w:val="3BF23BBF"/>
    <w:rsid w:val="3C0E4427"/>
    <w:rsid w:val="3C0F6E1F"/>
    <w:rsid w:val="3C164924"/>
    <w:rsid w:val="3C1B3252"/>
    <w:rsid w:val="3C2C5294"/>
    <w:rsid w:val="3C5C2972"/>
    <w:rsid w:val="3C7324DC"/>
    <w:rsid w:val="3CA4293B"/>
    <w:rsid w:val="3CBC11E5"/>
    <w:rsid w:val="3D1863AE"/>
    <w:rsid w:val="3D4E71D1"/>
    <w:rsid w:val="3D515506"/>
    <w:rsid w:val="3DA70690"/>
    <w:rsid w:val="3DBE5C0C"/>
    <w:rsid w:val="3DC032D6"/>
    <w:rsid w:val="3DE515C1"/>
    <w:rsid w:val="3DF07CEA"/>
    <w:rsid w:val="3DFC3242"/>
    <w:rsid w:val="3DFC6FC0"/>
    <w:rsid w:val="3E0910BD"/>
    <w:rsid w:val="3E267C4F"/>
    <w:rsid w:val="3E2C4A1C"/>
    <w:rsid w:val="3E450712"/>
    <w:rsid w:val="3E5F0F6A"/>
    <w:rsid w:val="3E7470B8"/>
    <w:rsid w:val="3E7925A8"/>
    <w:rsid w:val="3E84720A"/>
    <w:rsid w:val="3EA35578"/>
    <w:rsid w:val="3EDC756C"/>
    <w:rsid w:val="3F044CBC"/>
    <w:rsid w:val="3F2F6B8F"/>
    <w:rsid w:val="3F3312B6"/>
    <w:rsid w:val="3F3B6B87"/>
    <w:rsid w:val="3F413A1C"/>
    <w:rsid w:val="3F475F5B"/>
    <w:rsid w:val="3F5C54AA"/>
    <w:rsid w:val="3F5D7954"/>
    <w:rsid w:val="3FAB551F"/>
    <w:rsid w:val="3FAC66B8"/>
    <w:rsid w:val="3FD55988"/>
    <w:rsid w:val="3FD61700"/>
    <w:rsid w:val="3FED38D3"/>
    <w:rsid w:val="40077B0C"/>
    <w:rsid w:val="401B0359"/>
    <w:rsid w:val="40244E72"/>
    <w:rsid w:val="40291830"/>
    <w:rsid w:val="403B57D6"/>
    <w:rsid w:val="4042703B"/>
    <w:rsid w:val="40515C61"/>
    <w:rsid w:val="40730CFD"/>
    <w:rsid w:val="40B07F23"/>
    <w:rsid w:val="40BD13C6"/>
    <w:rsid w:val="40D01055"/>
    <w:rsid w:val="40D7331C"/>
    <w:rsid w:val="40EB63CF"/>
    <w:rsid w:val="41067557"/>
    <w:rsid w:val="410F655E"/>
    <w:rsid w:val="41195D48"/>
    <w:rsid w:val="411C3143"/>
    <w:rsid w:val="4162324B"/>
    <w:rsid w:val="41747910"/>
    <w:rsid w:val="41AA5147"/>
    <w:rsid w:val="41CD1BD2"/>
    <w:rsid w:val="41E10C7B"/>
    <w:rsid w:val="41E70D00"/>
    <w:rsid w:val="41EC693E"/>
    <w:rsid w:val="41F00263"/>
    <w:rsid w:val="42043D45"/>
    <w:rsid w:val="421446FD"/>
    <w:rsid w:val="4222144B"/>
    <w:rsid w:val="422B7AE1"/>
    <w:rsid w:val="42380F7E"/>
    <w:rsid w:val="424F18B4"/>
    <w:rsid w:val="42622439"/>
    <w:rsid w:val="428471F1"/>
    <w:rsid w:val="428B64A2"/>
    <w:rsid w:val="429C09DF"/>
    <w:rsid w:val="42B40AE8"/>
    <w:rsid w:val="42D23FD9"/>
    <w:rsid w:val="42E163F2"/>
    <w:rsid w:val="42EA32FE"/>
    <w:rsid w:val="43065E58"/>
    <w:rsid w:val="43181024"/>
    <w:rsid w:val="43513128"/>
    <w:rsid w:val="436332AB"/>
    <w:rsid w:val="43900701"/>
    <w:rsid w:val="439E2EF5"/>
    <w:rsid w:val="43AE326C"/>
    <w:rsid w:val="43EC504E"/>
    <w:rsid w:val="43F74DEB"/>
    <w:rsid w:val="4410282B"/>
    <w:rsid w:val="4427170E"/>
    <w:rsid w:val="44595CE3"/>
    <w:rsid w:val="44660041"/>
    <w:rsid w:val="44760DBC"/>
    <w:rsid w:val="44897D64"/>
    <w:rsid w:val="448D4C95"/>
    <w:rsid w:val="44916A23"/>
    <w:rsid w:val="44A9607B"/>
    <w:rsid w:val="44C43914"/>
    <w:rsid w:val="44D1177E"/>
    <w:rsid w:val="450854FC"/>
    <w:rsid w:val="451219DF"/>
    <w:rsid w:val="453C4D8E"/>
    <w:rsid w:val="45451E45"/>
    <w:rsid w:val="457B2CF9"/>
    <w:rsid w:val="458539AC"/>
    <w:rsid w:val="459D1B95"/>
    <w:rsid w:val="45A357E7"/>
    <w:rsid w:val="45B2629D"/>
    <w:rsid w:val="45B3715A"/>
    <w:rsid w:val="45CF187A"/>
    <w:rsid w:val="45D466E2"/>
    <w:rsid w:val="45FC0D7A"/>
    <w:rsid w:val="460841ED"/>
    <w:rsid w:val="46177DFD"/>
    <w:rsid w:val="46450B2D"/>
    <w:rsid w:val="4651434A"/>
    <w:rsid w:val="465D66D7"/>
    <w:rsid w:val="46625A9C"/>
    <w:rsid w:val="46690BD8"/>
    <w:rsid w:val="466934A5"/>
    <w:rsid w:val="46990DE8"/>
    <w:rsid w:val="46B81B60"/>
    <w:rsid w:val="46B8390E"/>
    <w:rsid w:val="46CD368E"/>
    <w:rsid w:val="46EB1637"/>
    <w:rsid w:val="46FD1B17"/>
    <w:rsid w:val="46FE5893"/>
    <w:rsid w:val="470F1938"/>
    <w:rsid w:val="474D22A8"/>
    <w:rsid w:val="4750669E"/>
    <w:rsid w:val="47665118"/>
    <w:rsid w:val="476D5F25"/>
    <w:rsid w:val="477B5B92"/>
    <w:rsid w:val="4787636E"/>
    <w:rsid w:val="47A05703"/>
    <w:rsid w:val="47B450A3"/>
    <w:rsid w:val="47BC3568"/>
    <w:rsid w:val="47BF433F"/>
    <w:rsid w:val="47C31677"/>
    <w:rsid w:val="47CF53B3"/>
    <w:rsid w:val="481C4F33"/>
    <w:rsid w:val="481D55A5"/>
    <w:rsid w:val="481F69E8"/>
    <w:rsid w:val="48482A6F"/>
    <w:rsid w:val="484F2050"/>
    <w:rsid w:val="485649A4"/>
    <w:rsid w:val="48613EF2"/>
    <w:rsid w:val="487344BE"/>
    <w:rsid w:val="48834C9A"/>
    <w:rsid w:val="488468DE"/>
    <w:rsid w:val="48CB5B9A"/>
    <w:rsid w:val="48CF5E2F"/>
    <w:rsid w:val="48E64762"/>
    <w:rsid w:val="49302667"/>
    <w:rsid w:val="49AE0634"/>
    <w:rsid w:val="49C825D1"/>
    <w:rsid w:val="49CD36F0"/>
    <w:rsid w:val="49DC63A7"/>
    <w:rsid w:val="49DD7937"/>
    <w:rsid w:val="49DF560C"/>
    <w:rsid w:val="49E413D9"/>
    <w:rsid w:val="49F4326B"/>
    <w:rsid w:val="49F64E79"/>
    <w:rsid w:val="4A3C28E3"/>
    <w:rsid w:val="4A455895"/>
    <w:rsid w:val="4A5A48C7"/>
    <w:rsid w:val="4A6D2BEC"/>
    <w:rsid w:val="4A9121AA"/>
    <w:rsid w:val="4AA93421"/>
    <w:rsid w:val="4AFA3C95"/>
    <w:rsid w:val="4B2C1BDB"/>
    <w:rsid w:val="4B3F0892"/>
    <w:rsid w:val="4B3F36A7"/>
    <w:rsid w:val="4B47674C"/>
    <w:rsid w:val="4B577264"/>
    <w:rsid w:val="4B585BB2"/>
    <w:rsid w:val="4B776C76"/>
    <w:rsid w:val="4B7958F5"/>
    <w:rsid w:val="4B9E7576"/>
    <w:rsid w:val="4BB26B7D"/>
    <w:rsid w:val="4BCD39B7"/>
    <w:rsid w:val="4BCE14DD"/>
    <w:rsid w:val="4BCE3924"/>
    <w:rsid w:val="4BE1540F"/>
    <w:rsid w:val="4BFA0524"/>
    <w:rsid w:val="4C0E7510"/>
    <w:rsid w:val="4C1716E9"/>
    <w:rsid w:val="4C25774A"/>
    <w:rsid w:val="4C3C0B3D"/>
    <w:rsid w:val="4C417F01"/>
    <w:rsid w:val="4C4D57B7"/>
    <w:rsid w:val="4C511F1F"/>
    <w:rsid w:val="4C7976A6"/>
    <w:rsid w:val="4C7D3EB3"/>
    <w:rsid w:val="4C8D1398"/>
    <w:rsid w:val="4C91428E"/>
    <w:rsid w:val="4CAB4D96"/>
    <w:rsid w:val="4CBB4158"/>
    <w:rsid w:val="4CD86AB8"/>
    <w:rsid w:val="4CE9091E"/>
    <w:rsid w:val="4CE95E2A"/>
    <w:rsid w:val="4CED6463"/>
    <w:rsid w:val="4D045D02"/>
    <w:rsid w:val="4D057181"/>
    <w:rsid w:val="4D0811F1"/>
    <w:rsid w:val="4D1904B5"/>
    <w:rsid w:val="4D2C0BB1"/>
    <w:rsid w:val="4D3036A1"/>
    <w:rsid w:val="4D42685E"/>
    <w:rsid w:val="4D693BB4"/>
    <w:rsid w:val="4D9D56B1"/>
    <w:rsid w:val="4DB82FF3"/>
    <w:rsid w:val="4DDD6076"/>
    <w:rsid w:val="4DE1374A"/>
    <w:rsid w:val="4DE34ED9"/>
    <w:rsid w:val="4DEE5E67"/>
    <w:rsid w:val="4E164B22"/>
    <w:rsid w:val="4E2320A0"/>
    <w:rsid w:val="4E351F78"/>
    <w:rsid w:val="4E5D41A3"/>
    <w:rsid w:val="4E630603"/>
    <w:rsid w:val="4E6332C9"/>
    <w:rsid w:val="4E712D20"/>
    <w:rsid w:val="4E713B98"/>
    <w:rsid w:val="4E937CFE"/>
    <w:rsid w:val="4EA817B8"/>
    <w:rsid w:val="4EB250E6"/>
    <w:rsid w:val="4ECB7C91"/>
    <w:rsid w:val="4EDD2163"/>
    <w:rsid w:val="4EEC508F"/>
    <w:rsid w:val="4F051A2D"/>
    <w:rsid w:val="4F200681"/>
    <w:rsid w:val="4F6E71E0"/>
    <w:rsid w:val="4F7A3E56"/>
    <w:rsid w:val="4F7D0082"/>
    <w:rsid w:val="4F9E6C65"/>
    <w:rsid w:val="4FA93450"/>
    <w:rsid w:val="4FC21359"/>
    <w:rsid w:val="4FD00A25"/>
    <w:rsid w:val="4FFB1EBB"/>
    <w:rsid w:val="500852A4"/>
    <w:rsid w:val="5023004A"/>
    <w:rsid w:val="5023629C"/>
    <w:rsid w:val="50341483"/>
    <w:rsid w:val="504801B3"/>
    <w:rsid w:val="504929C0"/>
    <w:rsid w:val="504C6CAB"/>
    <w:rsid w:val="504F2B0E"/>
    <w:rsid w:val="505F206C"/>
    <w:rsid w:val="509617E6"/>
    <w:rsid w:val="50A351D9"/>
    <w:rsid w:val="50D33427"/>
    <w:rsid w:val="50E64DCF"/>
    <w:rsid w:val="50F963F3"/>
    <w:rsid w:val="51045D9B"/>
    <w:rsid w:val="51071719"/>
    <w:rsid w:val="51211DD5"/>
    <w:rsid w:val="513C6EC5"/>
    <w:rsid w:val="516F7ED2"/>
    <w:rsid w:val="517B4CF9"/>
    <w:rsid w:val="517F3532"/>
    <w:rsid w:val="5181043E"/>
    <w:rsid w:val="518A0A04"/>
    <w:rsid w:val="518A6C1F"/>
    <w:rsid w:val="519D2EA5"/>
    <w:rsid w:val="51A5393F"/>
    <w:rsid w:val="5213240A"/>
    <w:rsid w:val="521A547C"/>
    <w:rsid w:val="52352944"/>
    <w:rsid w:val="523B25CC"/>
    <w:rsid w:val="523D0632"/>
    <w:rsid w:val="52B4142D"/>
    <w:rsid w:val="52DA346F"/>
    <w:rsid w:val="52DD7771"/>
    <w:rsid w:val="52F747BC"/>
    <w:rsid w:val="530A0F09"/>
    <w:rsid w:val="530C1FE7"/>
    <w:rsid w:val="531620E8"/>
    <w:rsid w:val="53297EDD"/>
    <w:rsid w:val="535952D8"/>
    <w:rsid w:val="536C1D08"/>
    <w:rsid w:val="539D0113"/>
    <w:rsid w:val="53CC6C4A"/>
    <w:rsid w:val="53D531A5"/>
    <w:rsid w:val="53F30F18"/>
    <w:rsid w:val="54073032"/>
    <w:rsid w:val="54077C82"/>
    <w:rsid w:val="540E7263"/>
    <w:rsid w:val="54216B80"/>
    <w:rsid w:val="54512B11"/>
    <w:rsid w:val="54702BE4"/>
    <w:rsid w:val="54790B80"/>
    <w:rsid w:val="547B28DF"/>
    <w:rsid w:val="54E57FC4"/>
    <w:rsid w:val="54EB1B64"/>
    <w:rsid w:val="54F2623D"/>
    <w:rsid w:val="54FF3F9A"/>
    <w:rsid w:val="55122247"/>
    <w:rsid w:val="554403F6"/>
    <w:rsid w:val="554F3819"/>
    <w:rsid w:val="556D44EA"/>
    <w:rsid w:val="55704C6D"/>
    <w:rsid w:val="5591342E"/>
    <w:rsid w:val="55C14B2F"/>
    <w:rsid w:val="55DD7ADF"/>
    <w:rsid w:val="55EC7130"/>
    <w:rsid w:val="55EE4C56"/>
    <w:rsid w:val="55FD133D"/>
    <w:rsid w:val="56287B52"/>
    <w:rsid w:val="562D3C74"/>
    <w:rsid w:val="5631614B"/>
    <w:rsid w:val="563A5A3B"/>
    <w:rsid w:val="564B02FA"/>
    <w:rsid w:val="564F1F82"/>
    <w:rsid w:val="56535401"/>
    <w:rsid w:val="565E29AE"/>
    <w:rsid w:val="56612AC2"/>
    <w:rsid w:val="567D6C2D"/>
    <w:rsid w:val="56C20048"/>
    <w:rsid w:val="56C510B2"/>
    <w:rsid w:val="56C91E41"/>
    <w:rsid w:val="56DA791D"/>
    <w:rsid w:val="56EB29AC"/>
    <w:rsid w:val="56F634C3"/>
    <w:rsid w:val="57114D39"/>
    <w:rsid w:val="57122F34"/>
    <w:rsid w:val="57157267"/>
    <w:rsid w:val="5723355E"/>
    <w:rsid w:val="572D0332"/>
    <w:rsid w:val="57454D4A"/>
    <w:rsid w:val="57A40739"/>
    <w:rsid w:val="57AE24E0"/>
    <w:rsid w:val="57AF1333"/>
    <w:rsid w:val="57B55BB0"/>
    <w:rsid w:val="57BC1EEE"/>
    <w:rsid w:val="57C17934"/>
    <w:rsid w:val="580249E9"/>
    <w:rsid w:val="583D44E0"/>
    <w:rsid w:val="586629C1"/>
    <w:rsid w:val="58675DD2"/>
    <w:rsid w:val="58804B71"/>
    <w:rsid w:val="58937D37"/>
    <w:rsid w:val="58982383"/>
    <w:rsid w:val="58CE30A4"/>
    <w:rsid w:val="58D622C9"/>
    <w:rsid w:val="59350490"/>
    <w:rsid w:val="5944329C"/>
    <w:rsid w:val="59563B77"/>
    <w:rsid w:val="595E70DF"/>
    <w:rsid w:val="599B0FDA"/>
    <w:rsid w:val="59A5577A"/>
    <w:rsid w:val="59C25AB1"/>
    <w:rsid w:val="59D467A3"/>
    <w:rsid w:val="59F05DF6"/>
    <w:rsid w:val="59F47D01"/>
    <w:rsid w:val="5A074538"/>
    <w:rsid w:val="5A1153B7"/>
    <w:rsid w:val="5A4713DD"/>
    <w:rsid w:val="5A4F6CE3"/>
    <w:rsid w:val="5A644084"/>
    <w:rsid w:val="5A666A46"/>
    <w:rsid w:val="5A8E5284"/>
    <w:rsid w:val="5A971D60"/>
    <w:rsid w:val="5AB02E22"/>
    <w:rsid w:val="5AB10C56"/>
    <w:rsid w:val="5AB9062D"/>
    <w:rsid w:val="5ABD7FD2"/>
    <w:rsid w:val="5AC621DF"/>
    <w:rsid w:val="5ADE723B"/>
    <w:rsid w:val="5AF44A8D"/>
    <w:rsid w:val="5B176DEA"/>
    <w:rsid w:val="5B2C1F7E"/>
    <w:rsid w:val="5B41678A"/>
    <w:rsid w:val="5B703D8D"/>
    <w:rsid w:val="5B720BA3"/>
    <w:rsid w:val="5B810496"/>
    <w:rsid w:val="5B954BF3"/>
    <w:rsid w:val="5BBA2302"/>
    <w:rsid w:val="5BCB0DB1"/>
    <w:rsid w:val="5BED3823"/>
    <w:rsid w:val="5C0C052C"/>
    <w:rsid w:val="5C1A7AE2"/>
    <w:rsid w:val="5C2C3EDB"/>
    <w:rsid w:val="5C7A38E1"/>
    <w:rsid w:val="5C832F59"/>
    <w:rsid w:val="5C893155"/>
    <w:rsid w:val="5C9341C0"/>
    <w:rsid w:val="5C9824D5"/>
    <w:rsid w:val="5CAC7166"/>
    <w:rsid w:val="5CCB56F9"/>
    <w:rsid w:val="5CD9689B"/>
    <w:rsid w:val="5CFA16F9"/>
    <w:rsid w:val="5D005803"/>
    <w:rsid w:val="5D153E37"/>
    <w:rsid w:val="5D1607B5"/>
    <w:rsid w:val="5D415FB3"/>
    <w:rsid w:val="5D6044FE"/>
    <w:rsid w:val="5D6972B8"/>
    <w:rsid w:val="5D6A41D1"/>
    <w:rsid w:val="5D7B7760"/>
    <w:rsid w:val="5DB34D76"/>
    <w:rsid w:val="5DB46A5E"/>
    <w:rsid w:val="5DDB45C9"/>
    <w:rsid w:val="5DF126A9"/>
    <w:rsid w:val="5DFD09B2"/>
    <w:rsid w:val="5E280D84"/>
    <w:rsid w:val="5E483371"/>
    <w:rsid w:val="5E4B7C21"/>
    <w:rsid w:val="5E581544"/>
    <w:rsid w:val="5E630585"/>
    <w:rsid w:val="5E9821D4"/>
    <w:rsid w:val="5EA3729E"/>
    <w:rsid w:val="5EAD47D3"/>
    <w:rsid w:val="5ECA3D86"/>
    <w:rsid w:val="5ED846F5"/>
    <w:rsid w:val="5EDD7966"/>
    <w:rsid w:val="5EE40B9B"/>
    <w:rsid w:val="5EE57563"/>
    <w:rsid w:val="5EF74D82"/>
    <w:rsid w:val="5EFD23AE"/>
    <w:rsid w:val="5F447B90"/>
    <w:rsid w:val="5F597808"/>
    <w:rsid w:val="5F664A23"/>
    <w:rsid w:val="5F6C1E03"/>
    <w:rsid w:val="5FD7345D"/>
    <w:rsid w:val="5FE06ED4"/>
    <w:rsid w:val="5FE50855"/>
    <w:rsid w:val="60016044"/>
    <w:rsid w:val="6085265B"/>
    <w:rsid w:val="60885CA7"/>
    <w:rsid w:val="60AC6F0C"/>
    <w:rsid w:val="60C258A6"/>
    <w:rsid w:val="60DC4683"/>
    <w:rsid w:val="61017BCD"/>
    <w:rsid w:val="613009FC"/>
    <w:rsid w:val="61412A26"/>
    <w:rsid w:val="614E207D"/>
    <w:rsid w:val="617320F5"/>
    <w:rsid w:val="61785E8E"/>
    <w:rsid w:val="61801809"/>
    <w:rsid w:val="61865D97"/>
    <w:rsid w:val="61AB4C91"/>
    <w:rsid w:val="61D73C3A"/>
    <w:rsid w:val="61E1387E"/>
    <w:rsid w:val="61E407EE"/>
    <w:rsid w:val="62057222"/>
    <w:rsid w:val="62065A1D"/>
    <w:rsid w:val="620874EE"/>
    <w:rsid w:val="620F6680"/>
    <w:rsid w:val="621F4D86"/>
    <w:rsid w:val="62367D31"/>
    <w:rsid w:val="62396276"/>
    <w:rsid w:val="623E5732"/>
    <w:rsid w:val="624F1172"/>
    <w:rsid w:val="625040E9"/>
    <w:rsid w:val="62805AC6"/>
    <w:rsid w:val="62913539"/>
    <w:rsid w:val="629C4B5B"/>
    <w:rsid w:val="62C442D9"/>
    <w:rsid w:val="62D46FFA"/>
    <w:rsid w:val="62F11070"/>
    <w:rsid w:val="62FE43C9"/>
    <w:rsid w:val="630C28C8"/>
    <w:rsid w:val="631B72A6"/>
    <w:rsid w:val="6357193B"/>
    <w:rsid w:val="639A662F"/>
    <w:rsid w:val="63C24F56"/>
    <w:rsid w:val="63C82ECA"/>
    <w:rsid w:val="63D61E2D"/>
    <w:rsid w:val="63DD39F8"/>
    <w:rsid w:val="644017A3"/>
    <w:rsid w:val="64406FC4"/>
    <w:rsid w:val="644D348F"/>
    <w:rsid w:val="649A7B38"/>
    <w:rsid w:val="64AF57D1"/>
    <w:rsid w:val="64D355BE"/>
    <w:rsid w:val="65102E3B"/>
    <w:rsid w:val="65196A7D"/>
    <w:rsid w:val="65297A59"/>
    <w:rsid w:val="65341166"/>
    <w:rsid w:val="655668EB"/>
    <w:rsid w:val="65613610"/>
    <w:rsid w:val="656B62C3"/>
    <w:rsid w:val="656C2261"/>
    <w:rsid w:val="65706553"/>
    <w:rsid w:val="65843FEF"/>
    <w:rsid w:val="6589665B"/>
    <w:rsid w:val="65DB722B"/>
    <w:rsid w:val="65EC02D7"/>
    <w:rsid w:val="66193263"/>
    <w:rsid w:val="665C6A93"/>
    <w:rsid w:val="665D6885"/>
    <w:rsid w:val="666C4AE0"/>
    <w:rsid w:val="666D7E19"/>
    <w:rsid w:val="667B7951"/>
    <w:rsid w:val="669F14FE"/>
    <w:rsid w:val="66B97E2A"/>
    <w:rsid w:val="66D103A8"/>
    <w:rsid w:val="66D30BD2"/>
    <w:rsid w:val="66DB4D83"/>
    <w:rsid w:val="66FE662F"/>
    <w:rsid w:val="672203E0"/>
    <w:rsid w:val="676D5174"/>
    <w:rsid w:val="67735B08"/>
    <w:rsid w:val="679118E5"/>
    <w:rsid w:val="67BB0C58"/>
    <w:rsid w:val="67C85884"/>
    <w:rsid w:val="681524AE"/>
    <w:rsid w:val="682D2E5A"/>
    <w:rsid w:val="683D0190"/>
    <w:rsid w:val="684D768B"/>
    <w:rsid w:val="685D3124"/>
    <w:rsid w:val="685D5E03"/>
    <w:rsid w:val="6865095D"/>
    <w:rsid w:val="68BE0325"/>
    <w:rsid w:val="68BF1F88"/>
    <w:rsid w:val="68C226B1"/>
    <w:rsid w:val="68CB1ABD"/>
    <w:rsid w:val="68CF01E6"/>
    <w:rsid w:val="68D82778"/>
    <w:rsid w:val="68E60C5C"/>
    <w:rsid w:val="690245EB"/>
    <w:rsid w:val="690E0B40"/>
    <w:rsid w:val="69293A2F"/>
    <w:rsid w:val="69320303"/>
    <w:rsid w:val="69322335"/>
    <w:rsid w:val="6949630A"/>
    <w:rsid w:val="69605A13"/>
    <w:rsid w:val="69626A34"/>
    <w:rsid w:val="697B0A9F"/>
    <w:rsid w:val="698C2CAC"/>
    <w:rsid w:val="69924A08"/>
    <w:rsid w:val="69BD2E65"/>
    <w:rsid w:val="6A0A6E7F"/>
    <w:rsid w:val="6A227AD2"/>
    <w:rsid w:val="6A2B5400"/>
    <w:rsid w:val="6A38569B"/>
    <w:rsid w:val="6A9170A5"/>
    <w:rsid w:val="6ABC1969"/>
    <w:rsid w:val="6B0A3AD2"/>
    <w:rsid w:val="6B353D00"/>
    <w:rsid w:val="6B495732"/>
    <w:rsid w:val="6B4D78E6"/>
    <w:rsid w:val="6B657311"/>
    <w:rsid w:val="6B8C3B05"/>
    <w:rsid w:val="6BA415BE"/>
    <w:rsid w:val="6BA513C4"/>
    <w:rsid w:val="6BA971B3"/>
    <w:rsid w:val="6BC354BB"/>
    <w:rsid w:val="6BCD6990"/>
    <w:rsid w:val="6BE30D1A"/>
    <w:rsid w:val="6BF83949"/>
    <w:rsid w:val="6C157699"/>
    <w:rsid w:val="6C1C605C"/>
    <w:rsid w:val="6C307C24"/>
    <w:rsid w:val="6C334B46"/>
    <w:rsid w:val="6C515AE7"/>
    <w:rsid w:val="6C5A7E3D"/>
    <w:rsid w:val="6C5F1D67"/>
    <w:rsid w:val="6C6D09D5"/>
    <w:rsid w:val="6C743946"/>
    <w:rsid w:val="6C753814"/>
    <w:rsid w:val="6C861941"/>
    <w:rsid w:val="6C9A748E"/>
    <w:rsid w:val="6C9B67E8"/>
    <w:rsid w:val="6CAC0561"/>
    <w:rsid w:val="6CB15454"/>
    <w:rsid w:val="6CBA3B8F"/>
    <w:rsid w:val="6CBE13CE"/>
    <w:rsid w:val="6CDC3A0D"/>
    <w:rsid w:val="6CDD2904"/>
    <w:rsid w:val="6CF471AB"/>
    <w:rsid w:val="6D394EF9"/>
    <w:rsid w:val="6DA305C4"/>
    <w:rsid w:val="6DFD7CD4"/>
    <w:rsid w:val="6E0D6F10"/>
    <w:rsid w:val="6E163158"/>
    <w:rsid w:val="6E185A6F"/>
    <w:rsid w:val="6E296D1B"/>
    <w:rsid w:val="6E4A0A40"/>
    <w:rsid w:val="6E661D1D"/>
    <w:rsid w:val="6E68698F"/>
    <w:rsid w:val="6E7D3E70"/>
    <w:rsid w:val="6E812581"/>
    <w:rsid w:val="6E896C38"/>
    <w:rsid w:val="6ECF78C3"/>
    <w:rsid w:val="6ED47E45"/>
    <w:rsid w:val="6EFE60C5"/>
    <w:rsid w:val="6F0D0399"/>
    <w:rsid w:val="6F1C6D97"/>
    <w:rsid w:val="6F1E7F02"/>
    <w:rsid w:val="6F20011E"/>
    <w:rsid w:val="6F4240DD"/>
    <w:rsid w:val="6F6049BF"/>
    <w:rsid w:val="6F6C4DAA"/>
    <w:rsid w:val="6F745D74"/>
    <w:rsid w:val="6F752EF3"/>
    <w:rsid w:val="6F9401C4"/>
    <w:rsid w:val="6FAB2D99"/>
    <w:rsid w:val="6FBA5335"/>
    <w:rsid w:val="6FC456F4"/>
    <w:rsid w:val="6FE24151"/>
    <w:rsid w:val="6FF15617"/>
    <w:rsid w:val="70251D6B"/>
    <w:rsid w:val="704936A5"/>
    <w:rsid w:val="707A1AB0"/>
    <w:rsid w:val="709C1A26"/>
    <w:rsid w:val="70A46B2D"/>
    <w:rsid w:val="70C15B54"/>
    <w:rsid w:val="70C525FF"/>
    <w:rsid w:val="70DE4C4A"/>
    <w:rsid w:val="711F4406"/>
    <w:rsid w:val="71424E9D"/>
    <w:rsid w:val="7143043C"/>
    <w:rsid w:val="71512A1D"/>
    <w:rsid w:val="715D6505"/>
    <w:rsid w:val="7162443D"/>
    <w:rsid w:val="71723D60"/>
    <w:rsid w:val="719F5B9E"/>
    <w:rsid w:val="71BB5D19"/>
    <w:rsid w:val="71BC3A02"/>
    <w:rsid w:val="71D03660"/>
    <w:rsid w:val="71D92806"/>
    <w:rsid w:val="71DD0DDF"/>
    <w:rsid w:val="71DD6008"/>
    <w:rsid w:val="722647E8"/>
    <w:rsid w:val="72485F03"/>
    <w:rsid w:val="726C1FE5"/>
    <w:rsid w:val="7270316B"/>
    <w:rsid w:val="72807126"/>
    <w:rsid w:val="72870424"/>
    <w:rsid w:val="72912DCE"/>
    <w:rsid w:val="72A95C35"/>
    <w:rsid w:val="72AA6A4E"/>
    <w:rsid w:val="72C17F00"/>
    <w:rsid w:val="72F1592E"/>
    <w:rsid w:val="72F2352A"/>
    <w:rsid w:val="72F41649"/>
    <w:rsid w:val="72FB0E72"/>
    <w:rsid w:val="732A31CF"/>
    <w:rsid w:val="734A25E8"/>
    <w:rsid w:val="7355375E"/>
    <w:rsid w:val="73676EE8"/>
    <w:rsid w:val="738133AC"/>
    <w:rsid w:val="739B50A4"/>
    <w:rsid w:val="73BD5E16"/>
    <w:rsid w:val="73D62817"/>
    <w:rsid w:val="74154063"/>
    <w:rsid w:val="74193F58"/>
    <w:rsid w:val="743354BF"/>
    <w:rsid w:val="744E5A47"/>
    <w:rsid w:val="74592B2B"/>
    <w:rsid w:val="746412B4"/>
    <w:rsid w:val="749F0FAF"/>
    <w:rsid w:val="74BA273E"/>
    <w:rsid w:val="74E34FE3"/>
    <w:rsid w:val="74E37A76"/>
    <w:rsid w:val="751171E5"/>
    <w:rsid w:val="751A116C"/>
    <w:rsid w:val="751E61F0"/>
    <w:rsid w:val="7524288B"/>
    <w:rsid w:val="752672CE"/>
    <w:rsid w:val="753D6B57"/>
    <w:rsid w:val="754F2807"/>
    <w:rsid w:val="75516072"/>
    <w:rsid w:val="75AF17CA"/>
    <w:rsid w:val="75BA46FD"/>
    <w:rsid w:val="75DD2C30"/>
    <w:rsid w:val="75F3566D"/>
    <w:rsid w:val="75FA08CF"/>
    <w:rsid w:val="7615715A"/>
    <w:rsid w:val="76165DD7"/>
    <w:rsid w:val="76171157"/>
    <w:rsid w:val="76191CCF"/>
    <w:rsid w:val="764515D9"/>
    <w:rsid w:val="76557E67"/>
    <w:rsid w:val="767234D0"/>
    <w:rsid w:val="76775A39"/>
    <w:rsid w:val="768B5966"/>
    <w:rsid w:val="76A474C2"/>
    <w:rsid w:val="76EB6D22"/>
    <w:rsid w:val="76FA521E"/>
    <w:rsid w:val="77104684"/>
    <w:rsid w:val="771F2871"/>
    <w:rsid w:val="772229EF"/>
    <w:rsid w:val="77334767"/>
    <w:rsid w:val="773514D8"/>
    <w:rsid w:val="77735F07"/>
    <w:rsid w:val="779B296C"/>
    <w:rsid w:val="77A776A5"/>
    <w:rsid w:val="77AB2074"/>
    <w:rsid w:val="77AC58D6"/>
    <w:rsid w:val="77AF5BD2"/>
    <w:rsid w:val="77B618C5"/>
    <w:rsid w:val="77E5555E"/>
    <w:rsid w:val="782354D1"/>
    <w:rsid w:val="782E52D4"/>
    <w:rsid w:val="78451562"/>
    <w:rsid w:val="787F7564"/>
    <w:rsid w:val="788C2355"/>
    <w:rsid w:val="789556D4"/>
    <w:rsid w:val="78B41D74"/>
    <w:rsid w:val="78C37D22"/>
    <w:rsid w:val="78CF5425"/>
    <w:rsid w:val="78DA6E6D"/>
    <w:rsid w:val="78DC1506"/>
    <w:rsid w:val="78E8332F"/>
    <w:rsid w:val="78F97C7F"/>
    <w:rsid w:val="78FC4C3A"/>
    <w:rsid w:val="791E4FA3"/>
    <w:rsid w:val="7936053E"/>
    <w:rsid w:val="79360701"/>
    <w:rsid w:val="793D7B1F"/>
    <w:rsid w:val="794C028C"/>
    <w:rsid w:val="797058FF"/>
    <w:rsid w:val="798B3DB7"/>
    <w:rsid w:val="799E66D7"/>
    <w:rsid w:val="79A713D9"/>
    <w:rsid w:val="79A951B4"/>
    <w:rsid w:val="79B84577"/>
    <w:rsid w:val="79C77A97"/>
    <w:rsid w:val="79F03D8D"/>
    <w:rsid w:val="79F76A44"/>
    <w:rsid w:val="79F95AEC"/>
    <w:rsid w:val="7A4052A6"/>
    <w:rsid w:val="7A4845DA"/>
    <w:rsid w:val="7A4C1BA1"/>
    <w:rsid w:val="7A540103"/>
    <w:rsid w:val="7A572BBE"/>
    <w:rsid w:val="7A573842"/>
    <w:rsid w:val="7A5A5913"/>
    <w:rsid w:val="7A7B6CA6"/>
    <w:rsid w:val="7A7D3BF2"/>
    <w:rsid w:val="7A9B68AB"/>
    <w:rsid w:val="7AA53BCD"/>
    <w:rsid w:val="7AA60AE2"/>
    <w:rsid w:val="7AB05558"/>
    <w:rsid w:val="7ACF47A6"/>
    <w:rsid w:val="7AD07C09"/>
    <w:rsid w:val="7AE07C8F"/>
    <w:rsid w:val="7AEE3808"/>
    <w:rsid w:val="7B0A1980"/>
    <w:rsid w:val="7B18614D"/>
    <w:rsid w:val="7B2E7224"/>
    <w:rsid w:val="7B331A49"/>
    <w:rsid w:val="7B367125"/>
    <w:rsid w:val="7B383DAD"/>
    <w:rsid w:val="7B443C72"/>
    <w:rsid w:val="7B7300E3"/>
    <w:rsid w:val="7B737828"/>
    <w:rsid w:val="7B765894"/>
    <w:rsid w:val="7B9A1258"/>
    <w:rsid w:val="7BB0282A"/>
    <w:rsid w:val="7BB57E40"/>
    <w:rsid w:val="7BC5366B"/>
    <w:rsid w:val="7BC77B74"/>
    <w:rsid w:val="7BE35E80"/>
    <w:rsid w:val="7BFD7CAE"/>
    <w:rsid w:val="7C1728A9"/>
    <w:rsid w:val="7C332598"/>
    <w:rsid w:val="7C576753"/>
    <w:rsid w:val="7C5F4D37"/>
    <w:rsid w:val="7C971C54"/>
    <w:rsid w:val="7CAB1AF9"/>
    <w:rsid w:val="7CAC5233"/>
    <w:rsid w:val="7CB20F74"/>
    <w:rsid w:val="7CB9234F"/>
    <w:rsid w:val="7CC3161A"/>
    <w:rsid w:val="7CC6782A"/>
    <w:rsid w:val="7CCF7FD5"/>
    <w:rsid w:val="7CE76EE1"/>
    <w:rsid w:val="7D1A2FE3"/>
    <w:rsid w:val="7D1F3A99"/>
    <w:rsid w:val="7D253873"/>
    <w:rsid w:val="7D333280"/>
    <w:rsid w:val="7D4303A3"/>
    <w:rsid w:val="7D4B02D1"/>
    <w:rsid w:val="7D537911"/>
    <w:rsid w:val="7D591EFD"/>
    <w:rsid w:val="7D5D0DFD"/>
    <w:rsid w:val="7D661330"/>
    <w:rsid w:val="7D707CA0"/>
    <w:rsid w:val="7D781125"/>
    <w:rsid w:val="7D8C3089"/>
    <w:rsid w:val="7D8E166F"/>
    <w:rsid w:val="7DBC70F1"/>
    <w:rsid w:val="7DBF6D54"/>
    <w:rsid w:val="7DCE412E"/>
    <w:rsid w:val="7DDC442D"/>
    <w:rsid w:val="7DE828D5"/>
    <w:rsid w:val="7E15161E"/>
    <w:rsid w:val="7E3D1132"/>
    <w:rsid w:val="7E425C96"/>
    <w:rsid w:val="7E483B66"/>
    <w:rsid w:val="7E6D4A02"/>
    <w:rsid w:val="7E8E33E0"/>
    <w:rsid w:val="7EFF697C"/>
    <w:rsid w:val="7F126040"/>
    <w:rsid w:val="7F31478C"/>
    <w:rsid w:val="7F437894"/>
    <w:rsid w:val="7F49049A"/>
    <w:rsid w:val="7F5C5E98"/>
    <w:rsid w:val="7F6B1B36"/>
    <w:rsid w:val="7F7B314F"/>
    <w:rsid w:val="7F85133D"/>
    <w:rsid w:val="7FD27E44"/>
    <w:rsid w:val="7FD91497"/>
    <w:rsid w:val="7FF1341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nhideWhenUsed="0" w:uiPriority="0" w:semiHidden="0" w:name="heading 2"/>
    <w:lsdException w:qFormat="1" w:unhideWhenUsed="0" w:uiPriority="1" w:semiHidden="0" w:name="heading 3"/>
    <w:lsdException w:qFormat="1" w:unhideWhenUsed="0" w:uiPriority="0" w:semiHidden="0" w:name="heading 4"/>
    <w:lsdException w:qFormat="1" w:uiPriority="9" w:semiHidden="0" w:name="heading 5"/>
    <w:lsdException w:qFormat="1" w:uiPriority="9" w:name="heading 6"/>
    <w:lsdException w:qFormat="1" w:unhideWhenUsed="0" w:uiPriority="1" w:semiHidden="0" w:name="heading 7"/>
    <w:lsdException w:qFormat="1" w:uiPriority="9" w:name="heading 8"/>
    <w:lsdException w:qFormat="1" w:uiPriority="0" w:semiHidden="0"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99" w:semiHidden="0" w:name="annotation text"/>
    <w:lsdException w:qFormat="1" w:uiPriority="0" w:semiHidden="0" w:name="header"/>
    <w:lsdException w:qFormat="1" w:unhideWhenUsed="0" w:uiPriority="0" w:semiHidden="0" w:name="footer"/>
    <w:lsdException w:qFormat="1" w:unhideWhenUsed="0" w:uiPriority="0" w:semiHidden="0"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1"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iPriority="99" w:semiHidden="0" w:name="Date"/>
    <w:lsdException w:qFormat="1" w:unhideWhenUsed="0" w:uiPriority="0" w:semiHidden="0" w:name="Body Text First Indent"/>
    <w:lsdException w:qFormat="1" w:uiPriority="0" w:semiHidden="0" w:name="Body Text First Indent 2"/>
    <w:lsdException w:uiPriority="99" w:name="Note Heading"/>
    <w:lsdException w:qFormat="1" w:unhideWhenUsed="0" w:uiPriority="0" w:semiHidden="0" w:name="Body Text 2"/>
    <w:lsdException w:uiPriority="99" w:name="Body Text 3"/>
    <w:lsdException w:qFormat="1" w:uiPriority="0" w:semiHidden="0" w:name="Body Text Indent 2"/>
    <w:lsdException w:qFormat="1" w:uiPriority="0" w:semiHidden="0" w:name="Body Text Indent 3"/>
    <w:lsdException w:qFormat="1" w:unhideWhenUsed="0" w:uiPriority="0" w:semiHidden="0"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880"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50"/>
    <w:qFormat/>
    <w:uiPriority w:val="1"/>
    <w:pPr>
      <w:keepNext/>
      <w:keepLines/>
      <w:adjustRightInd w:val="0"/>
      <w:snapToGrid w:val="0"/>
      <w:spacing w:line="360" w:lineRule="auto"/>
      <w:ind w:firstLine="0" w:firstLineChars="0"/>
      <w:outlineLvl w:val="0"/>
    </w:pPr>
    <w:rPr>
      <w:b/>
      <w:kern w:val="44"/>
      <w:sz w:val="32"/>
    </w:rPr>
  </w:style>
  <w:style w:type="paragraph" w:styleId="3">
    <w:name w:val="heading 2"/>
    <w:basedOn w:val="1"/>
    <w:next w:val="1"/>
    <w:link w:val="51"/>
    <w:qFormat/>
    <w:uiPriority w:val="0"/>
    <w:pPr>
      <w:keepNext/>
      <w:keepLines/>
      <w:numPr>
        <w:ilvl w:val="1"/>
        <w:numId w:val="1"/>
      </w:numPr>
      <w:adjustRightInd w:val="0"/>
      <w:snapToGrid w:val="0"/>
      <w:spacing w:line="360" w:lineRule="auto"/>
      <w:ind w:left="0" w:firstLine="0"/>
      <w:outlineLvl w:val="1"/>
    </w:pPr>
    <w:rPr>
      <w:b/>
      <w:bCs/>
      <w:sz w:val="30"/>
      <w:szCs w:val="32"/>
    </w:rPr>
  </w:style>
  <w:style w:type="paragraph" w:styleId="4">
    <w:name w:val="heading 3"/>
    <w:basedOn w:val="1"/>
    <w:next w:val="1"/>
    <w:link w:val="52"/>
    <w:qFormat/>
    <w:uiPriority w:val="1"/>
    <w:pPr>
      <w:keepNext/>
      <w:adjustRightInd w:val="0"/>
      <w:snapToGrid w:val="0"/>
      <w:spacing w:line="360" w:lineRule="auto"/>
      <w:ind w:firstLine="0" w:firstLineChars="0"/>
      <w:jc w:val="left"/>
      <w:outlineLvl w:val="2"/>
    </w:pPr>
    <w:rPr>
      <w:b/>
      <w:color w:val="000000"/>
      <w:sz w:val="28"/>
      <w:szCs w:val="20"/>
    </w:rPr>
  </w:style>
  <w:style w:type="paragraph" w:styleId="5">
    <w:name w:val="heading 4"/>
    <w:basedOn w:val="1"/>
    <w:next w:val="1"/>
    <w:link w:val="53"/>
    <w:qFormat/>
    <w:uiPriority w:val="0"/>
    <w:pPr>
      <w:keepNext/>
      <w:keepLines/>
      <w:adjustRightInd w:val="0"/>
      <w:snapToGrid w:val="0"/>
      <w:spacing w:line="360" w:lineRule="auto"/>
      <w:ind w:firstLine="0" w:firstLineChars="0"/>
      <w:outlineLvl w:val="3"/>
    </w:pPr>
    <w:rPr>
      <w:b/>
      <w:bCs/>
      <w:szCs w:val="28"/>
    </w:rPr>
  </w:style>
  <w:style w:type="paragraph" w:styleId="6">
    <w:name w:val="heading 5"/>
    <w:basedOn w:val="1"/>
    <w:next w:val="1"/>
    <w:link w:val="116"/>
    <w:unhideWhenUsed/>
    <w:qFormat/>
    <w:uiPriority w:val="9"/>
    <w:pPr>
      <w:keepNext/>
      <w:keepLines/>
      <w:spacing w:beforeLines="0" w:beforeAutospacing="0" w:afterLines="0" w:afterAutospacing="0" w:line="360" w:lineRule="auto"/>
      <w:ind w:firstLine="0" w:firstLineChars="0"/>
      <w:jc w:val="left"/>
      <w:outlineLvl w:val="4"/>
    </w:pPr>
    <w:rPr>
      <w:rFonts w:ascii="Times New Roman" w:hAnsi="Times New Roman" w:eastAsia="宋体"/>
      <w:b/>
      <w:sz w:val="24"/>
    </w:rPr>
  </w:style>
  <w:style w:type="paragraph" w:styleId="7">
    <w:name w:val="heading 7"/>
    <w:next w:val="1"/>
    <w:qFormat/>
    <w:uiPriority w:val="1"/>
    <w:pPr>
      <w:widowControl w:val="0"/>
      <w:spacing w:before="29"/>
      <w:ind w:left="128"/>
      <w:jc w:val="both"/>
      <w:outlineLvl w:val="6"/>
    </w:pPr>
    <w:rPr>
      <w:rFonts w:ascii="宋体" w:hAnsi="宋体" w:eastAsia="宋体" w:cs="Times New Roman"/>
      <w:b/>
      <w:bCs/>
      <w:kern w:val="2"/>
      <w:sz w:val="24"/>
      <w:szCs w:val="24"/>
      <w:lang w:val="en-US" w:eastAsia="zh-CN" w:bidi="ar-SA"/>
    </w:rPr>
  </w:style>
  <w:style w:type="paragraph" w:styleId="8">
    <w:name w:val="heading 9"/>
    <w:basedOn w:val="1"/>
    <w:next w:val="1"/>
    <w:link w:val="54"/>
    <w:unhideWhenUsed/>
    <w:qFormat/>
    <w:uiPriority w:val="0"/>
    <w:pPr>
      <w:keepNext/>
      <w:keepLines/>
      <w:spacing w:before="240" w:after="64" w:line="317" w:lineRule="auto"/>
      <w:outlineLvl w:val="8"/>
    </w:pPr>
    <w:rPr>
      <w:rFonts w:ascii="Arial" w:hAnsi="Arial" w:eastAsia="黑体"/>
    </w:rPr>
  </w:style>
  <w:style w:type="character" w:default="1" w:styleId="32">
    <w:name w:val="Default Paragraph Font"/>
    <w:semiHidden/>
    <w:unhideWhenUsed/>
    <w:qFormat/>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9">
    <w:name w:val="Normal Indent"/>
    <w:basedOn w:val="1"/>
    <w:qFormat/>
    <w:uiPriority w:val="0"/>
    <w:pPr>
      <w:ind w:firstLine="420"/>
    </w:pPr>
  </w:style>
  <w:style w:type="paragraph" w:styleId="10">
    <w:name w:val="annotation text"/>
    <w:basedOn w:val="1"/>
    <w:link w:val="58"/>
    <w:qFormat/>
    <w:uiPriority w:val="99"/>
    <w:pPr>
      <w:jc w:val="left"/>
    </w:pPr>
    <w:rPr>
      <w:rFonts w:ascii="Calibri" w:hAnsi="Calibri"/>
    </w:rPr>
  </w:style>
  <w:style w:type="paragraph" w:styleId="11">
    <w:name w:val="Body Text"/>
    <w:basedOn w:val="1"/>
    <w:next w:val="12"/>
    <w:link w:val="56"/>
    <w:unhideWhenUsed/>
    <w:qFormat/>
    <w:uiPriority w:val="1"/>
    <w:pPr>
      <w:spacing w:after="120"/>
    </w:pPr>
  </w:style>
  <w:style w:type="paragraph" w:styleId="12">
    <w:name w:val="Body Text First Indent"/>
    <w:basedOn w:val="11"/>
    <w:next w:val="1"/>
    <w:link w:val="57"/>
    <w:qFormat/>
    <w:uiPriority w:val="0"/>
    <w:pPr>
      <w:ind w:firstLine="420" w:firstLineChars="100"/>
    </w:pPr>
    <w:rPr>
      <w:rFonts w:ascii="Calibri" w:hAnsi="Calibri"/>
    </w:rPr>
  </w:style>
  <w:style w:type="paragraph" w:styleId="13">
    <w:name w:val="Body Text Indent"/>
    <w:basedOn w:val="1"/>
    <w:next w:val="14"/>
    <w:link w:val="59"/>
    <w:unhideWhenUsed/>
    <w:qFormat/>
    <w:uiPriority w:val="0"/>
    <w:pPr>
      <w:spacing w:after="120"/>
      <w:ind w:left="420" w:leftChars="200"/>
    </w:pPr>
    <w:rPr>
      <w:rFonts w:ascii="Calibri" w:hAnsi="Calibri"/>
    </w:rPr>
  </w:style>
  <w:style w:type="paragraph" w:styleId="14">
    <w:name w:val="Body Text Indent 2"/>
    <w:basedOn w:val="1"/>
    <w:link w:val="62"/>
    <w:unhideWhenUsed/>
    <w:qFormat/>
    <w:uiPriority w:val="0"/>
    <w:pPr>
      <w:spacing w:after="120" w:line="480" w:lineRule="auto"/>
      <w:ind w:left="420" w:leftChars="200"/>
    </w:pPr>
    <w:rPr>
      <w:rFonts w:ascii="Calibri" w:hAnsi="Calibri"/>
    </w:rPr>
  </w:style>
  <w:style w:type="paragraph" w:styleId="15">
    <w:name w:val="Block Text"/>
    <w:basedOn w:val="1"/>
    <w:qFormat/>
    <w:uiPriority w:val="0"/>
    <w:pPr>
      <w:widowControl w:val="0"/>
      <w:autoSpaceDE w:val="0"/>
      <w:autoSpaceDN w:val="0"/>
      <w:adjustRightInd w:val="0"/>
      <w:ind w:left="-57" w:right="-57"/>
      <w:jc w:val="center"/>
    </w:pPr>
    <w:rPr>
      <w:rFonts w:hAnsi="Times New Roman" w:cs="Times New Roman"/>
      <w:sz w:val="18"/>
      <w:szCs w:val="20"/>
    </w:rPr>
  </w:style>
  <w:style w:type="paragraph" w:styleId="16">
    <w:name w:val="Plain Text"/>
    <w:basedOn w:val="1"/>
    <w:next w:val="1"/>
    <w:link w:val="60"/>
    <w:qFormat/>
    <w:uiPriority w:val="0"/>
    <w:rPr>
      <w:rFonts w:ascii="宋体" w:hAnsi="Courier New"/>
      <w:szCs w:val="20"/>
    </w:rPr>
  </w:style>
  <w:style w:type="paragraph" w:styleId="17">
    <w:name w:val="Date"/>
    <w:basedOn w:val="1"/>
    <w:next w:val="1"/>
    <w:link w:val="61"/>
    <w:unhideWhenUsed/>
    <w:qFormat/>
    <w:uiPriority w:val="99"/>
    <w:pPr>
      <w:ind w:left="100" w:leftChars="2500"/>
    </w:pPr>
    <w:rPr>
      <w:rFonts w:ascii="Calibri" w:hAnsi="Calibri"/>
    </w:rPr>
  </w:style>
  <w:style w:type="paragraph" w:styleId="18">
    <w:name w:val="Balloon Text"/>
    <w:basedOn w:val="1"/>
    <w:link w:val="55"/>
    <w:unhideWhenUsed/>
    <w:qFormat/>
    <w:uiPriority w:val="0"/>
    <w:rPr>
      <w:sz w:val="18"/>
      <w:szCs w:val="18"/>
    </w:rPr>
  </w:style>
  <w:style w:type="paragraph" w:styleId="19">
    <w:name w:val="footer"/>
    <w:basedOn w:val="1"/>
    <w:link w:val="63"/>
    <w:qFormat/>
    <w:uiPriority w:val="0"/>
    <w:pPr>
      <w:tabs>
        <w:tab w:val="center" w:pos="4153"/>
        <w:tab w:val="right" w:pos="8306"/>
      </w:tabs>
      <w:snapToGrid w:val="0"/>
      <w:jc w:val="left"/>
    </w:pPr>
    <w:rPr>
      <w:rFonts w:ascii="Calibri" w:hAnsi="Calibri"/>
      <w:sz w:val="18"/>
    </w:rPr>
  </w:style>
  <w:style w:type="paragraph" w:styleId="20">
    <w:name w:val="header"/>
    <w:basedOn w:val="1"/>
    <w:next w:val="1"/>
    <w:link w:val="64"/>
    <w:unhideWhenUsed/>
    <w:qFormat/>
    <w:uiPriority w:val="0"/>
    <w:pPr>
      <w:pBdr>
        <w:bottom w:val="single" w:color="auto" w:sz="6" w:space="1"/>
      </w:pBdr>
      <w:tabs>
        <w:tab w:val="center" w:pos="4153"/>
        <w:tab w:val="right" w:pos="8306"/>
      </w:tabs>
      <w:snapToGrid w:val="0"/>
      <w:jc w:val="center"/>
    </w:pPr>
    <w:rPr>
      <w:rFonts w:ascii="Calibri" w:hAnsi="Calibri"/>
      <w:sz w:val="18"/>
      <w:szCs w:val="18"/>
    </w:rPr>
  </w:style>
  <w:style w:type="paragraph" w:styleId="21">
    <w:name w:val="toc 1"/>
    <w:basedOn w:val="1"/>
    <w:next w:val="1"/>
    <w:qFormat/>
    <w:uiPriority w:val="39"/>
    <w:rPr>
      <w:rFonts w:ascii="Calibri" w:hAnsi="Calibri"/>
    </w:rPr>
  </w:style>
  <w:style w:type="paragraph" w:styleId="22">
    <w:name w:val="index heading"/>
    <w:basedOn w:val="1"/>
    <w:next w:val="23"/>
    <w:qFormat/>
    <w:uiPriority w:val="0"/>
    <w:pPr>
      <w:adjustRightInd w:val="0"/>
      <w:spacing w:line="360" w:lineRule="atLeast"/>
      <w:jc w:val="left"/>
      <w:textAlignment w:val="baseline"/>
    </w:pPr>
    <w:rPr>
      <w:rFonts w:ascii="Times New Roman"/>
      <w:spacing w:val="0"/>
      <w:kern w:val="44"/>
      <w:sz w:val="28"/>
      <w:szCs w:val="20"/>
    </w:rPr>
  </w:style>
  <w:style w:type="paragraph" w:styleId="23">
    <w:name w:val="index 1"/>
    <w:basedOn w:val="1"/>
    <w:next w:val="1"/>
    <w:qFormat/>
    <w:uiPriority w:val="0"/>
    <w:pPr>
      <w:jc w:val="center"/>
    </w:pPr>
    <w:rPr>
      <w:rFonts w:ascii="Arial" w:hAnsi="Arial"/>
      <w:snapToGrid w:val="0"/>
      <w:spacing w:val="0"/>
      <w:kern w:val="0"/>
      <w:sz w:val="24"/>
      <w:szCs w:val="20"/>
    </w:rPr>
  </w:style>
  <w:style w:type="paragraph" w:styleId="24">
    <w:name w:val="Subtitle"/>
    <w:basedOn w:val="1"/>
    <w:next w:val="1"/>
    <w:qFormat/>
    <w:uiPriority w:val="0"/>
    <w:pPr>
      <w:spacing w:before="240" w:beforeLines="0" w:after="60" w:afterLines="0" w:line="312" w:lineRule="auto"/>
      <w:jc w:val="center"/>
      <w:outlineLvl w:val="1"/>
    </w:pPr>
    <w:rPr>
      <w:rFonts w:ascii="Arial" w:hAnsi="Arial"/>
      <w:b/>
      <w:kern w:val="28"/>
      <w:sz w:val="32"/>
      <w:szCs w:val="20"/>
    </w:rPr>
  </w:style>
  <w:style w:type="paragraph" w:styleId="25">
    <w:name w:val="Body Text Indent 3"/>
    <w:basedOn w:val="1"/>
    <w:link w:val="65"/>
    <w:unhideWhenUsed/>
    <w:qFormat/>
    <w:uiPriority w:val="0"/>
    <w:pPr>
      <w:spacing w:after="120"/>
      <w:ind w:left="420" w:leftChars="200"/>
    </w:pPr>
    <w:rPr>
      <w:rFonts w:ascii="Calibri" w:hAnsi="Calibri"/>
      <w:sz w:val="16"/>
      <w:szCs w:val="16"/>
    </w:rPr>
  </w:style>
  <w:style w:type="paragraph" w:styleId="26">
    <w:name w:val="toc 2"/>
    <w:basedOn w:val="1"/>
    <w:next w:val="1"/>
    <w:qFormat/>
    <w:uiPriority w:val="39"/>
    <w:pPr>
      <w:ind w:left="420" w:leftChars="200"/>
    </w:pPr>
    <w:rPr>
      <w:rFonts w:ascii="Calibri" w:hAnsi="Calibri"/>
    </w:rPr>
  </w:style>
  <w:style w:type="paragraph" w:styleId="27">
    <w:name w:val="Body Text 2"/>
    <w:basedOn w:val="1"/>
    <w:qFormat/>
    <w:uiPriority w:val="0"/>
    <w:pPr>
      <w:spacing w:after="120" w:line="480" w:lineRule="auto"/>
    </w:pPr>
    <w:rPr>
      <w:szCs w:val="24"/>
    </w:rPr>
  </w:style>
  <w:style w:type="paragraph" w:styleId="28">
    <w:name w:val="Normal (Web)"/>
    <w:basedOn w:val="1"/>
    <w:next w:val="1"/>
    <w:qFormat/>
    <w:uiPriority w:val="99"/>
    <w:pPr>
      <w:spacing w:before="100" w:beforeAutospacing="1" w:after="100" w:afterAutospacing="1"/>
      <w:jc w:val="left"/>
    </w:pPr>
    <w:rPr>
      <w:rFonts w:ascii="Calibri" w:hAnsi="Calibri"/>
      <w:kern w:val="0"/>
      <w:sz w:val="24"/>
    </w:rPr>
  </w:style>
  <w:style w:type="paragraph" w:styleId="29">
    <w:name w:val="Body Text First Indent 2"/>
    <w:basedOn w:val="13"/>
    <w:next w:val="1"/>
    <w:link w:val="88"/>
    <w:unhideWhenUsed/>
    <w:qFormat/>
    <w:uiPriority w:val="0"/>
    <w:pPr>
      <w:ind w:firstLine="420" w:firstLineChars="200"/>
    </w:pPr>
    <w:rPr>
      <w:rFonts w:ascii="Times New Roman" w:hAnsi="Times New Roman"/>
    </w:rPr>
  </w:style>
  <w:style w:type="table" w:styleId="31">
    <w:name w:val="Table Grid"/>
    <w:basedOn w:val="30"/>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Emphasis"/>
    <w:basedOn w:val="32"/>
    <w:qFormat/>
    <w:uiPriority w:val="20"/>
    <w:rPr>
      <w:i/>
    </w:rPr>
  </w:style>
  <w:style w:type="character" w:styleId="34">
    <w:name w:val="Hyperlink"/>
    <w:basedOn w:val="32"/>
    <w:qFormat/>
    <w:uiPriority w:val="99"/>
    <w:rPr>
      <w:color w:val="0000FF"/>
      <w:u w:val="single"/>
    </w:rPr>
  </w:style>
  <w:style w:type="character" w:styleId="35">
    <w:name w:val="annotation reference"/>
    <w:basedOn w:val="32"/>
    <w:qFormat/>
    <w:uiPriority w:val="99"/>
    <w:rPr>
      <w:rFonts w:ascii="??" w:hAnsi="??" w:cs="Times New Roman"/>
      <w:w w:val="100"/>
      <w:sz w:val="21"/>
      <w:szCs w:val="21"/>
      <w:shd w:val="clear" w:color="auto" w:fill="auto"/>
    </w:rPr>
  </w:style>
  <w:style w:type="paragraph" w:customStyle="1" w:styleId="36">
    <w:name w:val="表格文字"/>
    <w:basedOn w:val="11"/>
    <w:qFormat/>
    <w:uiPriority w:val="0"/>
    <w:pPr>
      <w:spacing w:after="0" w:line="320" w:lineRule="exact"/>
      <w:jc w:val="center"/>
    </w:pPr>
    <w:rPr>
      <w:rFonts w:ascii="宋体" w:hAnsi="Calibri"/>
    </w:rPr>
  </w:style>
  <w:style w:type="character" w:customStyle="1" w:styleId="37">
    <w:name w:val="标题 4 Char"/>
    <w:link w:val="5"/>
    <w:qFormat/>
    <w:uiPriority w:val="0"/>
    <w:rPr>
      <w:rFonts w:ascii="Times New Roman" w:hAnsi="Times New Roman" w:eastAsia="宋体" w:cs="Times New Roman"/>
      <w:b/>
      <w:bCs/>
      <w:kern w:val="2"/>
      <w:sz w:val="24"/>
      <w:szCs w:val="28"/>
    </w:rPr>
  </w:style>
  <w:style w:type="paragraph" w:customStyle="1" w:styleId="38">
    <w:name w:val="表格"/>
    <w:basedOn w:val="28"/>
    <w:qFormat/>
    <w:uiPriority w:val="0"/>
    <w:pPr>
      <w:adjustRightInd w:val="0"/>
      <w:spacing w:beforeAutospacing="0" w:afterAutospacing="0" w:line="240" w:lineRule="auto"/>
      <w:ind w:firstLine="0" w:firstLineChars="0"/>
      <w:jc w:val="center"/>
      <w:textAlignment w:val="baseline"/>
    </w:pPr>
    <w:rPr>
      <w:rFonts w:ascii="Times New Roman" w:hAnsi="Times New Roman"/>
      <w:sz w:val="21"/>
      <w:szCs w:val="20"/>
    </w:rPr>
  </w:style>
  <w:style w:type="paragraph" w:customStyle="1" w:styleId="39">
    <w:name w:val="表头"/>
    <w:basedOn w:val="40"/>
    <w:next w:val="1"/>
    <w:link w:val="42"/>
    <w:qFormat/>
    <w:uiPriority w:val="0"/>
    <w:pPr>
      <w:spacing w:line="240" w:lineRule="auto"/>
      <w:ind w:firstLine="0" w:firstLineChars="0"/>
      <w:jc w:val="center"/>
    </w:pPr>
    <w:rPr>
      <w:rFonts w:ascii="Times New Roman" w:hAnsi="Times New Roman"/>
      <w:b/>
      <w:sz w:val="21"/>
    </w:rPr>
  </w:style>
  <w:style w:type="paragraph" w:customStyle="1" w:styleId="40">
    <w:name w:val="报告正文"/>
    <w:basedOn w:val="41"/>
    <w:qFormat/>
    <w:uiPriority w:val="0"/>
    <w:pPr>
      <w:widowControl/>
      <w:suppressAutoHyphens/>
      <w:topLinePunct/>
      <w:adjustRightInd w:val="0"/>
      <w:snapToGrid w:val="0"/>
    </w:pPr>
    <w:rPr>
      <w:rFonts w:ascii="Calibri" w:hAnsi="Calibri" w:eastAsia="宋体" w:cs="Times New Roman"/>
      <w:szCs w:val="22"/>
    </w:rPr>
  </w:style>
  <w:style w:type="paragraph" w:customStyle="1" w:styleId="41">
    <w:name w:val="p17"/>
    <w:basedOn w:val="1"/>
    <w:qFormat/>
    <w:uiPriority w:val="0"/>
    <w:pPr>
      <w:widowControl/>
    </w:pPr>
    <w:rPr>
      <w:rFonts w:ascii="宋体" w:hAnsi="宋体" w:cs="宋体"/>
      <w:kern w:val="0"/>
      <w:szCs w:val="21"/>
    </w:rPr>
  </w:style>
  <w:style w:type="character" w:customStyle="1" w:styleId="42">
    <w:name w:val="表头 Char"/>
    <w:link w:val="39"/>
    <w:qFormat/>
    <w:uiPriority w:val="0"/>
    <w:rPr>
      <w:rFonts w:ascii="Times New Roman" w:hAnsi="Times New Roman"/>
      <w:b/>
      <w:sz w:val="21"/>
    </w:rPr>
  </w:style>
  <w:style w:type="paragraph" w:customStyle="1" w:styleId="43">
    <w:name w:val="Default"/>
    <w:basedOn w:val="44"/>
    <w:next w:val="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44">
    <w:name w:val="纯文本1"/>
    <w:basedOn w:val="1"/>
    <w:autoRedefine/>
    <w:qFormat/>
    <w:uiPriority w:val="0"/>
    <w:pPr>
      <w:ind w:firstLine="0" w:firstLineChars="0"/>
    </w:pPr>
    <w:rPr>
      <w:rFonts w:ascii="宋体" w:hAnsi="Courier (W1)"/>
    </w:rPr>
  </w:style>
  <w:style w:type="paragraph" w:customStyle="1" w:styleId="45">
    <w:name w:val="表格内"/>
    <w:basedOn w:val="1"/>
    <w:qFormat/>
    <w:uiPriority w:val="0"/>
    <w:pPr>
      <w:widowControl/>
      <w:adjustRightInd w:val="0"/>
      <w:snapToGrid w:val="0"/>
      <w:spacing w:after="200" w:line="360" w:lineRule="exact"/>
      <w:jc w:val="center"/>
    </w:pPr>
    <w:rPr>
      <w:rFonts w:ascii="Calibri" w:hAnsi="Calibri" w:eastAsia="微软雅黑"/>
      <w:snapToGrid w:val="0"/>
      <w:kern w:val="0"/>
      <w:sz w:val="22"/>
      <w:szCs w:val="21"/>
    </w:rPr>
  </w:style>
  <w:style w:type="character" w:customStyle="1" w:styleId="46">
    <w:name w:val="标题 1 Char"/>
    <w:link w:val="2"/>
    <w:qFormat/>
    <w:uiPriority w:val="9"/>
    <w:rPr>
      <w:rFonts w:ascii="Times New Roman" w:hAnsi="Times New Roman" w:eastAsia="宋体" w:cs="Times New Roman"/>
      <w:b/>
      <w:bCs/>
      <w:kern w:val="44"/>
      <w:sz w:val="32"/>
      <w:szCs w:val="44"/>
    </w:rPr>
  </w:style>
  <w:style w:type="character" w:customStyle="1" w:styleId="47">
    <w:name w:val="标题 2 Char"/>
    <w:link w:val="3"/>
    <w:qFormat/>
    <w:uiPriority w:val="0"/>
    <w:rPr>
      <w:rFonts w:ascii="Times New Roman" w:hAnsi="Times New Roman" w:eastAsia="宋体" w:cs="Times New Roman"/>
      <w:b/>
      <w:bCs/>
      <w:sz w:val="30"/>
      <w:szCs w:val="32"/>
    </w:rPr>
  </w:style>
  <w:style w:type="paragraph" w:customStyle="1" w:styleId="48">
    <w:name w:val="表格标题"/>
    <w:basedOn w:val="1"/>
    <w:qFormat/>
    <w:uiPriority w:val="0"/>
    <w:pPr>
      <w:keepNext/>
      <w:tabs>
        <w:tab w:val="center" w:pos="4253"/>
        <w:tab w:val="right" w:pos="8505"/>
      </w:tabs>
      <w:adjustRightInd w:val="0"/>
      <w:spacing w:line="240" w:lineRule="auto"/>
      <w:ind w:firstLine="0" w:firstLineChars="0"/>
      <w:jc w:val="center"/>
      <w:textAlignment w:val="baseline"/>
    </w:pPr>
    <w:rPr>
      <w:rFonts w:ascii="Times New Roman" w:hAnsi="Times New Roman"/>
      <w:b/>
      <w:kern w:val="0"/>
      <w:sz w:val="21"/>
      <w:szCs w:val="20"/>
    </w:rPr>
  </w:style>
  <w:style w:type="paragraph" w:customStyle="1" w:styleId="49">
    <w:name w:val="样式 首行缩进:  2 字符1"/>
    <w:basedOn w:val="1"/>
    <w:qFormat/>
    <w:uiPriority w:val="0"/>
    <w:pPr>
      <w:spacing w:line="360" w:lineRule="auto"/>
      <w:ind w:firstLine="200" w:firstLineChars="200"/>
    </w:pPr>
    <w:rPr>
      <w:rFonts w:cs="宋体" w:asciiTheme="minorHAnsi" w:hAnsiTheme="minorHAnsi"/>
      <w:sz w:val="24"/>
      <w:szCs w:val="20"/>
      <w:u w:val="single"/>
    </w:rPr>
  </w:style>
  <w:style w:type="character" w:customStyle="1" w:styleId="50">
    <w:name w:val="标题 1 字符"/>
    <w:basedOn w:val="32"/>
    <w:link w:val="2"/>
    <w:qFormat/>
    <w:uiPriority w:val="0"/>
    <w:rPr>
      <w:rFonts w:ascii="Times New Roman" w:hAnsi="Times New Roman" w:eastAsia="宋体" w:cs="Times New Roman"/>
      <w:b/>
      <w:kern w:val="44"/>
      <w:sz w:val="32"/>
      <w:szCs w:val="24"/>
    </w:rPr>
  </w:style>
  <w:style w:type="character" w:customStyle="1" w:styleId="51">
    <w:name w:val="标题 2 字符"/>
    <w:basedOn w:val="32"/>
    <w:link w:val="3"/>
    <w:qFormat/>
    <w:uiPriority w:val="0"/>
    <w:rPr>
      <w:rFonts w:ascii="Times New Roman" w:hAnsi="Times New Roman" w:eastAsia="宋体" w:cs="Times New Roman"/>
      <w:b/>
      <w:bCs/>
      <w:sz w:val="30"/>
      <w:szCs w:val="32"/>
    </w:rPr>
  </w:style>
  <w:style w:type="character" w:customStyle="1" w:styleId="52">
    <w:name w:val="标题 3 字符"/>
    <w:basedOn w:val="32"/>
    <w:link w:val="4"/>
    <w:qFormat/>
    <w:uiPriority w:val="0"/>
    <w:rPr>
      <w:rFonts w:ascii="Times New Roman" w:hAnsi="Times New Roman" w:eastAsia="宋体" w:cs="Times New Roman"/>
      <w:b/>
      <w:color w:val="000000"/>
      <w:sz w:val="28"/>
      <w:szCs w:val="20"/>
    </w:rPr>
  </w:style>
  <w:style w:type="character" w:customStyle="1" w:styleId="53">
    <w:name w:val="标题 4 字符"/>
    <w:basedOn w:val="32"/>
    <w:link w:val="5"/>
    <w:qFormat/>
    <w:uiPriority w:val="0"/>
    <w:rPr>
      <w:rFonts w:ascii="Times New Roman" w:hAnsi="Times New Roman" w:eastAsia="宋体" w:cs="Times New Roman"/>
      <w:b/>
      <w:bCs/>
      <w:sz w:val="24"/>
      <w:szCs w:val="28"/>
    </w:rPr>
  </w:style>
  <w:style w:type="character" w:customStyle="1" w:styleId="54">
    <w:name w:val="标题 9 字符"/>
    <w:basedOn w:val="32"/>
    <w:link w:val="8"/>
    <w:qFormat/>
    <w:uiPriority w:val="0"/>
    <w:rPr>
      <w:rFonts w:ascii="Arial" w:hAnsi="Arial" w:eastAsia="黑体" w:cs="Times New Roman"/>
      <w:szCs w:val="24"/>
    </w:rPr>
  </w:style>
  <w:style w:type="character" w:customStyle="1" w:styleId="55">
    <w:name w:val="批注框文本 字符"/>
    <w:basedOn w:val="32"/>
    <w:link w:val="18"/>
    <w:qFormat/>
    <w:uiPriority w:val="0"/>
    <w:rPr>
      <w:rFonts w:ascii="Times New Roman" w:hAnsi="Times New Roman" w:eastAsia="宋体" w:cs="Times New Roman"/>
      <w:sz w:val="18"/>
      <w:szCs w:val="18"/>
    </w:rPr>
  </w:style>
  <w:style w:type="character" w:customStyle="1" w:styleId="56">
    <w:name w:val="正文文本 字符"/>
    <w:basedOn w:val="32"/>
    <w:link w:val="11"/>
    <w:semiHidden/>
    <w:qFormat/>
    <w:uiPriority w:val="99"/>
    <w:rPr>
      <w:rFonts w:ascii="Times New Roman" w:hAnsi="Times New Roman" w:eastAsia="宋体" w:cs="Times New Roman"/>
      <w:szCs w:val="24"/>
    </w:rPr>
  </w:style>
  <w:style w:type="character" w:customStyle="1" w:styleId="57">
    <w:name w:val="正文文本首行缩进 字符"/>
    <w:basedOn w:val="56"/>
    <w:link w:val="12"/>
    <w:qFormat/>
    <w:uiPriority w:val="0"/>
    <w:rPr>
      <w:rFonts w:ascii="Calibri" w:hAnsi="Calibri" w:eastAsia="宋体" w:cs="Times New Roman"/>
      <w:szCs w:val="24"/>
    </w:rPr>
  </w:style>
  <w:style w:type="character" w:customStyle="1" w:styleId="58">
    <w:name w:val="批注文字 字符"/>
    <w:basedOn w:val="32"/>
    <w:link w:val="10"/>
    <w:qFormat/>
    <w:uiPriority w:val="99"/>
    <w:rPr>
      <w:rFonts w:ascii="Calibri" w:hAnsi="Calibri" w:eastAsia="宋体" w:cs="Times New Roman"/>
      <w:szCs w:val="24"/>
    </w:rPr>
  </w:style>
  <w:style w:type="character" w:customStyle="1" w:styleId="59">
    <w:name w:val="正文文本缩进 字符"/>
    <w:basedOn w:val="32"/>
    <w:link w:val="13"/>
    <w:qFormat/>
    <w:uiPriority w:val="0"/>
    <w:rPr>
      <w:rFonts w:ascii="Calibri" w:hAnsi="Calibri" w:eastAsia="宋体" w:cs="Times New Roman"/>
      <w:szCs w:val="24"/>
    </w:rPr>
  </w:style>
  <w:style w:type="character" w:customStyle="1" w:styleId="60">
    <w:name w:val="纯文本 字符"/>
    <w:basedOn w:val="32"/>
    <w:link w:val="16"/>
    <w:qFormat/>
    <w:uiPriority w:val="0"/>
    <w:rPr>
      <w:rFonts w:ascii="宋体" w:hAnsi="Courier New" w:eastAsia="宋体" w:cs="Times New Roman"/>
      <w:szCs w:val="20"/>
    </w:rPr>
  </w:style>
  <w:style w:type="character" w:customStyle="1" w:styleId="61">
    <w:name w:val="日期 字符"/>
    <w:basedOn w:val="32"/>
    <w:link w:val="17"/>
    <w:qFormat/>
    <w:uiPriority w:val="99"/>
    <w:rPr>
      <w:rFonts w:ascii="Calibri" w:hAnsi="Calibri" w:eastAsia="宋体" w:cs="Times New Roman"/>
      <w:szCs w:val="24"/>
    </w:rPr>
  </w:style>
  <w:style w:type="character" w:customStyle="1" w:styleId="62">
    <w:name w:val="正文文本缩进 2 字符"/>
    <w:basedOn w:val="32"/>
    <w:link w:val="14"/>
    <w:qFormat/>
    <w:uiPriority w:val="0"/>
    <w:rPr>
      <w:rFonts w:ascii="Calibri" w:hAnsi="Calibri" w:eastAsia="宋体" w:cs="Times New Roman"/>
      <w:szCs w:val="24"/>
    </w:rPr>
  </w:style>
  <w:style w:type="character" w:customStyle="1" w:styleId="63">
    <w:name w:val="页脚 字符"/>
    <w:basedOn w:val="32"/>
    <w:link w:val="19"/>
    <w:qFormat/>
    <w:uiPriority w:val="0"/>
    <w:rPr>
      <w:rFonts w:ascii="Calibri" w:hAnsi="Calibri" w:eastAsia="宋体" w:cs="Times New Roman"/>
      <w:sz w:val="18"/>
      <w:szCs w:val="24"/>
    </w:rPr>
  </w:style>
  <w:style w:type="character" w:customStyle="1" w:styleId="64">
    <w:name w:val="页眉 字符"/>
    <w:basedOn w:val="32"/>
    <w:link w:val="20"/>
    <w:qFormat/>
    <w:uiPriority w:val="0"/>
    <w:rPr>
      <w:rFonts w:ascii="Calibri" w:hAnsi="Calibri" w:eastAsia="宋体" w:cs="Times New Roman"/>
      <w:sz w:val="18"/>
      <w:szCs w:val="18"/>
    </w:rPr>
  </w:style>
  <w:style w:type="character" w:customStyle="1" w:styleId="65">
    <w:name w:val="正文文本缩进 3 字符"/>
    <w:basedOn w:val="32"/>
    <w:link w:val="25"/>
    <w:qFormat/>
    <w:uiPriority w:val="0"/>
    <w:rPr>
      <w:rFonts w:ascii="Calibri" w:hAnsi="Calibri" w:eastAsia="宋体" w:cs="Times New Roman"/>
      <w:sz w:val="16"/>
      <w:szCs w:val="16"/>
    </w:rPr>
  </w:style>
  <w:style w:type="paragraph" w:customStyle="1" w:styleId="66">
    <w:name w:val="1正文段落"/>
    <w:basedOn w:val="1"/>
    <w:qFormat/>
    <w:uiPriority w:val="0"/>
    <w:pPr>
      <w:spacing w:line="360" w:lineRule="auto"/>
      <w:ind w:firstLine="480" w:firstLineChars="200"/>
      <w:jc w:val="left"/>
    </w:pPr>
    <w:rPr>
      <w:snapToGrid w:val="0"/>
      <w:kern w:val="0"/>
      <w:sz w:val="24"/>
    </w:rPr>
  </w:style>
  <w:style w:type="paragraph" w:customStyle="1" w:styleId="67">
    <w:name w:val="table"/>
    <w:basedOn w:val="1"/>
    <w:qFormat/>
    <w:uiPriority w:val="0"/>
    <w:pPr>
      <w:overflowPunct w:val="0"/>
      <w:autoSpaceDE w:val="0"/>
      <w:autoSpaceDN w:val="0"/>
      <w:adjustRightInd w:val="0"/>
      <w:spacing w:before="60" w:after="60"/>
      <w:jc w:val="center"/>
      <w:textAlignment w:val="baseline"/>
    </w:pPr>
    <w:rPr>
      <w:rFonts w:ascii="Calibri"/>
      <w:szCs w:val="20"/>
    </w:rPr>
  </w:style>
  <w:style w:type="paragraph" w:customStyle="1" w:styleId="68">
    <w:name w:val="表格小四"/>
    <w:basedOn w:val="1"/>
    <w:qFormat/>
    <w:uiPriority w:val="0"/>
    <w:pPr>
      <w:widowControl/>
      <w:adjustRightInd w:val="0"/>
      <w:snapToGrid w:val="0"/>
      <w:jc w:val="center"/>
    </w:pPr>
    <w:rPr>
      <w:rFonts w:ascii="宋体" w:hAnsi="宋体" w:cs="宋体"/>
      <w:color w:val="000000"/>
      <w:kern w:val="0"/>
      <w:sz w:val="24"/>
    </w:rPr>
  </w:style>
  <w:style w:type="paragraph" w:customStyle="1" w:styleId="69">
    <w:name w:val="Table Paragraph"/>
    <w:basedOn w:val="1"/>
    <w:qFormat/>
    <w:uiPriority w:val="1"/>
    <w:pPr>
      <w:jc w:val="left"/>
    </w:pPr>
    <w:rPr>
      <w:rFonts w:ascii="Calibri" w:hAnsi="Calibri"/>
      <w:kern w:val="0"/>
      <w:sz w:val="22"/>
      <w:lang w:eastAsia="en-US"/>
    </w:rPr>
  </w:style>
  <w:style w:type="paragraph" w:customStyle="1" w:styleId="70">
    <w:name w:val="a)"/>
    <w:basedOn w:val="1"/>
    <w:qFormat/>
    <w:uiPriority w:val="0"/>
    <w:pPr>
      <w:adjustRightInd w:val="0"/>
      <w:spacing w:line="360" w:lineRule="auto"/>
      <w:ind w:firstLine="567"/>
      <w:textAlignment w:val="baseline"/>
    </w:pPr>
    <w:rPr>
      <w:kern w:val="0"/>
      <w:sz w:val="24"/>
      <w:szCs w:val="20"/>
    </w:rPr>
  </w:style>
  <w:style w:type="paragraph" w:customStyle="1" w:styleId="71">
    <w:name w:val="表文"/>
    <w:basedOn w:val="11"/>
    <w:next w:val="9"/>
    <w:qFormat/>
    <w:uiPriority w:val="0"/>
    <w:pPr>
      <w:spacing w:after="0" w:line="240" w:lineRule="exact"/>
    </w:pPr>
    <w:rPr>
      <w:rFonts w:ascii="宋体" w:hAnsi="宋体"/>
      <w:szCs w:val="20"/>
    </w:rPr>
  </w:style>
  <w:style w:type="paragraph" w:customStyle="1" w:styleId="72">
    <w:name w:val="正文A"/>
    <w:basedOn w:val="73"/>
    <w:link w:val="119"/>
    <w:qFormat/>
    <w:uiPriority w:val="0"/>
    <w:pPr>
      <w:spacing w:line="500" w:lineRule="exact"/>
      <w:ind w:firstLine="480" w:firstLineChars="200"/>
    </w:pPr>
    <w:rPr>
      <w:rFonts w:ascii="华文仿宋" w:hAnsi="华文仿宋" w:eastAsia="华文仿宋"/>
    </w:rPr>
  </w:style>
  <w:style w:type="paragraph" w:customStyle="1" w:styleId="73">
    <w:name w:val="正文!!!!!!!!!!!"/>
    <w:basedOn w:val="74"/>
    <w:qFormat/>
    <w:uiPriority w:val="0"/>
    <w:pPr>
      <w:ind w:firstLine="480"/>
    </w:pPr>
    <w:rPr>
      <w:rFonts w:ascii="华文仿宋" w:hAnsi="华文仿宋" w:eastAsia="华文仿宋" w:cs="Times New Roman"/>
    </w:rPr>
  </w:style>
  <w:style w:type="paragraph" w:customStyle="1" w:styleId="74">
    <w:name w:val="正文 楷体"/>
    <w:basedOn w:val="1"/>
    <w:qFormat/>
    <w:uiPriority w:val="0"/>
    <w:pPr>
      <w:spacing w:line="500" w:lineRule="exact"/>
      <w:ind w:firstLine="200" w:firstLineChars="200"/>
    </w:pPr>
    <w:rPr>
      <w:rFonts w:ascii="楷体_GB2312" w:hAnsi="楷体_GB2312" w:eastAsia="楷体_GB2312" w:cs="宋体"/>
      <w:kern w:val="0"/>
      <w:sz w:val="24"/>
    </w:rPr>
  </w:style>
  <w:style w:type="paragraph" w:customStyle="1" w:styleId="75">
    <w:name w:val="text"/>
    <w:basedOn w:val="1"/>
    <w:qFormat/>
    <w:uiPriority w:val="0"/>
    <w:pPr>
      <w:widowControl/>
      <w:spacing w:before="100" w:beforeAutospacing="1" w:after="100" w:afterAutospacing="1"/>
      <w:jc w:val="left"/>
    </w:pPr>
    <w:rPr>
      <w:rFonts w:ascii="宋体" w:hAnsi="宋体" w:cs="宋体"/>
      <w:kern w:val="0"/>
      <w:sz w:val="24"/>
    </w:rPr>
  </w:style>
  <w:style w:type="paragraph" w:customStyle="1" w:styleId="76">
    <w:name w:val="表内格式"/>
    <w:basedOn w:val="1"/>
    <w:qFormat/>
    <w:uiPriority w:val="0"/>
    <w:pPr>
      <w:jc w:val="center"/>
    </w:pPr>
    <w:rPr>
      <w:rFonts w:ascii="Calibri" w:hAnsi="Calibri"/>
      <w:sz w:val="18"/>
      <w:szCs w:val="20"/>
      <w:lang w:eastAsia="en-US" w:bidi="en-US"/>
    </w:rPr>
  </w:style>
  <w:style w:type="paragraph" w:styleId="77">
    <w:name w:val="List Paragraph"/>
    <w:basedOn w:val="1"/>
    <w:qFormat/>
    <w:uiPriority w:val="1"/>
    <w:pPr>
      <w:ind w:firstLine="420" w:firstLineChars="200"/>
    </w:pPr>
    <w:rPr>
      <w:rFonts w:ascii="Calibri" w:hAnsi="Calibri"/>
    </w:rPr>
  </w:style>
  <w:style w:type="paragraph" w:customStyle="1" w:styleId="78">
    <w:name w:val="Char"/>
    <w:basedOn w:val="1"/>
    <w:qFormat/>
    <w:uiPriority w:val="0"/>
  </w:style>
  <w:style w:type="character" w:customStyle="1" w:styleId="79">
    <w:name w:val="表格正文 Char Char"/>
    <w:link w:val="80"/>
    <w:qFormat/>
    <w:uiPriority w:val="0"/>
  </w:style>
  <w:style w:type="paragraph" w:customStyle="1" w:styleId="80">
    <w:name w:val="表格正文"/>
    <w:basedOn w:val="1"/>
    <w:next w:val="1"/>
    <w:link w:val="79"/>
    <w:qFormat/>
    <w:uiPriority w:val="0"/>
    <w:pPr>
      <w:spacing w:line="320" w:lineRule="exact"/>
      <w:jc w:val="center"/>
    </w:pPr>
    <w:rPr>
      <w:rFonts w:asciiTheme="minorHAnsi" w:hAnsiTheme="minorHAnsi" w:eastAsiaTheme="minorEastAsia" w:cstheme="minorBidi"/>
      <w:szCs w:val="22"/>
    </w:rPr>
  </w:style>
  <w:style w:type="paragraph" w:customStyle="1" w:styleId="81">
    <w:name w:val="样式6"/>
    <w:basedOn w:val="1"/>
    <w:qFormat/>
    <w:uiPriority w:val="0"/>
    <w:pPr>
      <w:jc w:val="center"/>
    </w:pPr>
  </w:style>
  <w:style w:type="character" w:customStyle="1" w:styleId="82">
    <w:name w:val="样式5 Char"/>
    <w:link w:val="83"/>
    <w:qFormat/>
    <w:uiPriority w:val="0"/>
    <w:rPr>
      <w:b/>
    </w:rPr>
  </w:style>
  <w:style w:type="paragraph" w:customStyle="1" w:styleId="83">
    <w:name w:val="样式5"/>
    <w:basedOn w:val="1"/>
    <w:link w:val="82"/>
    <w:qFormat/>
    <w:uiPriority w:val="0"/>
    <w:pPr>
      <w:jc w:val="center"/>
    </w:pPr>
    <w:rPr>
      <w:rFonts w:asciiTheme="minorHAnsi" w:hAnsiTheme="minorHAnsi" w:eastAsiaTheme="minorEastAsia" w:cstheme="minorBidi"/>
      <w:b/>
      <w:szCs w:val="22"/>
    </w:rPr>
  </w:style>
  <w:style w:type="paragraph" w:customStyle="1" w:styleId="84">
    <w:name w:val="段落"/>
    <w:basedOn w:val="1"/>
    <w:qFormat/>
    <w:uiPriority w:val="0"/>
    <w:pPr>
      <w:ind w:firstLine="560" w:firstLineChars="200"/>
    </w:pPr>
    <w:rPr>
      <w:rFonts w:cs="宋体"/>
      <w:sz w:val="28"/>
      <w:szCs w:val="20"/>
    </w:rPr>
  </w:style>
  <w:style w:type="paragraph" w:customStyle="1" w:styleId="85">
    <w:name w:val="表文字"/>
    <w:basedOn w:val="1"/>
    <w:qFormat/>
    <w:uiPriority w:val="0"/>
    <w:pPr>
      <w:topLinePunct/>
      <w:adjustRightInd w:val="0"/>
      <w:spacing w:line="240" w:lineRule="exact"/>
      <w:jc w:val="center"/>
    </w:pPr>
    <w:rPr>
      <w:szCs w:val="21"/>
    </w:rPr>
  </w:style>
  <w:style w:type="paragraph" w:customStyle="1" w:styleId="86">
    <w:name w:val="正文01"/>
    <w:basedOn w:val="1"/>
    <w:qFormat/>
    <w:uiPriority w:val="0"/>
    <w:pPr>
      <w:spacing w:before="60" w:line="460" w:lineRule="exact"/>
      <w:ind w:firstLine="539"/>
    </w:pPr>
    <w:rPr>
      <w:sz w:val="27"/>
      <w:szCs w:val="20"/>
    </w:rPr>
  </w:style>
  <w:style w:type="paragraph" w:customStyle="1" w:styleId="87">
    <w:name w:val="表内式样"/>
    <w:qFormat/>
    <w:uiPriority w:val="0"/>
    <w:pPr>
      <w:keepLines/>
      <w:widowControl w:val="0"/>
      <w:kinsoku w:val="0"/>
      <w:overflowPunct w:val="0"/>
      <w:adjustRightInd w:val="0"/>
      <w:spacing w:line="240" w:lineRule="atLeast"/>
      <w:jc w:val="center"/>
    </w:pPr>
    <w:rPr>
      <w:rFonts w:ascii="宋体" w:hAnsi="Times New Roman" w:eastAsia="宋体" w:cs="Times New Roman"/>
      <w:kern w:val="21"/>
      <w:sz w:val="21"/>
      <w:lang w:val="en-US" w:eastAsia="zh-CN" w:bidi="ar-SA"/>
    </w:rPr>
  </w:style>
  <w:style w:type="character" w:customStyle="1" w:styleId="88">
    <w:name w:val="正文文本首行缩进 2 字符"/>
    <w:basedOn w:val="59"/>
    <w:link w:val="29"/>
    <w:semiHidden/>
    <w:qFormat/>
    <w:uiPriority w:val="99"/>
    <w:rPr>
      <w:rFonts w:ascii="Times New Roman" w:hAnsi="Times New Roman" w:eastAsia="宋体" w:cs="Times New Roman"/>
      <w:szCs w:val="24"/>
    </w:rPr>
  </w:style>
  <w:style w:type="paragraph" w:customStyle="1" w:styleId="89">
    <w:name w:val="Char Char5 Char Char Char Char Char Char Char"/>
    <w:basedOn w:val="1"/>
    <w:next w:val="1"/>
    <w:qFormat/>
    <w:uiPriority w:val="0"/>
    <w:pPr>
      <w:spacing w:line="360" w:lineRule="auto"/>
      <w:ind w:firstLine="200" w:firstLineChars="200"/>
    </w:pPr>
    <w:rPr>
      <w:rFonts w:ascii="宋体" w:hAnsi="宋体" w:cs="宋体"/>
      <w:sz w:val="24"/>
      <w:u w:val="single"/>
    </w:rPr>
  </w:style>
  <w:style w:type="paragraph" w:customStyle="1" w:styleId="90">
    <w:name w:val="样式 标题 1标题 1 Char标1第一章章一级标题，黑粗，三号，序号可研-标题 1PartH1H11H12..."/>
    <w:basedOn w:val="2"/>
    <w:qFormat/>
    <w:uiPriority w:val="0"/>
    <w:pPr>
      <w:keepNext w:val="0"/>
      <w:keepLines w:val="0"/>
      <w:numPr>
        <w:ilvl w:val="0"/>
        <w:numId w:val="2"/>
      </w:numPr>
      <w:spacing w:before="240" w:after="0" w:line="360" w:lineRule="auto"/>
      <w:jc w:val="left"/>
    </w:pPr>
    <w:rPr>
      <w:rFonts w:ascii="宋体" w:hAnsi="宋体" w:cs="宋体"/>
      <w:color w:val="000000"/>
      <w:kern w:val="0"/>
      <w:sz w:val="30"/>
      <w:szCs w:val="30"/>
      <w:u w:val="single"/>
      <w:lang w:val="zh-CN" w:bidi="zh-CN"/>
    </w:rPr>
  </w:style>
  <w:style w:type="character" w:customStyle="1" w:styleId="91">
    <w:name w:val="fontstyle11"/>
    <w:basedOn w:val="32"/>
    <w:qFormat/>
    <w:uiPriority w:val="0"/>
    <w:rPr>
      <w:rFonts w:ascii="TimesNewRomanPSMT" w:hAnsi="TimesNewRomanPSMT" w:eastAsia="TimesNewRomanPSMT" w:cs="TimesNewRomanPSMT"/>
      <w:color w:val="000000"/>
      <w:sz w:val="28"/>
      <w:szCs w:val="28"/>
    </w:rPr>
  </w:style>
  <w:style w:type="paragraph" w:customStyle="1" w:styleId="92">
    <w:name w:val="表文6"/>
    <w:basedOn w:val="1"/>
    <w:qFormat/>
    <w:uiPriority w:val="0"/>
    <w:pPr>
      <w:jc w:val="center"/>
    </w:pPr>
    <w:rPr>
      <w:rFonts w:ascii="Calibri" w:hAnsi="Calibri" w:cs="黑体"/>
      <w:szCs w:val="22"/>
    </w:rPr>
  </w:style>
  <w:style w:type="paragraph" w:customStyle="1" w:styleId="93">
    <w:name w:val="5-标题"/>
    <w:basedOn w:val="1"/>
    <w:qFormat/>
    <w:uiPriority w:val="99"/>
    <w:pPr>
      <w:jc w:val="center"/>
    </w:pPr>
    <w:rPr>
      <w:rFonts w:cs="黑体"/>
      <w:b/>
    </w:rPr>
  </w:style>
  <w:style w:type="paragraph" w:customStyle="1" w:styleId="94">
    <w:name w:val="标题 31"/>
    <w:basedOn w:val="1"/>
    <w:qFormat/>
    <w:uiPriority w:val="1"/>
    <w:pPr>
      <w:autoSpaceDE w:val="0"/>
      <w:autoSpaceDN w:val="0"/>
      <w:jc w:val="left"/>
      <w:outlineLvl w:val="3"/>
    </w:pPr>
    <w:rPr>
      <w:rFonts w:ascii="宋体" w:hAnsi="宋体" w:cs="宋体"/>
      <w:b/>
      <w:bCs/>
      <w:kern w:val="0"/>
      <w:sz w:val="24"/>
      <w:lang w:val="zh-CN" w:bidi="zh-CN"/>
    </w:rPr>
  </w:style>
  <w:style w:type="character" w:customStyle="1" w:styleId="95">
    <w:name w:val="font11"/>
    <w:basedOn w:val="32"/>
    <w:qFormat/>
    <w:uiPriority w:val="0"/>
    <w:rPr>
      <w:rFonts w:hint="default" w:ascii="Times New Roman" w:hAnsi="Times New Roman" w:cs="Times New Roman"/>
      <w:color w:val="000000"/>
      <w:sz w:val="21"/>
      <w:szCs w:val="21"/>
      <w:u w:val="none"/>
    </w:rPr>
  </w:style>
  <w:style w:type="paragraph" w:customStyle="1" w:styleId="96">
    <w:name w:val="标题 2H2Heading 2 HiddenHeading 2 CCBS2nd levelh22Header..."/>
    <w:basedOn w:val="3"/>
    <w:qFormat/>
    <w:uiPriority w:val="0"/>
    <w:pPr>
      <w:spacing w:before="0" w:beforeLines="0" w:after="0" w:afterLines="0" w:line="360" w:lineRule="auto"/>
    </w:pPr>
    <w:rPr>
      <w:rFonts w:ascii="Times New Roman" w:hAnsi="Times New Roman" w:eastAsia="宋体" w:cs="宋体"/>
      <w:sz w:val="30"/>
      <w:szCs w:val="20"/>
    </w:rPr>
  </w:style>
  <w:style w:type="paragraph" w:customStyle="1" w:styleId="97">
    <w:name w:val="正文 样式"/>
    <w:basedOn w:val="1"/>
    <w:qFormat/>
    <w:uiPriority w:val="0"/>
    <w:pPr>
      <w:spacing w:line="360" w:lineRule="auto"/>
      <w:ind w:firstLine="200" w:firstLineChars="200"/>
    </w:pPr>
    <w:rPr>
      <w:rFonts w:cs="宋体"/>
      <w:sz w:val="24"/>
      <w:szCs w:val="20"/>
    </w:rPr>
  </w:style>
  <w:style w:type="paragraph" w:customStyle="1" w:styleId="98">
    <w:name w:val="标题 3Char标题 3 Char Char标题 3 Char Char Char标题 3 Char Char C...1"/>
    <w:basedOn w:val="4"/>
    <w:qFormat/>
    <w:uiPriority w:val="0"/>
    <w:pPr>
      <w:spacing w:before="0" w:beforeLines="0" w:after="0" w:afterLines="0" w:line="360" w:lineRule="auto"/>
    </w:pPr>
    <w:rPr>
      <w:rFonts w:cs="宋体"/>
      <w:sz w:val="28"/>
      <w:szCs w:val="20"/>
    </w:rPr>
  </w:style>
  <w:style w:type="paragraph" w:customStyle="1" w:styleId="99">
    <w:name w:val="表头 + Times New Roman"/>
    <w:basedOn w:val="39"/>
    <w:qFormat/>
    <w:uiPriority w:val="0"/>
    <w:pPr>
      <w:tabs>
        <w:tab w:val="left" w:pos="6840"/>
      </w:tabs>
      <w:spacing w:before="93" w:beforeLines="30" w:line="240" w:lineRule="auto"/>
    </w:pPr>
    <w:rPr>
      <w:rFonts w:ascii="Times New Roman" w:hAnsi="Times New Roman"/>
      <w:sz w:val="21"/>
    </w:rPr>
  </w:style>
  <w:style w:type="paragraph" w:customStyle="1" w:styleId="100">
    <w:name w:val="表格内容"/>
    <w:basedOn w:val="1"/>
    <w:qFormat/>
    <w:uiPriority w:val="0"/>
    <w:pPr>
      <w:adjustRightInd w:val="0"/>
      <w:snapToGrid w:val="0"/>
      <w:ind w:left="-15" w:leftChars="-15" w:right="-15" w:rightChars="-15"/>
      <w:jc w:val="center"/>
      <w:textAlignment w:val="baseline"/>
    </w:pPr>
    <w:rPr>
      <w:color w:val="000000"/>
      <w:szCs w:val="18"/>
    </w:rPr>
  </w:style>
  <w:style w:type="paragraph" w:customStyle="1" w:styleId="101">
    <w:name w:val="表题"/>
    <w:basedOn w:val="1"/>
    <w:link w:val="106"/>
    <w:qFormat/>
    <w:uiPriority w:val="0"/>
    <w:pPr>
      <w:tabs>
        <w:tab w:val="left" w:pos="0"/>
      </w:tabs>
      <w:spacing w:line="240" w:lineRule="auto"/>
      <w:ind w:firstLine="0" w:firstLineChars="0"/>
    </w:pPr>
    <w:rPr>
      <w:rFonts w:ascii="Times New Roman" w:hAnsi="Times New Roman"/>
      <w:b/>
      <w:sz w:val="21"/>
      <w:szCs w:val="21"/>
    </w:rPr>
  </w:style>
  <w:style w:type="paragraph" w:customStyle="1" w:styleId="102">
    <w:name w:val="表头A"/>
    <w:basedOn w:val="39"/>
    <w:qFormat/>
    <w:uiPriority w:val="0"/>
    <w:pPr>
      <w:tabs>
        <w:tab w:val="left" w:pos="6840"/>
      </w:tabs>
      <w:spacing w:before="25" w:after="25" w:line="240" w:lineRule="auto"/>
      <w:ind w:firstLine="0" w:firstLineChars="0"/>
      <w:jc w:val="left"/>
    </w:pPr>
    <w:rPr>
      <w:rFonts w:ascii="宋体" w:hAnsi="宋体" w:eastAsia="宋体"/>
      <w:b w:val="0"/>
      <w:sz w:val="21"/>
      <w:szCs w:val="21"/>
    </w:rPr>
  </w:style>
  <w:style w:type="paragraph" w:customStyle="1" w:styleId="103">
    <w:name w:val="！正文"/>
    <w:basedOn w:val="1"/>
    <w:qFormat/>
    <w:uiPriority w:val="0"/>
    <w:pPr>
      <w:spacing w:line="500" w:lineRule="exact"/>
      <w:ind w:firstLine="200" w:firstLineChars="200"/>
    </w:pPr>
    <w:rPr>
      <w:rFonts w:ascii="Times New Roman" w:hAnsi="Times New Roman" w:eastAsia="Times New Roman" w:cs="Times New Roman"/>
      <w:kern w:val="2"/>
    </w:rPr>
  </w:style>
  <w:style w:type="paragraph" w:customStyle="1" w:styleId="104">
    <w:name w:val="样式 样式 (中文) 楷体_GB2312 四号 行距: 固定值 26 磅 +"/>
    <w:basedOn w:val="1"/>
    <w:qFormat/>
    <w:uiPriority w:val="0"/>
    <w:pPr>
      <w:spacing w:line="360" w:lineRule="auto"/>
      <w:ind w:firstLine="480" w:firstLineChars="200"/>
    </w:pPr>
    <w:rPr>
      <w:kern w:val="0"/>
      <w:sz w:val="24"/>
      <w:szCs w:val="20"/>
    </w:rPr>
  </w:style>
  <w:style w:type="paragraph" w:customStyle="1" w:styleId="105">
    <w:name w:val="Normal Indent"/>
    <w:basedOn w:val="1"/>
    <w:qFormat/>
    <w:uiPriority w:val="0"/>
    <w:pPr>
      <w:spacing w:line="360" w:lineRule="auto"/>
      <w:ind w:firstLine="420" w:firstLineChars="200"/>
    </w:pPr>
    <w:rPr>
      <w:rFonts w:hint="default" w:ascii="Times New Roman" w:eastAsia="宋体"/>
      <w:kern w:val="2"/>
      <w:sz w:val="24"/>
      <w:lang w:val="en-US" w:eastAsia="zh-CN"/>
    </w:rPr>
  </w:style>
  <w:style w:type="character" w:customStyle="1" w:styleId="106">
    <w:name w:val="表题 Char"/>
    <w:link w:val="101"/>
    <w:qFormat/>
    <w:uiPriority w:val="0"/>
    <w:rPr>
      <w:rFonts w:ascii="Times New Roman" w:hAnsi="Times New Roman"/>
      <w:b/>
      <w:sz w:val="21"/>
      <w:szCs w:val="21"/>
    </w:rPr>
  </w:style>
  <w:style w:type="paragraph" w:customStyle="1" w:styleId="107">
    <w:name w:val="4刘群正文*"/>
    <w:basedOn w:val="1"/>
    <w:qFormat/>
    <w:uiPriority w:val="0"/>
    <w:pPr>
      <w:spacing w:line="520" w:lineRule="exact"/>
      <w:ind w:firstLine="480" w:firstLineChars="200"/>
    </w:pPr>
    <w:rPr>
      <w:rFonts w:hint="default" w:ascii="Verdana" w:hAnsi="Verdana"/>
      <w:sz w:val="24"/>
      <w:szCs w:val="24"/>
      <w:lang w:val="zh-CN"/>
    </w:rPr>
  </w:style>
  <w:style w:type="paragraph" w:customStyle="1" w:styleId="108">
    <w:name w:val="表内文字"/>
    <w:basedOn w:val="1"/>
    <w:qFormat/>
    <w:uiPriority w:val="0"/>
    <w:pPr>
      <w:widowControl w:val="0"/>
      <w:adjustRightInd w:val="0"/>
      <w:spacing w:before="60" w:after="60"/>
      <w:jc w:val="center"/>
      <w:textAlignment w:val="baseline"/>
    </w:pPr>
    <w:rPr>
      <w:rFonts w:ascii="楷体_GB2312" w:hAnsi="Calibri" w:eastAsia="楷体_GB2312" w:cs="Times New Roman"/>
      <w:szCs w:val="20"/>
    </w:rPr>
  </w:style>
  <w:style w:type="paragraph" w:customStyle="1" w:styleId="109">
    <w:name w:val="正文新"/>
    <w:basedOn w:val="110"/>
    <w:qFormat/>
    <w:uiPriority w:val="0"/>
    <w:rPr>
      <w:color w:val="auto"/>
    </w:rPr>
  </w:style>
  <w:style w:type="paragraph" w:customStyle="1" w:styleId="110">
    <w:name w:val="正文11"/>
    <w:qFormat/>
    <w:uiPriority w:val="0"/>
    <w:pPr>
      <w:widowControl w:val="0"/>
      <w:adjustRightInd w:val="0"/>
      <w:spacing w:after="200" w:line="360" w:lineRule="atLeast"/>
      <w:textAlignment w:val="baseline"/>
    </w:pPr>
    <w:rPr>
      <w:rFonts w:ascii="宋体" w:hAnsi="Times New Roman" w:eastAsia="宋体" w:cs="Times New Roman"/>
      <w:sz w:val="24"/>
      <w:szCs w:val="22"/>
      <w:lang w:val="en-US" w:eastAsia="zh-CN" w:bidi="ar-SA"/>
    </w:rPr>
  </w:style>
  <w:style w:type="paragraph" w:customStyle="1" w:styleId="111">
    <w:name w:val="表格内容1"/>
    <w:basedOn w:val="1"/>
    <w:qFormat/>
    <w:uiPriority w:val="0"/>
    <w:pPr>
      <w:widowControl/>
      <w:spacing w:line="300" w:lineRule="exact"/>
      <w:jc w:val="center"/>
    </w:pPr>
    <w:rPr>
      <w:rFonts w:ascii="Times New Roman" w:hAnsi="Times New Roman" w:eastAsia="宋体" w:cs="Times New Roman"/>
      <w:kern w:val="0"/>
      <w:szCs w:val="21"/>
      <w:lang w:eastAsia="en-US" w:bidi="en-US"/>
    </w:rPr>
  </w:style>
  <w:style w:type="paragraph" w:customStyle="1" w:styleId="112">
    <w:name w:val="四级标题"/>
    <w:basedOn w:val="40"/>
    <w:qFormat/>
    <w:uiPriority w:val="0"/>
    <w:pPr>
      <w:ind w:firstLine="0" w:firstLineChars="0"/>
    </w:pPr>
    <w:rPr>
      <w:b/>
    </w:rPr>
  </w:style>
  <w:style w:type="paragraph" w:customStyle="1" w:styleId="113">
    <w:name w:val="环评 正文"/>
    <w:basedOn w:val="27"/>
    <w:qFormat/>
    <w:uiPriority w:val="0"/>
    <w:pPr>
      <w:spacing w:line="360" w:lineRule="auto"/>
      <w:ind w:firstLine="480" w:firstLineChars="200"/>
    </w:pPr>
    <w:rPr>
      <w:rFonts w:ascii="Times New Roman" w:hAnsi="Times New Roman" w:eastAsia="宋体"/>
      <w:bCs/>
      <w:sz w:val="24"/>
      <w:szCs w:val="24"/>
    </w:rPr>
  </w:style>
  <w:style w:type="paragraph" w:customStyle="1" w:styleId="114">
    <w:name w:val="表格标题 五号"/>
    <w:basedOn w:val="115"/>
    <w:qFormat/>
    <w:uiPriority w:val="0"/>
    <w:pPr>
      <w:spacing w:beforeLines="0" w:after="120"/>
    </w:pPr>
    <w:rPr>
      <w:rFonts w:eastAsia="宋体"/>
      <w:b/>
      <w:snapToGrid w:val="0"/>
      <w:sz w:val="21"/>
    </w:rPr>
  </w:style>
  <w:style w:type="paragraph" w:customStyle="1" w:styleId="115">
    <w:name w:val="样式 表格标题 + 段前: 0.5 行2"/>
    <w:basedOn w:val="1"/>
    <w:qFormat/>
    <w:uiPriority w:val="0"/>
    <w:pPr>
      <w:autoSpaceDE w:val="0"/>
      <w:autoSpaceDN w:val="0"/>
      <w:adjustRightInd w:val="0"/>
      <w:spacing w:beforeLines="50" w:line="400" w:lineRule="exact"/>
      <w:jc w:val="center"/>
    </w:pPr>
    <w:rPr>
      <w:rFonts w:ascii="宋体" w:eastAsia="黑体" w:cs="宋体"/>
      <w:sz w:val="24"/>
      <w:szCs w:val="20"/>
      <w:lang w:val="zh-CN"/>
    </w:rPr>
  </w:style>
  <w:style w:type="character" w:customStyle="1" w:styleId="116">
    <w:name w:val="标题 5 Char"/>
    <w:link w:val="6"/>
    <w:qFormat/>
    <w:uiPriority w:val="0"/>
    <w:rPr>
      <w:rFonts w:ascii="Times New Roman" w:hAnsi="Times New Roman" w:eastAsia="宋体"/>
      <w:b/>
      <w:sz w:val="24"/>
    </w:rPr>
  </w:style>
  <w:style w:type="paragraph" w:customStyle="1" w:styleId="117">
    <w:name w:val="表头、图号"/>
    <w:qFormat/>
    <w:uiPriority w:val="0"/>
    <w:pPr>
      <w:widowControl w:val="0"/>
      <w:spacing w:line="240" w:lineRule="auto"/>
      <w:ind w:firstLine="0" w:firstLineChars="0"/>
      <w:jc w:val="center"/>
    </w:pPr>
    <w:rPr>
      <w:rFonts w:ascii="Times New Roman" w:hAnsi="Times New Roman" w:eastAsia="宋体" w:cs="Times New Roman"/>
      <w:b/>
      <w:kern w:val="2"/>
      <w:sz w:val="24"/>
      <w:szCs w:val="22"/>
      <w:lang w:val="en-US" w:eastAsia="zh-CN" w:bidi="ar-SA"/>
    </w:rPr>
  </w:style>
  <w:style w:type="table" w:customStyle="1" w:styleId="118">
    <w:name w:val="hp"/>
    <w:qFormat/>
    <w:uiPriority w:val="0"/>
    <w:pPr>
      <w:widowControl w:val="0"/>
      <w:jc w:val="center"/>
    </w:pPr>
    <w:rPr>
      <w:rFonts w:ascii="Times New Roman" w:hAnsi="Times New Roman" w:eastAsia="宋体" w:cs="Times New Roman"/>
      <w:sz w:val="21"/>
    </w:rPr>
    <w:tblPr>
      <w:jc w:val="center"/>
    </w:tblPr>
    <w:trPr>
      <w:jc w:val="center"/>
    </w:trPr>
    <w:tcPr>
      <w:vAlign w:val="center"/>
    </w:tcPr>
  </w:style>
  <w:style w:type="character" w:customStyle="1" w:styleId="119">
    <w:name w:val="正文A 字符"/>
    <w:link w:val="72"/>
    <w:qFormat/>
    <w:uiPriority w:val="0"/>
    <w:rPr>
      <w:rFonts w:ascii="华文仿宋" w:hAnsi="华文仿宋" w:eastAsia="华文仿宋"/>
    </w:rPr>
  </w:style>
  <w:style w:type="paragraph" w:customStyle="1" w:styleId="120">
    <w:name w:val="表后空格"/>
    <w:qFormat/>
    <w:uiPriority w:val="0"/>
    <w:pPr>
      <w:widowControl w:val="0"/>
      <w:spacing w:line="240" w:lineRule="exact"/>
      <w:ind w:firstLine="200" w:firstLineChars="200"/>
      <w:jc w:val="both"/>
    </w:pPr>
    <w:rPr>
      <w:rFonts w:ascii="Times New Roman" w:hAnsi="Times New Roman" w:eastAsiaTheme="minorEastAsia" w:cstheme="minorBidi"/>
      <w:kern w:val="2"/>
      <w:sz w:val="18"/>
      <w:szCs w:val="21"/>
      <w:lang w:val="en-US" w:eastAsia="zh-CN" w:bidi="ar-SA"/>
    </w:rPr>
  </w:style>
  <w:style w:type="paragraph" w:customStyle="1" w:styleId="121">
    <w:name w:val="caption"/>
    <w:next w:val="1"/>
    <w:unhideWhenUsed/>
    <w:qFormat/>
    <w:uiPriority w:val="0"/>
    <w:pPr>
      <w:widowControl w:val="0"/>
      <w:spacing w:beforeLines="0" w:afterLines="0" w:line="360" w:lineRule="auto"/>
      <w:ind w:firstLine="200" w:firstLineChars="200"/>
      <w:jc w:val="both"/>
    </w:pPr>
    <w:rPr>
      <w:rFonts w:hint="eastAsia" w:ascii="Arial" w:hAnsi="Arial" w:eastAsia="黑体" w:cstheme="minorBidi"/>
      <w:kern w:val="2"/>
      <w:sz w:val="20"/>
      <w:szCs w:val="20"/>
      <w:lang w:val="en-US" w:eastAsia="zh-CN" w:bidi="ar-SA"/>
    </w:rPr>
  </w:style>
  <w:style w:type="paragraph" w:customStyle="1" w:styleId="122">
    <w:name w:val="正文001"/>
    <w:basedOn w:val="1"/>
    <w:qFormat/>
    <w:uiPriority w:val="0"/>
    <w:pPr>
      <w:spacing w:line="360" w:lineRule="auto"/>
      <w:ind w:firstLine="482"/>
    </w:pPr>
    <w:rPr>
      <w:sz w:val="24"/>
    </w:rPr>
  </w:style>
  <w:style w:type="paragraph" w:customStyle="1" w:styleId="123">
    <w:name w:val="正文文字"/>
    <w:basedOn w:val="1"/>
    <w:unhideWhenUsed/>
    <w:qFormat/>
    <w:uiPriority w:val="0"/>
    <w:pPr>
      <w:widowControl/>
      <w:spacing w:beforeLines="0" w:after="200" w:afterLines="0" w:line="360" w:lineRule="auto"/>
      <w:ind w:left="539" w:firstLine="200" w:firstLineChars="200"/>
      <w:jc w:val="left"/>
    </w:pPr>
    <w:rPr>
      <w:rFonts w:hint="eastAsia" w:ascii="Arial" w:hAnsi="宋体" w:cs="Arial"/>
      <w:sz w:val="24"/>
      <w:szCs w:val="22"/>
    </w:rPr>
  </w:style>
  <w:style w:type="character" w:customStyle="1" w:styleId="124">
    <w:name w:val="font31"/>
    <w:basedOn w:val="32"/>
    <w:qFormat/>
    <w:uiPriority w:val="0"/>
    <w:rPr>
      <w:rFonts w:ascii="宋体" w:hAnsi="宋体" w:eastAsia="宋体" w:cs="宋体"/>
      <w:color w:val="000000"/>
      <w:sz w:val="14"/>
      <w:szCs w:val="14"/>
      <w:u w:val="none"/>
    </w:rPr>
  </w:style>
  <w:style w:type="table" w:customStyle="1" w:styleId="125">
    <w:name w:val="Table Normal"/>
    <w:unhideWhenUsed/>
    <w:qFormat/>
    <w:uiPriority w:val="0"/>
    <w:tblPr>
      <w:tblCellMar>
        <w:top w:w="0" w:type="dxa"/>
        <w:left w:w="0" w:type="dxa"/>
        <w:bottom w:w="0" w:type="dxa"/>
        <w:right w:w="0" w:type="dxa"/>
      </w:tblCellMar>
    </w:tblPr>
  </w:style>
  <w:style w:type="paragraph" w:customStyle="1" w:styleId="126">
    <w:name w:val="Table Text"/>
    <w:basedOn w:val="1"/>
    <w:semiHidden/>
    <w:qFormat/>
    <w:uiPriority w:val="0"/>
    <w:rPr>
      <w:rFonts w:ascii="Arial" w:hAnsi="Arial" w:eastAsia="Arial" w:cs="Arial"/>
      <w:sz w:val="21"/>
      <w:szCs w:val="21"/>
      <w:lang w:val="en-US" w:eastAsia="en-US" w:bidi="ar-SA"/>
    </w:rPr>
  </w:style>
  <w:style w:type="paragraph" w:customStyle="1" w:styleId="127">
    <w:name w:val="!正文缩2"/>
    <w:qFormat/>
    <w:uiPriority w:val="0"/>
    <w:pPr>
      <w:widowControl w:val="0"/>
      <w:spacing w:line="500" w:lineRule="exact"/>
      <w:jc w:val="both"/>
    </w:pPr>
    <w:rPr>
      <w:rFonts w:ascii="宋体" w:hAnsi="宋体" w:eastAsia="宋体" w:cs="宋体"/>
      <w:kern w:val="2"/>
      <w:sz w:val="21"/>
      <w:szCs w:val="28"/>
      <w:lang w:val="zh-CN" w:eastAsia="zh-CN" w:bidi="ar-SA"/>
    </w:rPr>
  </w:style>
  <w:style w:type="paragraph" w:customStyle="1" w:styleId="128">
    <w:name w:val="表格名称"/>
    <w:qFormat/>
    <w:uiPriority w:val="0"/>
    <w:pPr>
      <w:widowControl w:val="0"/>
      <w:ind w:firstLine="0" w:firstLineChars="0"/>
      <w:jc w:val="center"/>
      <w:outlineLvl w:val="4"/>
    </w:pPr>
    <w:rPr>
      <w:rFonts w:ascii="Times New Roman" w:hAnsi="Times New Roman" w:eastAsia="宋体" w:cs="Times New Roman"/>
      <w:b/>
      <w:kern w:val="2"/>
      <w:sz w:val="21"/>
      <w:szCs w:val="21"/>
      <w:lang w:val="en-US" w:eastAsia="zh-CN" w:bidi="ar-SA"/>
    </w:rPr>
  </w:style>
  <w:style w:type="paragraph" w:customStyle="1" w:styleId="129">
    <w:name w:val="表格-0.1"/>
    <w:qFormat/>
    <w:uiPriority w:val="0"/>
    <w:pPr>
      <w:spacing w:line="240" w:lineRule="auto"/>
      <w:ind w:left="-22" w:leftChars="-10" w:right="-22" w:rightChars="-10"/>
      <w:jc w:val="center"/>
    </w:pPr>
    <w:rPr>
      <w:rFonts w:ascii="Times New Roman" w:hAnsi="Times New Roman" w:eastAsia="宋体" w:cs="Times New Roman"/>
      <w:snapToGrid w:val="0"/>
      <w:sz w:val="21"/>
      <w:szCs w:val="21"/>
    </w:rPr>
  </w:style>
  <w:style w:type="paragraph" w:customStyle="1" w:styleId="130">
    <w:name w:val="表格-0"/>
    <w:qFormat/>
    <w:uiPriority w:val="0"/>
    <w:pPr>
      <w:ind w:left="24" w:leftChars="10" w:right="24" w:rightChars="10"/>
    </w:pPr>
    <w:rPr>
      <w:rFonts w:ascii="Times New Roman" w:hAnsi="Times New Roman" w:eastAsia="宋体" w:cs="Times New Roman"/>
      <w:snapToGrid w:val="0"/>
      <w:sz w:val="21"/>
      <w:szCs w:val="21"/>
      <w:lang w:val="en-US" w:eastAsia="zh-CN" w:bidi="ar-SA"/>
    </w:rPr>
  </w:style>
  <w:style w:type="character" w:customStyle="1" w:styleId="131">
    <w:name w:val="font51"/>
    <w:basedOn w:val="32"/>
    <w:qFormat/>
    <w:uiPriority w:val="0"/>
    <w:rPr>
      <w:rFonts w:ascii="宋体" w:hAnsi="宋体" w:eastAsia="宋体" w:cs="宋体"/>
      <w:color w:val="000000"/>
      <w:sz w:val="26"/>
      <w:szCs w:val="26"/>
      <w:u w:val="none"/>
    </w:rPr>
  </w:style>
  <w:style w:type="character" w:customStyle="1" w:styleId="132">
    <w:name w:val="font41"/>
    <w:basedOn w:val="32"/>
    <w:qFormat/>
    <w:uiPriority w:val="0"/>
    <w:rPr>
      <w:rFonts w:ascii="宋体" w:hAnsi="宋体" w:eastAsia="宋体" w:cs="宋体"/>
      <w:color w:val="304040"/>
      <w:sz w:val="26"/>
      <w:szCs w:val="26"/>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2.xml"/><Relationship Id="rId74" Type="http://schemas.openxmlformats.org/officeDocument/2006/relationships/fontTable" Target="fontTable.xml"/><Relationship Id="rId73" Type="http://schemas.openxmlformats.org/officeDocument/2006/relationships/customXml" Target="../customXml/item2.xml"/><Relationship Id="rId72" Type="http://schemas.openxmlformats.org/officeDocument/2006/relationships/numbering" Target="numbering.xml"/><Relationship Id="rId71" Type="http://schemas.openxmlformats.org/officeDocument/2006/relationships/customXml" Target="../customXml/item1.xml"/><Relationship Id="rId70" Type="http://schemas.openxmlformats.org/officeDocument/2006/relationships/image" Target="media/image56.jpeg"/><Relationship Id="rId7" Type="http://schemas.openxmlformats.org/officeDocument/2006/relationships/footer" Target="footer2.xml"/><Relationship Id="rId69" Type="http://schemas.openxmlformats.org/officeDocument/2006/relationships/image" Target="media/image55.jpeg"/><Relationship Id="rId68" Type="http://schemas.openxmlformats.org/officeDocument/2006/relationships/image" Target="media/image54.png"/><Relationship Id="rId67" Type="http://schemas.openxmlformats.org/officeDocument/2006/relationships/image" Target="media/image53.png"/><Relationship Id="rId66" Type="http://schemas.openxmlformats.org/officeDocument/2006/relationships/image" Target="media/image52.png"/><Relationship Id="rId65" Type="http://schemas.openxmlformats.org/officeDocument/2006/relationships/image" Target="media/image51.png"/><Relationship Id="rId64" Type="http://schemas.openxmlformats.org/officeDocument/2006/relationships/image" Target="media/image50.png"/><Relationship Id="rId63" Type="http://schemas.openxmlformats.org/officeDocument/2006/relationships/image" Target="media/image49.png"/><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footer" Target="footer1.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jpeg"/><Relationship Id="rId5" Type="http://schemas.openxmlformats.org/officeDocument/2006/relationships/header" Target="header1.xml"/><Relationship Id="rId49" Type="http://schemas.openxmlformats.org/officeDocument/2006/relationships/image" Target="media/image35.jpeg"/><Relationship Id="rId48" Type="http://schemas.openxmlformats.org/officeDocument/2006/relationships/image" Target="media/image34.jpeg"/><Relationship Id="rId47" Type="http://schemas.openxmlformats.org/officeDocument/2006/relationships/image" Target="media/image33.jpeg"/><Relationship Id="rId46" Type="http://schemas.openxmlformats.org/officeDocument/2006/relationships/image" Target="media/image32.jpeg"/><Relationship Id="rId45" Type="http://schemas.openxmlformats.org/officeDocument/2006/relationships/image" Target="media/image31.jpeg"/><Relationship Id="rId44" Type="http://schemas.openxmlformats.org/officeDocument/2006/relationships/image" Target="media/image30.jpeg"/><Relationship Id="rId43" Type="http://schemas.openxmlformats.org/officeDocument/2006/relationships/image" Target="media/image29.jpeg"/><Relationship Id="rId42" Type="http://schemas.openxmlformats.org/officeDocument/2006/relationships/image" Target="media/image28.jpe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endnotes" Target="endnotes.xml"/><Relationship Id="rId39" Type="http://schemas.openxmlformats.org/officeDocument/2006/relationships/image" Target="media/image25.jpeg"/><Relationship Id="rId38" Type="http://schemas.openxmlformats.org/officeDocument/2006/relationships/image" Target="media/image24.jpeg"/><Relationship Id="rId37" Type="http://schemas.openxmlformats.org/officeDocument/2006/relationships/image" Target="media/image23.jpe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footnotes" Target="footnotes.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jpeg"/><Relationship Id="rId20" Type="http://schemas.openxmlformats.org/officeDocument/2006/relationships/image" Target="media/image6.jpe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footer" Target="footer5.xml"/><Relationship Id="rId12" Type="http://schemas.openxmlformats.org/officeDocument/2006/relationships/header" Target="header4.xml"/><Relationship Id="rId11" Type="http://schemas.openxmlformats.org/officeDocument/2006/relationships/footer" Target="footer4.xml"/><Relationship Id="rId10" Type="http://schemas.openxmlformats.org/officeDocument/2006/relationships/header" Target="head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cdd21caa-976c-4e55-91e1-b10b278cbedf</errorID>
      <errorWord>塔什</errorWord>
      <group>L1_Word</group>
      <groupName>字词问题</groupName>
      <ability>L2_Typo</ability>
      <abilityName>字词错误</abilityName>
      <candidateList>
        <item>塔格</item>
      </candidateList>
      <explain/>
      <paraID> 3A62369</paraID>
      <start>304</start>
      <end>306</end>
      <status>ignored</status>
      <modifiedWord/>
      <trackRevisions>false</trackRevisions>
    </reviewItem>
    <reviewItem>
      <errorID>c41b01c8-530e-4d9d-8ba1-11ba045b8534</errorID>
      <errorWord>段落为</errorWord>
      <group>L1_Word</group>
      <groupName>字词问题</groupName>
      <ability>L2_Typo</ability>
      <abilityName>字词错误</abilityName>
      <candidateList>
        <item>段落</item>
      </candidateList>
      <explain/>
      <paraID> 3A62369</paraID>
      <start>331</start>
      <end>334</end>
      <status>ignored</status>
      <modifiedWord/>
      <trackRevisions>false</trackRevisions>
    </reviewItem>
    <reviewItem>
      <errorID>31aec9e1-9c32-43e5-a686-8af8f98b8ca2</errorID>
      <errorWord>“呈</errorWord>
      <group>L1_Word</group>
      <groupName>字词问题</groupName>
      <ability>L2_Typo</ability>
      <abilityName>字词错误</abilityName>
      <candidateList>
        <item>呈“</item>
      </candidateList>
      <explain/>
      <paraID> 3A62369</paraID>
      <start>337</start>
      <end>339</end>
      <status>modified</status>
      <modifiedWord>呈“</modifiedWord>
      <trackRevisions>false</trackRevisions>
    </reviewItem>
    <reviewItem>
      <errorID>849b7329-55f7-4e70-9048-9d663b327a49</errorID>
      <errorWord>出行</errorWord>
      <group>L1_Word</group>
      <groupName>字词问题</groupName>
      <ability>L2_Typo</ability>
      <abilityName>字词错误</abilityName>
      <candidateList>
        <item>出现</item>
      </candidateList>
      <explain/>
      <paraID> 3A62369</paraID>
      <start>391</start>
      <end>393</end>
      <status>ignored</status>
      <modifiedWord/>
      <trackRevisions>false</trackRevisions>
    </reviewItem>
    <reviewItem>
      <errorID>2fbe85c6-2d7d-4c61-9da3-b4b32bce2974</errorID>
      <errorWord>基于</errorWord>
      <group>L1_Word</group>
      <groupName>字词问题</groupName>
      <ability>L2_Typo</ability>
      <abilityName>字词错误</abilityName>
      <candidateList>
        <item>由于</item>
      </candidateList>
      <explain/>
      <paraID> BB466AA</paraID>
      <start>22</start>
      <end>24</end>
      <status>modified</status>
      <modifiedWord>由于</modifiedWord>
      <trackRevisions>false</trackRevisions>
    </reviewItem>
    <reviewItem>
      <errorID>3f5f6a0b-353f-4bf0-92c2-3e4aab4200f2</errorID>
      <errorWord>）项目</errorWord>
      <group>L1_Grammar</group>
      <groupName>语法问题</groupName>
      <ability>L2_Grammar</ability>
      <abilityName>语法错误</abilityName>
      <candidateList>
        <item>）</item>
      </candidateList>
      <explain/>
      <paraID> 6754D80</paraID>
      <start>98</start>
      <end>101</end>
      <status>ignored</status>
      <modifiedWord/>
      <trackRevisions>false</trackRevisions>
    </reviewItem>
    <reviewItem>
      <errorID>c3a4581e-cc8d-418f-a14f-f97424f23b06</errorID>
      <errorWord>为</errorWord>
      <group>L1_Word</group>
      <groupName>字词问题</groupName>
      <ability>L2_Typo</ability>
      <abilityName>字词错误</abilityName>
      <candidateList>
        <item>由</item>
      </candidateList>
      <explain/>
      <paraID> 6754D80</paraID>
      <start>103</start>
      <end>104</end>
      <status>ignored</status>
      <modifiedWord/>
      <trackRevisions>false</trackRevisions>
    </reviewItem>
    <reviewItem>
      <errorID>d17dfa57-e09c-4d29-982f-140212da98d2</errorID>
      <errorWord>现场</errorWord>
      <group>L1_Grammar</group>
      <groupName>语法问题</groupName>
      <ability>L2_Grammar</ability>
      <abilityName>语法错误</abilityName>
      <candidateList>
        <item>进行现场</item>
      </candidateList>
      <explain/>
      <paraID>64C5AD08</paraID>
      <start>103</start>
      <end>105</end>
      <status>ignored</status>
      <modifiedWord/>
      <trackRevisions>false</trackRevisions>
    </reviewItem>
    <reviewItem>
      <errorID>49b6703f-05a5-4845-9651-11677470c4a6</errorID>
      <errorWord>）及</errorWord>
      <group>L1_Word</group>
      <groupName>字词问题</groupName>
      <ability>L2_Typo</ability>
      <abilityName>字词错误</abilityName>
      <candidateList>
        <item>）</item>
      </candidateList>
      <explain/>
      <paraID>3D8CD080</paraID>
      <start>60</start>
      <end>62</end>
      <status>ignored</status>
      <modifiedWord/>
      <trackRevisions>false</trackRevisions>
    </reviewItem>
    <reviewItem>
      <errorID>011b17b1-85e6-4094-839a-6394d1d2135c</errorID>
      <errorWord>第</errorWord>
      <group>L1_Word</group>
      <groupName>字词问题</groupName>
      <ability>L2_Typo</ability>
      <abilityName>字词错误</abilityName>
      <candidateList>
        <item>令第</item>
      </candidateList>
      <explain/>
      <paraID>18DB030F</paraID>
      <start>63</start>
      <end>64</end>
      <status>ignored</status>
      <modifiedWord/>
      <trackRevisions>false</trackRevisions>
    </reviewItem>
    <reviewItem>
      <errorID>0290717b-7448-4312-800c-eb2fa4cf0fe1</errorID>
      <errorWord>号令</errorWord>
      <group>L1_Word</group>
      <groupName>字词问题</groupName>
      <ability>L2_Typo</ability>
      <abilityName>字词错误</abilityName>
      <candidateList>
        <item>号</item>
      </candidateList>
      <explain/>
      <paraID>18DB030F</paraID>
      <start>65</start>
      <end>67</end>
      <status>ignored</status>
      <modifiedWord/>
      <trackRevisions>false</trackRevisions>
    </reviewItem>
    <reviewItem>
      <errorID>cd2b82f9-e360-4b58-b777-58d8b89b43ff</errorID>
      <errorWord>等环境问题</errorWord>
      <group>L1_Grammar</group>
      <groupName>语法问题</groupName>
      <ability>L2_Grammar</ability>
      <abilityName>语法错误</abilityName>
      <candidateList>
        <item>等</item>
      </candidateList>
      <explain/>
      <paraID>70D56831</paraID>
      <start>28</start>
      <end>33</end>
      <status>ignored</status>
      <modifiedWord/>
      <trackRevisions>false</trackRevisions>
    </reviewItem>
    <reviewItem>
      <errorID>6d2c2197-501a-432f-9cf4-eace525dafb5</errorID>
      <errorWord>为</errorWord>
      <group>L1_Word</group>
      <groupName>字词问题</groupName>
      <ability>L2_Typo</ability>
      <abilityName>字词错误</abilityName>
      <candidateList>
        <item>是</item>
      </candidateList>
      <explain/>
      <paraID>4AEDB957</paraID>
      <start>64</start>
      <end>65</end>
      <status>ignored</status>
      <modifiedWord/>
      <trackRevisions>false</trackRevisions>
    </reviewItem>
    <reviewItem>
      <errorID>82f6652b-8265-48c6-b728-76570bdb3620</errorID>
      <errorWord>对</errorWord>
      <group>L1_Word</group>
      <groupName>字词问题</groupName>
      <ability>L2_Typo</ability>
      <abilityName>字词错误</abilityName>
      <candidateList>
        <item>中</item>
      </candidateList>
      <explain/>
      <paraID>4AEDB957</paraID>
      <start>78</start>
      <end>79</end>
      <status>ignored</status>
      <modifiedWord/>
      <trackRevisions>false</trackRevisions>
    </reviewItem>
    <reviewItem>
      <errorID>52193ba8-a677-4260-8fe2-a00b7bb9be7d</errorID>
      <errorWord>水体的影响</errorWord>
      <group>L1_Grammar</group>
      <groupName>语法问题</groupName>
      <ability>L2_Grammar</ability>
      <abilityName>语法错误</abilityName>
      <candidateList>
        <item>水体</item>
      </candidateList>
      <explain/>
      <paraID>5EA3E47C</paraID>
      <start>27</start>
      <end>32</end>
      <status>unmodified</status>
      <modifiedWord/>
      <trackRevisions>false</trackRevisions>
    </reviewItem>
    <reviewItem>
      <errorID>812dd15e-8c14-4a4b-86c7-5d7499bfd02c</errorID>
      <errorWord>发展格局</errorWord>
      <group>L1_Grammar</group>
      <groupName>语法问题</groupName>
      <ability>L2_Grammar</ability>
      <abilityName>语法错误</abilityName>
      <candidateList>
        <item>发展</item>
      </candidateList>
      <explain/>
      <paraID>4932CF0F</paraID>
      <start>90</start>
      <end>94</end>
      <status>unmodified</status>
      <modifiedWord/>
      <trackRevisions>false</trackRevisions>
    </reviewItem>
    <reviewItem>
      <errorID>ecf7156f-7299-4f00-9730-dd9d56851847</errorID>
      <errorWord>以</errorWord>
      <group>L1_Word</group>
      <groupName>字词问题</groupName>
      <ability>L2_Typo</ability>
      <abilityName>字词错误</abilityName>
      <candidateList>
        <item>秉持</item>
      </candidateList>
      <explain/>
      <paraID>48078618</paraID>
      <start>3</start>
      <end>4</end>
      <status>unmodified</status>
      <modifiedWord/>
      <trackRevisions>false</trackRevisions>
    </reviewItem>
    <reviewItem>
      <errorID>01a80098-2455-4515-82a2-586878d9f155</errorID>
      <errorWord>国家林业局</errorWord>
      <group>L1_Knowledge</group>
      <groupName>知识性问题</groupName>
      <ability>L2_Organization</ability>
      <abilityName>机构检查</abilityName>
      <candidateList>
        <item>国家林业和草原局</item>
      </candidateList>
      <explain>2018年3月，中共中央印发了《深化党和国家机构改革方案》，将国家林业局的职责，整合到新组建的国家林业和草原局。</explain>
      <paraID>18E989CB</paraID>
      <start>23</start>
      <end>28</end>
      <status>ignored</status>
      <modifiedWord/>
      <trackRevisions>false</trackRevisions>
    </reviewItem>
    <reviewItem>
      <errorID>8716e7dd-418f-4830-823f-44f463d19414</errorID>
      <errorWord>2.2.3</errorWord>
      <group>L1_Format</group>
      <groupName>格式问题</groupName>
      <ability>L2_Ordinal</ability>
      <abilityName>序号格式</abilityName>
      <candidateList>
        <item>2.2.2</item>
      </candidateList>
      <explain>标题顺序错误，请检查标题顺序是否合理。</explain>
      <paraID>1699E7E3</paraID>
      <start>0</start>
      <end>5</end>
      <status>unmodified</status>
      <modifiedWord/>
      <trackRevisions>false</trackRevisions>
    </reviewItem>
    <reviewItem>
      <errorID>481cbc8c-4165-4410-9115-0e4804b6259c</errorID>
      <errorWord>中华人民共和国交通部</errorWord>
      <group>L1_Knowledge</group>
      <groupName>知识性问题</groupName>
      <ability>L2_Organization</ability>
      <abilityName>机构检查</abilityName>
      <candidateList>
        <item>中华人民共和国外交部</item>
      </candidateList>
      <explain>机关单位全简称表述错误</explain>
      <paraID>5DD4F4CD</paraID>
      <start>21</start>
      <end>31</end>
      <status>ignored</status>
      <modifiedWord/>
      <trackRevisions>false</trackRevisions>
    </reviewItem>
    <reviewItem>
      <errorID>f17cc54d-9e4b-46fa-865d-2e9393d14079</errorID>
      <errorWord>2.2.4</errorWord>
      <group>L1_Format</group>
      <groupName>格式问题</groupName>
      <ability>L2_Ordinal</ability>
      <abilityName>序号格式</abilityName>
      <candidateList>
        <item>2.2.3</item>
      </candidateList>
      <explain>标题顺序错误，请检查标题顺序是否合理。</explain>
      <paraID> 98F30E9</paraID>
      <start>0</start>
      <end>5</end>
      <status>unmodified</status>
      <modifiedWord/>
      <trackRevisions>false</trackRevisions>
    </reviewItem>
    <reviewItem>
      <errorID>8ae88001-cd19-49f7-81cb-ea2b2c93d983</errorID>
      <errorWord>2.2.5</errorWord>
      <group>L1_Format</group>
      <groupName>格式问题</groupName>
      <ability>L2_Ordinal</ability>
      <abilityName>序号格式</abilityName>
      <candidateList>
        <item>2.2.4</item>
      </candidateList>
      <explain>标题顺序错误，请检查标题顺序是否合理。</explain>
      <paraID> 61787AA</paraID>
      <start>0</start>
      <end>5</end>
      <status>unmodified</status>
      <modifiedWord/>
      <trackRevisions>false</trackRevisions>
    </reviewItem>
    <reviewItem>
      <errorID>73e60c3e-b32d-4323-a739-0763badf845b</errorID>
      <errorWord>2.2.6</errorWord>
      <group>L1_Format</group>
      <groupName>格式问题</groupName>
      <ability>L2_Ordinal</ability>
      <abilityName>序号格式</abilityName>
      <candidateList>
        <item>2.2.5</item>
      </candidateList>
      <explain>标题顺序错误，请检查标题顺序是否合理。</explain>
      <paraID>3AADE0FC</paraID>
      <start>0</start>
      <end>5</end>
      <status>unmodified</status>
      <modifiedWord/>
      <trackRevisions>false</trackRevisions>
    </reviewItem>
    <reviewItem>
      <errorID>3ef0ebfb-49e4-4876-bbe6-cd220534d7e9</errorID>
      <errorWord>2.2.7</errorWord>
      <group>L1_Format</group>
      <groupName>格式问题</groupName>
      <ability>L2_Ordinal</ability>
      <abilityName>序号格式</abilityName>
      <candidateList>
        <item>2.2.6</item>
      </candidateList>
      <explain>标题顺序错误，请检查标题顺序是否合理。</explain>
      <paraID>324A7ABD</paraID>
      <start>0</start>
      <end>5</end>
      <status>unmodified</status>
      <modifiedWord/>
      <trackRevisions>false</trackRevisions>
    </reviewItem>
    <reviewItem>
      <errorID>856f53e5-91f9-41c2-9375-e12cb4eb74a8</errorID>
      <errorWord>2030</errorWord>
      <group>L1_Word</group>
      <groupName>字词问题</groupName>
      <ability>L2_Typo</ability>
      <abilityName>字词错误</abilityName>
      <candidateList>
        <item>2031</item>
      </candidateList>
      <explain/>
      <paraID>55430EB9</paraID>
      <start>7</start>
      <end>11</end>
      <status>unmodified</status>
      <modifiedWord/>
      <trackRevisions>false</trackRevisions>
    </reviewItem>
    <reviewItem>
      <errorID>1c03f62a-9265-448c-9968-88cbccebe870</errorID>
      <errorWord>拌合站</errorWord>
      <group>L1_Word</group>
      <groupName>字词问题</groupName>
      <ability>L2_Typo</ability>
      <abilityName>字词错误</abilityName>
      <candidateList>
        <item>拌和站</item>
      </candidateList>
      <explain>存在发音相同字词的误用。</explain>
      <paraID>321155F4</paraID>
      <start>2</start>
      <end>5</end>
      <status>ignored</status>
      <modifiedWord/>
      <trackRevisions>false</trackRevisions>
    </reviewItem>
    <reviewItem>
      <errorID>97d55f67-72a0-4397-8ed5-9a1b20ae056c</errorID>
      <errorWord>下表</errorWord>
      <group>L1_Grammar</group>
      <groupName>语法问题</groupName>
      <ability>L2_Grammar</ability>
      <abilityName>语法错误</abilityName>
      <candidateList>
        <item>表2.5-1</item>
      </candidateList>
      <explain/>
      <paraID> E38C74E</paraID>
      <start>62</start>
      <end>64</end>
      <status>unmodified</status>
      <modifiedWord/>
      <trackRevisions>false</trackRevisions>
    </reviewItem>
    <reviewItem>
      <errorID>3438d231-c57a-4b8c-87b1-924524a02c72</errorID>
      <errorWord>无需</errorWord>
      <group>L1_Grammar</group>
      <groupName>语法问题</groupName>
      <ability>L2_Grammar</ability>
      <abilityName>语法错误</abilityName>
      <candidateList>
        <item>因此无需</item>
      </candidateList>
      <explain/>
      <paraID>31B32AA2</paraID>
      <start>68</start>
      <end>70</end>
      <status>unmodified</status>
      <modifiedWord/>
      <trackRevisions>false</trackRevisions>
    </reviewItem>
    <reviewItem>
      <errorID>474b9c9a-1f77-41ea-bf67-d6e43b3443b7</errorID>
      <errorWord>公路沿线除</errorWord>
      <group>L1_Word</group>
      <groupName>字词问题</groupName>
      <ability>L2_Typo</ability>
      <abilityName>字词错误</abilityName>
      <candidateList>
        <item>公路沿线</item>
      </candidateList>
      <explain/>
      <paraID>62F0A669</paraID>
      <start>7</start>
      <end>12</end>
      <status>unmodified</status>
      <modifiedWord/>
      <trackRevisions>false</trackRevisions>
    </reviewItem>
    <reviewItem>
      <errorID>c75c7bdf-a1fa-408d-bc98-76e046348d83</errorID>
      <errorWord>e中</errorWord>
      <group>L1_Word</group>
      <groupName>字词问题</groupName>
      <ability>L2_Typo</ability>
      <abilityName>字词错误</abilityName>
      <candidateList>
        <item>e</item>
      </candidateList>
      <explain/>
      <paraID>62F0A669</paraID>
      <start>44</start>
      <end>46</end>
      <status>unmodified</status>
      <modifiedWord/>
      <trackRevisions>false</trackRevisions>
    </reviewItem>
    <reviewItem>
      <errorID>094adf25-4749-4d31-a4d4-c8492308575e</errorID>
      <errorWord>防止</errorWord>
      <group>L1_Word</group>
      <groupName>字词问题</groupName>
      <ability>L2_Typo</ability>
      <abilityName>字词错误</abilityName>
      <candidateList>
        <item>防治</item>
      </candidateList>
      <explain>存在发音相同字词的误用。</explain>
      <paraID>76A2D59D</paraID>
      <start>0</start>
      <end>2</end>
      <status>ignored</status>
      <modifiedWord/>
      <trackRevisions>false</trackRevisions>
    </reviewItem>
    <reviewItem>
      <errorID>c96a8cc7-782f-4133-85f3-24e509f1b116</errorID>
      <errorWord>水土荒漠化</errorWord>
      <group>L1_Word</group>
      <groupName>字词问题</groupName>
      <ability>L2_Typo</ability>
      <abilityName>字词错误</abilityName>
      <candidateList>
        <item>水土流失</item>
      </candidateList>
      <explain/>
      <paraID>76A2D59D</paraID>
      <start>2</start>
      <end>6</end>
      <status>modified</status>
      <modifiedWord>水土流失</modifiedWord>
      <trackRevisions>false</trackRevisions>
    </reviewItem>
    <reviewItem>
      <errorID>a331be83-3a8a-4bfb-9d2b-552291fb0302</errorID>
      <errorWord>绕避和远离</errorWord>
      <group>L1_Grammar</group>
      <groupName>语法问题</groupName>
      <ability>L2_Grammar</ability>
      <abilityName>语法错误</abilityName>
      <candidateList>
        <item>避开</item>
      </candidateList>
      <explain/>
      <paraID>50A9C110</paraID>
      <start>28</start>
      <end>30</end>
      <status>modified</status>
      <modifiedWord>避开</modifiedWord>
      <trackRevisions>false</trackRevisions>
    </reviewItem>
    <reviewItem>
      <errorID>eea73466-17ec-4e04-a674-b16f1c9f48b7</errorID>
      <errorWord>喀什市城市间</errorWord>
      <group>L1_Grammar</group>
      <groupName>语法问题</groupName>
      <ability>L2_Grammar</ability>
      <abilityName>语法错误</abilityName>
      <candidateList>
        <item>喀什市</item>
      </candidateList>
      <explain/>
      <paraID>5693386F</paraID>
      <start>29</start>
      <end>35</end>
      <status>ignored</status>
      <modifiedWord/>
      <trackRevisions>false</trackRevisions>
    </reviewItem>
    <reviewItem>
      <errorID>f178d130-b1c6-47c9-b9f7-0025ae46eb35</errorID>
      <errorWord>交通</errorWord>
      <group>L1_Word</group>
      <groupName>字词问题</groupName>
      <ability>L2_Typo</ability>
      <abilityName>字词错误</abilityName>
      <candidateList>
        <item>的交通</item>
      </candidateList>
      <explain/>
      <paraID>5693386F</paraID>
      <start>71</start>
      <end>74</end>
      <status>modified</status>
      <modifiedWord>的交通</modifiedWord>
      <trackRevisions>false</trackRevisions>
    </reviewItem>
    <reviewItem>
      <errorID>3445d075-60a6-4de1-a870-277eedb1e535</errorID>
      <errorWord>两</errorWord>
      <group>L1_Grammar</group>
      <groupName>语法问题</groupName>
      <ability>L2_Grammar</ability>
      <abilityName>语法错误</abilityName>
      <candidateList>
        <item>情况，两</item>
      </candidateList>
      <explain/>
      <paraID>403B3E61</paraID>
      <start>27</start>
      <end>28</end>
      <status>unmodified</status>
      <modifiedWord/>
      <trackRevisions>false</trackRevisions>
    </reviewItem>
    <reviewItem>
      <errorID>b6416090-59e4-4b62-abc7-b2ad85463c1a</errorID>
      <errorWord>则</errorWord>
      <group>L1_Grammar</group>
      <groupName>语法问题</groupName>
      <ability>L2_Grammar</ability>
      <abilityName>语法错误</abilityName>
      <candidateList>
        <item>会出现</item>
      </candidateList>
      <explain/>
      <paraID> 9938C50</paraID>
      <start>68</start>
      <end>69</end>
      <status>unmodified</status>
      <modifiedWord/>
      <trackRevisions>false</trackRevisions>
    </reviewItem>
    <reviewItem>
      <errorID>c9a4faa2-37fb-47f7-bde3-cd97af958856</errorID>
      <errorWord>解决</errorWord>
      <group>L1_Word</group>
      <groupName>字词问题</groupName>
      <ability>L2_Typo</ability>
      <abilityName>字词错误</abilityName>
      <candidateList>
        <item>实现</item>
      </candidateList>
      <explain/>
      <paraID>7A6CAED5</paraID>
      <start>40</start>
      <end>42</end>
      <status>unmodified</status>
      <modifiedWord/>
      <trackRevisions>false</trackRevisions>
    </reviewItem>
    <reviewItem>
      <errorID>9dfb037e-5192-4761-b39f-a04ab6d0dc21</errorID>
      <errorWord>与</errorWord>
      <group>L1_Word</group>
      <groupName>字词问题</groupName>
      <ability>L2_Typo</ability>
      <abilityName>字词错误</abilityName>
      <candidateList>
        <item>地与</item>
      </candidateList>
      <explain/>
      <paraID> 5D229C2</paraID>
      <start>89</start>
      <end>90</end>
      <status>unmodified</status>
      <modifiedWord/>
      <trackRevisions>false</trackRevisions>
    </reviewItem>
    <reviewItem>
      <errorID>9d3c6627-14bc-4c68-9245-aae7cabe2736</errorID>
      <errorWord>度</errorWord>
      <group>L1_Word</group>
      <groupName>字词问题</groupName>
      <ability>L2_Typo</ability>
      <abilityName>字词错误</abilityName>
      <candidateList>
        <item>度基</item>
      </candidateList>
      <explain/>
      <paraID>54F33615</paraID>
      <start>15</start>
      <end>16</end>
      <status>ignored</status>
      <modifiedWord/>
      <trackRevisions>false</trackRevisions>
    </reviewItem>
    <reviewItem>
      <errorID>8d51a0b8-ce46-4515-b99e-1c6d85765580</errorID>
      <errorWord>于</errorWord>
      <group>L1_Grammar</group>
      <groupName>语法问题</groupName>
      <ability>L2_Grammar</ability>
      <abilityName>语法错误</abilityName>
      <candidateList>
        <item>地完善</item>
      </candidateList>
      <explain/>
      <paraID>54F33615</paraID>
      <start>16</start>
      <end>17</end>
      <status>unmodified</status>
      <modifiedWord/>
      <trackRevisions>false</trackRevisions>
    </reviewItem>
    <reviewItem>
      <errorID>9ff27e04-ccca-4e86-b727-21f456de0d9d</errorID>
      <errorWord>结构的完善</errorWord>
      <group>L1_Grammar</group>
      <groupName>语法问题</groupName>
      <ability>L2_Grammar</ability>
      <abilityName>语法错误</abilityName>
      <candidateList>
        <item>结构</item>
      </candidateList>
      <explain/>
      <paraID>54F33615</paraID>
      <start>19</start>
      <end>24</end>
      <status>unmodified</status>
      <modifiedWord/>
      <trackRevisions>false</trackRevisions>
    </reviewItem>
    <reviewItem>
      <errorID>3da7596b-68b5-4950-91cb-e75e297a0276</errorID>
      <errorWord>对于</errorWord>
      <group>L1_Word</group>
      <groupName>字词问题</groupName>
      <ability>L2_Typo</ability>
      <abilityName>字词错误</abilityName>
      <candidateList>
        <item>在</item>
      </candidateList>
      <explain/>
      <paraID>54F33615</paraID>
      <start>164</start>
      <end>166</end>
      <status>unmodified</status>
      <modifiedWord/>
      <trackRevisions>false</trackRevisions>
    </reviewItem>
    <reviewItem>
      <errorID>c4aeb262-7510-43af-a22c-1c21a06287c7</errorID>
      <errorWord>有效构成和</errorWord>
      <group>L1_Word</group>
      <groupName>字词问题</groupName>
      <ability>L2_Typo</ability>
      <abilityName>字词错误</abilityName>
      <candidateList>
        <item>形成和有效</item>
      </candidateList>
      <explain/>
      <paraID>27373883</paraID>
      <start>63</start>
      <end>68</end>
      <status>unmodified</status>
      <modifiedWord/>
      <trackRevisions>false</trackRevisions>
    </reviewItem>
    <reviewItem>
      <errorID>e7483a7c-53e7-4d79-92b9-f89649c6fd49</errorID>
      <errorWord>协调的要求</errorWord>
      <group>L1_Grammar</group>
      <groupName>语法问题</groupName>
      <ability>L2_Grammar</ability>
      <abilityName>语法错误</abilityName>
      <candidateList>
        <item>协调</item>
      </candidateList>
      <explain/>
      <paraID> C605498</paraID>
      <start>25</start>
      <end>30</end>
      <status>unmodified</status>
      <modifiedWord/>
      <trackRevisions>false</trackRevisions>
    </reviewItem>
    <reviewItem>
      <errorID>da01846a-dc9e-47dd-a153-9472b64718c3</errorID>
      <errorWord>以获得</errorWord>
      <group>L1_Grammar</group>
      <groupName>语法问题</groupName>
      <ability>L2_Grammar</ability>
      <abilityName>语法错误</abilityName>
      <candidateList>
        <item>以</item>
      </candidateList>
      <explain/>
      <paraID>7CC79807</paraID>
      <start>56</start>
      <end>59</end>
      <status>unmodified</status>
      <modifiedWord/>
      <trackRevisions>false</trackRevisions>
    </reviewItem>
    <reviewItem>
      <errorID>c13c3ee1-d666-47ce-ac99-ecec08cd847e</errorID>
      <errorWord>为海拔</errorWord>
      <group>L1_Grammar</group>
      <groupName>语法问题</groupName>
      <ability>L2_Grammar</ability>
      <abilityName>语法错误</abilityName>
      <candidateList>
        <item>为</item>
      </candidateList>
      <explain/>
      <paraID>74D1A1BA</paraID>
      <start>18</start>
      <end>19</end>
      <status>modified</status>
      <modifiedWord>为</modifiedWord>
      <trackRevisions>false</trackRevisions>
    </reviewItem>
    <reviewItem>
      <errorID>cbb1e554-64b9-4fc7-9495-b142b2494bda</errorID>
      <errorWord>为海拔</errorWord>
      <group>L1_Grammar</group>
      <groupName>语法问题</groupName>
      <ability>L2_Grammar</ability>
      <abilityName>语法错误</abilityName>
      <candidateList>
        <item>为</item>
      </candidateList>
      <explain/>
      <paraID>12C8BED6</paraID>
      <start>45</start>
      <end>48</end>
      <status>unmodified</status>
      <modifiedWord/>
      <trackRevisions>false</trackRevisions>
    </reviewItem>
    <reviewItem>
      <errorID>53f971f8-9bc1-4636-9b3a-c872826bfe74</errorID>
      <errorWord>为海拔</errorWord>
      <group>L1_Grammar</group>
      <groupName>语法问题</groupName>
      <ability>L2_Grammar</ability>
      <abilityName>语法错误</abilityName>
      <candidateList>
        <item>为</item>
      </candidateList>
      <explain/>
      <paraID>7582F321</paraID>
      <start>27</start>
      <end>28</end>
      <status>modified</status>
      <modifiedWord>为</modifiedWord>
      <trackRevisions>false</trackRevisions>
    </reviewItem>
    <reviewItem>
      <errorID>bfdbe951-5267-4e2c-b648-0994fb5d9aa6</errorID>
      <errorWord>方案路线</errorWord>
      <group>L1_Grammar</group>
      <groupName>语法问题</groupName>
      <ability>L2_Grammar</ability>
      <abilityName>语法错误</abilityName>
      <candidateList>
        <item>方案</item>
      </candidateList>
      <explain/>
      <paraID>14081212</paraID>
      <start>39</start>
      <end>41</end>
      <status>modified</status>
      <modifiedWord>方案</modifiedWord>
      <trackRevisions>false</trackRevisions>
    </reviewItem>
    <reviewItem>
      <errorID>f1ceca74-6849-4546-aaa9-a33e3e8c3258</errorID>
      <errorWord>落图查询</errorWord>
      <group>L1_Word</group>
      <groupName>字词问题</groupName>
      <ability>L2_Typo</ability>
      <abilityName>字词错误</abilityName>
      <candidateList>
        <item>查询落图</item>
      </candidateList>
      <explain/>
      <paraID>15ABB76A</paraID>
      <start>12</start>
      <end>16</end>
      <status>modified</status>
      <modifiedWord>查询落图</modifiedWord>
      <trackRevisions>false</trackRevisions>
    </reviewItem>
    <reviewItem>
      <errorID>035efd27-bf0c-4462-bb5b-5740464c114b</errorID>
      <errorWord>方案路线</errorWord>
      <group>L1_Grammar</group>
      <groupName>语法问题</groupName>
      <ability>L2_Grammar</ability>
      <abilityName>语法错误</abilityName>
      <candidateList>
        <item>方案</item>
      </candidateList>
      <explain/>
      <paraID>5CCC645E</paraID>
      <start>5</start>
      <end>7</end>
      <status>modified</status>
      <modifiedWord>方案</modifiedWord>
      <trackRevisions>false</trackRevisions>
    </reviewItem>
    <reviewItem>
      <errorID>9d443536-a36e-480e-8727-2a73a2320754</errorID>
      <errorWord>为</errorWord>
      <group>L1_Word</group>
      <groupName>字词问题</groupName>
      <ability>L2_Typo</ability>
      <abilityName>字词错误</abilityName>
      <candidateList>
        <item>由</item>
      </candidateList>
      <explain/>
      <paraID>  EFF0A0</paraID>
      <start>73</start>
      <end>74</end>
      <status>ignored</status>
      <modifiedWord/>
      <trackRevisions>false</trackRevisions>
    </reviewItem>
    <reviewItem>
      <errorID>9d1cb168-a5a4-4448-9431-2bb0e3745200</errorID>
      <errorWord>进口因为</errorWord>
      <group>L1_Grammar</group>
      <groupName>语法问题</groupName>
      <ability>L2_Grammar</ability>
      <abilityName>语法错误</abilityName>
      <candidateList>
        <item>进口</item>
      </candidateList>
      <explain/>
      <paraID>725AED55</paraID>
      <start>161</start>
      <end>163</end>
      <status>modified</status>
      <modifiedWord>进口</modifiedWord>
      <trackRevisions>false</trackRevisions>
    </reviewItem>
    <reviewItem>
      <errorID>f5bed429-bf6f-4a52-87a6-d66372368633</errorID>
      <errorWord>隧道</errorWord>
      <group>L1_Word</group>
      <groupName>字词问题</groupName>
      <ability>L2_Typo</ability>
      <abilityName>字词错误</abilityName>
      <candidateList>
        <item>对隧道</item>
      </candidateList>
      <explain/>
      <paraID>725AED55</paraID>
      <start>187</start>
      <end>190</end>
      <status>modified</status>
      <modifiedWord>对隧道</modifiedWord>
      <trackRevisions>false</trackRevisions>
    </reviewItem>
    <reviewItem>
      <errorID>a6e2eb43-4a46-4cfe-8bcd-bbe953594d75</errorID>
      <errorWord>比较</errorWord>
      <group>L1_Word</group>
      <groupName>字词问题</groupName>
      <ability>L2_Typo</ability>
      <abilityName>字词错误</abilityName>
      <candidateList>
        <item>量比较</item>
      </candidateList>
      <explain/>
      <paraID>592F8C77</paraID>
      <start>5</start>
      <end>8</end>
      <status>modified</status>
      <modifiedWord>量比较</modifiedWord>
      <trackRevisions>false</trackRevisions>
    </reviewItem>
    <reviewItem>
      <errorID>b597a59d-c74f-4c71-a5b9-f247d7d9487e</errorID>
      <errorWord>小</errorWord>
      <group>L1_Word</group>
      <groupName>字词问题</groupName>
      <ability>L2_Typo</ability>
      <abilityName>字词错误</abilityName>
      <candidateList>
        <item>少</item>
      </candidateList>
      <explain/>
      <paraID>592F8C77</paraID>
      <start>13</start>
      <end>14</end>
      <status>modified</status>
      <modifiedWord>少</modifiedWord>
      <trackRevisions>false</trackRevisions>
    </reviewItem>
    <reviewItem>
      <errorID>985498b0-3c4c-4aa4-a7b0-0168b2bc258a</errorID>
      <errorWord>最大</errorWord>
      <group>L1_Word</group>
      <groupName>字词问题</groupName>
      <ability>L2_Typo</ability>
      <abilityName>字词错误</abilityName>
      <candidateList>
        <item>最多</item>
      </candidateList>
      <explain/>
      <paraID>592F8C77</paraID>
      <start>18</start>
      <end>20</end>
      <status>modified</status>
      <modifiedWord>最多</modifiedWord>
      <trackRevisions>false</trackRevisions>
    </reviewItem>
    <reviewItem>
      <errorID>cd5423fc-e03f-4505-9bd6-ce75d4b9e26b</errorID>
      <errorWord>不考虑</errorWord>
      <group>L1_Word</group>
      <groupName>字词问题</groupName>
      <ability>L2_Typo</ability>
      <abilityName>字词错误</abilityName>
      <candidateList>
        <item>考虑，不</item>
      </candidateList>
      <explain/>
      <paraID>77390D19</paraID>
      <start>108</start>
      <end>111</end>
      <status>ignored</status>
      <modifiedWord/>
      <trackRevisions>false</trackRevisions>
    </reviewItem>
    <reviewItem>
      <errorID>efae4d62-caba-4f69-9ba7-3d8ac45a49d2</errorID>
      <errorWord>即工</errorWord>
      <group>L1_Word</group>
      <groupName>字词问题</groupName>
      <ability>L2_Typo</ability>
      <abilityName>字词错误</abilityName>
      <candidateList>
        <item>即</item>
      </candidateList>
      <explain>〈书〉❶就是：荷花～莲花｜非此～彼。❷〈副〉就；便：一触～发｜招之～来｜闻过～改。❸〈连〉即使：～无他方之支援，也能按期完成任务。参看733页“就2”。</explain>
      <paraID>7BA1F2B4</paraID>
      <start>205</start>
      <end>207</end>
      <status>ignored</status>
      <modifiedWord/>
      <trackRevisions>false</trackRevisions>
    </reviewItem>
    <reviewItem>
      <errorID>48a4f0e2-a82c-4e93-9163-ad62e2e6bd20</errorID>
      <errorWord>拌合站</errorWord>
      <group>L1_Word</group>
      <groupName>字词问题</groupName>
      <ability>L2_Typo</ability>
      <abilityName>字词错误</abilityName>
      <candidateList>
        <item>拌和站</item>
      </candidateList>
      <explain>存在发音相同字词的误用。</explain>
      <paraID>7FC4233C</paraID>
      <start>1</start>
      <end>4</end>
      <status>ignored</status>
      <modifiedWord/>
      <trackRevisions>false</trackRevisions>
    </reviewItem>
    <reviewItem>
      <errorID>98edf46e-cbc7-48d3-a650-b565d94e1747</errorID>
      <errorWord>新疆维吾尔自治区交通厅</errorWord>
      <group>L1_Knowledge</group>
      <groupName>知识性问题</groupName>
      <ability>L2_Organization</ability>
      <abilityName>机构检查</abilityName>
      <candidateList>
        <item>新疆维吾尔自治区交通运输厅</item>
      </candidateList>
      <explain>机关单位全简称表述错误</explain>
      <paraID>286338FE</paraID>
      <start>31</start>
      <end>42</end>
      <status>ignored</status>
      <modifiedWord/>
      <trackRevisions>false</trackRevisions>
    </reviewItem>
    <reviewItem>
      <errorID>628d45cc-9b47-48ec-9b50-589f9f0e3b6f</errorID>
      <errorWord>拌合站</errorWord>
      <group>L1_Word</group>
      <groupName>字词问题</groupName>
      <ability>L2_Typo</ability>
      <abilityName>字词错误</abilityName>
      <candidateList>
        <item>拌和站</item>
      </candidateList>
      <explain>存在发音相同字词的误用。</explain>
      <paraID>3313DD3E</paraID>
      <start>1</start>
      <end>4</end>
      <status>ignored</status>
      <modifiedWord/>
      <trackRevisions>false</trackRevisions>
    </reviewItem>
    <reviewItem>
      <errorID>e1a4a4c9-4ea9-4c66-ae7f-c877a61d341a</errorID>
      <errorWord>II类</errorWord>
      <group>L1_Word</group>
      <groupName>字词问题</groupName>
      <ability>L2_Typo</ability>
      <abilityName>字词错误</abilityName>
      <candidateList>
        <item>Ⅱ类</item>
      </candidateList>
      <explain/>
      <paraID>39ED841D</paraID>
      <start>61</start>
      <end>64</end>
      <status>ignored</status>
      <modifiedWord/>
      <trackRevisions>false</trackRevisions>
    </reviewItem>
    <reviewItem>
      <errorID>7c941f76-a6cb-4592-9f1b-6536b98f6f65</errorID>
      <errorWord>拌合站</errorWord>
      <group>L1_Word</group>
      <groupName>字词问题</groupName>
      <ability>L2_Typo</ability>
      <abilityName>字词错误</abilityName>
      <candidateList>
        <item>拌和站</item>
      </candidateList>
      <explain>存在发音相同字词的误用。</explain>
      <paraID> A19B876</paraID>
      <start>13</start>
      <end>16</end>
      <status>ignored</status>
      <modifiedWord/>
      <trackRevisions>false</trackRevisions>
    </reviewItem>
    <reviewItem>
      <errorID>cd9f31a1-2f02-495a-86d8-4e5d45fda39c</errorID>
      <errorWord>拌合站</errorWord>
      <group>L1_Word</group>
      <groupName>字词问题</groupName>
      <ability>L2_Typo</ability>
      <abilityName>字词错误</abilityName>
      <candidateList>
        <item>拌和站</item>
      </candidateList>
      <explain>存在发音相同字词的误用。</explain>
      <paraID>6E57DB0F</paraID>
      <start>32</start>
      <end>35</end>
      <status>ignored</status>
      <modifiedWord/>
      <trackRevisions>false</trackRevisions>
    </reviewItem>
    <reviewItem>
      <errorID>8e3a60af-a208-4710-ab72-4806887e717a</errorID>
      <errorWord>拌合站</errorWord>
      <group>L1_Word</group>
      <groupName>字词问题</groupName>
      <ability>L2_Typo</ability>
      <abilityName>字词错误</abilityName>
      <candidateList>
        <item>拌和站</item>
      </candidateList>
      <explain>存在发音相同字词的误用。</explain>
      <paraID>  8831DF</paraID>
      <start>31</start>
      <end>34</end>
      <status>ignored</status>
      <modifiedWord/>
      <trackRevisions>false</trackRevisions>
    </reviewItem>
    <reviewItem>
      <errorID>c8000f23-b9f4-4a9a-bad3-83b3664d434f</errorID>
      <errorWord>拌合站</errorWord>
      <group>L1_Word</group>
      <groupName>字词问题</groupName>
      <ability>L2_Typo</ability>
      <abilityName>字词错误</abilityName>
      <candidateList>
        <item>拌和站</item>
      </candidateList>
      <explain>存在发音相同字词的误用。</explain>
      <paraID>56C32F58</paraID>
      <start>37</start>
      <end>40</end>
      <status>ignored</status>
      <modifiedWord/>
      <trackRevisions>false</trackRevisions>
    </reviewItem>
    <reviewItem>
      <errorID>623612bb-d752-4f3a-8014-a94c36d8884a</errorID>
      <errorWord>拌合站</errorWord>
      <group>L1_Word</group>
      <groupName>字词问题</groupName>
      <ability>L2_Typo</ability>
      <abilityName>字词错误</abilityName>
      <candidateList>
        <item>拌和站</item>
      </candidateList>
      <explain>存在发音相同字词的误用。</explain>
      <paraID>4957327A</paraID>
      <start>31</start>
      <end>34</end>
      <status>ignored</status>
      <modifiedWord/>
      <trackRevisions>false</trackRevisions>
    </reviewItem>
    <reviewItem>
      <errorID>9e1be930-c79b-424b-8610-53478009696b</errorID>
      <errorWord>拌合站</errorWord>
      <group>L1_Word</group>
      <groupName>字词问题</groupName>
      <ability>L2_Typo</ability>
      <abilityName>字词错误</abilityName>
      <candidateList>
        <item>拌和站</item>
      </candidateList>
      <explain>存在发音相同字词的误用。</explain>
      <paraID>381D0348</paraID>
      <start>6</start>
      <end>9</end>
      <status>ignored</status>
      <modifiedWord/>
      <trackRevisions>false</trackRevisions>
    </reviewItem>
    <reviewItem>
      <errorID>1b13c58f-2066-432b-9e65-28b1825292a0</errorID>
      <errorWord>合</errorWord>
      <group>L1_Word</group>
      <groupName>字词问题</groupName>
      <ability>L2_Typo</ability>
      <abilityName>字词错误</abilityName>
      <candidateList>
        <item>和</item>
      </candidateList>
      <explain>存在发音相同字词的误用。</explain>
      <paraID>4083665B</paraID>
      <start>115</start>
      <end>116</end>
      <status>ignored</status>
      <modifiedWord/>
      <trackRevisions>false</trackRevisions>
    </reviewItem>
    <reviewItem>
      <errorID>b093892e-ffed-4eca-a5b3-924073594d97</errorID>
      <errorWord>拌合站</errorWord>
      <group>L1_Word</group>
      <groupName>字词问题</groupName>
      <ability>L2_Typo</ability>
      <abilityName>字词错误</abilityName>
      <candidateList>
        <item>拌和站</item>
      </candidateList>
      <explain>存在发音相同字词的误用。</explain>
      <paraID> FC1B41B</paraID>
      <start>4</start>
      <end>7</end>
      <status>ignored</status>
      <modifiedWord/>
      <trackRevisions>false</trackRevisions>
    </reviewItem>
    <reviewItem>
      <errorID>0f9eb226-840f-4499-9efd-86df5591b2f1</errorID>
      <errorWord>拌合站</errorWord>
      <group>L1_Word</group>
      <groupName>字词问题</groupName>
      <ability>L2_Typo</ability>
      <abilityName>字词错误</abilityName>
      <candidateList>
        <item>拌和站</item>
      </candidateList>
      <explain>存在发音相同字词的误用。</explain>
      <paraID>6EBE21AE</paraID>
      <start>3</start>
      <end>6</end>
      <status>ignored</status>
      <modifiedWord/>
      <trackRevisions>false</trackRevisions>
    </reviewItem>
    <reviewItem>
      <errorID>e8a8d97b-ae89-450e-92c9-c73444c6cfcc</errorID>
      <errorWord>拌合站</errorWord>
      <group>L1_Word</group>
      <groupName>字词问题</groupName>
      <ability>L2_Typo</ability>
      <abilityName>字词错误</abilityName>
      <candidateList>
        <item>拌和站</item>
      </candidateList>
      <explain>存在发音相同字词的误用。</explain>
      <paraID>315D8CCB</paraID>
      <start>0</start>
      <end>3</end>
      <status>ignored</status>
      <modifiedWord/>
      <trackRevisions>false</trackRevisions>
    </reviewItem>
    <reviewItem>
      <errorID>ecebb1d7-da3c-4853-9a1e-0f9c92eaf71d</errorID>
      <errorWord>程</errorWord>
      <group>L1_Word</group>
      <groupName>字词问题</groupName>
      <ability>L2_Typo</ability>
      <abilityName>字词错误</abilityName>
      <candidateList>
        <item>程中</item>
      </candidateList>
      <explain/>
      <paraID>315D8CCB</paraID>
      <start>50</start>
      <end>51</end>
      <status>ignored</status>
      <modifiedWord/>
      <trackRevisions>false</trackRevisions>
    </reviewItem>
    <reviewItem>
      <errorID>ed5e0298-df8d-4a35-a7d8-755aa8fc61b1</errorID>
      <errorWord>程</errorWord>
      <group>L1_Word</group>
      <groupName>字词问题</groupName>
      <ability>L2_Typo</ability>
      <abilityName>字词错误</abilityName>
      <candidateList>
        <item>程中</item>
      </candidateList>
      <explain/>
      <paraID>2A64449A</paraID>
      <start>3</start>
      <end>4</end>
      <status>ignored</status>
      <modifiedWord/>
      <trackRevisions>false</trackRevisions>
    </reviewItem>
    <reviewItem>
      <errorID>064a023f-c545-4b73-b24c-25fe73a7c021</errorID>
      <errorWord>拌合机</errorWord>
      <group>L1_Word</group>
      <groupName>字词问题</groupName>
      <ability>L2_Alias</ability>
      <abilityName>也作/曾用词</abilityName>
      <candidateList>
        <item>拌和机</item>
      </candidateList>
      <explain>词汇[拌合机]为不规范表述或旧称，其规范书面表述为[拌和机]。</explain>
      <paraID>6967EA2C</paraID>
      <start>0</start>
      <end>3</end>
      <status>ignored</status>
      <modifiedWord/>
      <trackRevisions>false</trackRevisions>
    </reviewItem>
    <reviewItem>
      <errorID>8599c73b-28f5-479f-86dc-a366fd0aac0b</errorID>
      <errorWord>拌合</errorWord>
      <group>L1_Word</group>
      <groupName>字词问题</groupName>
      <ability>L2_Typo</ability>
      <abilityName>字词错误</abilityName>
      <candidateList>
        <item>拌和</item>
      </candidateList>
      <explain>存在发音相同字词的误用。</explain>
      <paraID>71CB59F1</paraID>
      <start>58</start>
      <end>60</end>
      <status>ignored</status>
      <modifiedWord/>
      <trackRevisions>false</trackRevisions>
    </reviewItem>
    <reviewItem>
      <errorID>f55d512e-1875-40f1-9265-f0c992c6433e</errorID>
      <errorWord>拌合站</errorWord>
      <group>L1_Word</group>
      <groupName>字词问题</groupName>
      <ability>L2_Typo</ability>
      <abilityName>字词错误</abilityName>
      <candidateList>
        <item>拌和站</item>
      </candidateList>
      <explain>存在发音相同字词的误用。</explain>
      <paraID>4E870B84</paraID>
      <start>124</start>
      <end>127</end>
      <status>ignored</status>
      <modifiedWord/>
      <trackRevisions>false</trackRevisions>
    </reviewItem>
    <reviewItem>
      <errorID>fb2f9ef9-2fff-4dc4-af30-40d5350e390f</errorID>
      <errorWord>合</errorWord>
      <group>L1_Word</group>
      <groupName>字词问题</groupName>
      <ability>L2_Typo</ability>
      <abilityName>字词错误</abilityName>
      <candidateList>
        <item>和</item>
      </candidateList>
      <explain>存在发音相同字词的误用。</explain>
      <paraID>4B6951D7</paraID>
      <start>51</start>
      <end>52</end>
      <status>ignored</status>
      <modifiedWord/>
      <trackRevisions>false</trackRevisions>
    </reviewItem>
    <reviewItem>
      <errorID>ea4e7d41-b87b-4e3d-9b18-e60b18160008</errorID>
      <errorWord>拌合站</errorWord>
      <group>L1_Word</group>
      <groupName>字词问题</groupName>
      <ability>L2_Typo</ability>
      <abilityName>字词错误</abilityName>
      <candidateList>
        <item>拌和站</item>
      </candidateList>
      <explain/>
      <paraID>4490B8FE</paraID>
      <start>2</start>
      <end>5</end>
      <status>ignored</status>
      <modifiedWord/>
      <trackRevisions>false</trackRevisions>
    </reviewItem>
    <reviewItem>
      <errorID>d914cbc3-3fe4-4c2a-a804-efc6e40f30eb</errorID>
      <errorWord>拌合</errorWord>
      <group>L1_Word</group>
      <groupName>字词问题</groupName>
      <ability>L2_Typo</ability>
      <abilityName>字词错误</abilityName>
      <candidateList>
        <item>拌和</item>
      </candidateList>
      <explain/>
      <paraID>589C04DD</paraID>
      <start>16</start>
      <end>18</end>
      <status>ignored</status>
      <modifiedWord/>
      <trackRevisions>false</trackRevisions>
    </reviewItem>
    <reviewItem>
      <errorID>c7ca5cb2-fe62-4671-b34a-6c3556bfce57</errorID>
      <errorWord>拌合站</errorWord>
      <group>L1_Word</group>
      <groupName>字词问题</groupName>
      <ability>L2_Typo</ability>
      <abilityName>字词错误</abilityName>
      <candidateList>
        <item>拌和站</item>
      </candidateList>
      <explain>存在发音相同字词的误用。</explain>
      <paraID>38088090</paraID>
      <start>16</start>
      <end>19</end>
      <status>ignored</status>
      <modifiedWord/>
      <trackRevisions>false</trackRevisions>
    </reviewItem>
    <reviewItem>
      <errorID>c4ab3d1c-6138-46af-bb19-ec9469cd6107</errorID>
      <errorWord>拌合站</errorWord>
      <group>L1_Word</group>
      <groupName>字词问题</groupName>
      <ability>L2_Typo</ability>
      <abilityName>字词错误</abilityName>
      <candidateList>
        <item>拌和站</item>
      </candidateList>
      <explain>存在发音相同字词的误用。</explain>
      <paraID>38088090</paraID>
      <start>28</start>
      <end>31</end>
      <status>ignored</status>
      <modifiedWord/>
      <trackRevisions>false</trackRevisions>
    </reviewItem>
    <reviewItem>
      <errorID>6281aba5-3534-4a33-be30-31095dd964da</errorID>
      <errorWord>拌合站</errorWord>
      <group>L1_Word</group>
      <groupName>字词问题</groupName>
      <ability>L2_Typo</ability>
      <abilityName>字词错误</abilityName>
      <candidateList>
        <item>拌和站</item>
      </candidateList>
      <explain/>
      <paraID>52869645</paraID>
      <start>94</start>
      <end>97</end>
      <status>ignored</status>
      <modifiedWord/>
      <trackRevisions>false</trackRevisions>
    </reviewItem>
    <reviewItem>
      <errorID>5f81ed0b-3bfe-4007-8727-78c150b65458</errorID>
      <errorWord>拌合站</errorWord>
      <group>L1_Word</group>
      <groupName>字词问题</groupName>
      <ability>L2_Typo</ability>
      <abilityName>字词错误</abilityName>
      <candidateList>
        <item>拌和站</item>
      </candidateList>
      <explain>存在发音相同字词的误用。</explain>
      <paraID>52869645</paraID>
      <start>227</start>
      <end>230</end>
      <status>ignored</status>
      <modifiedWord/>
      <trackRevisions>false</trackRevisions>
    </reviewItem>
    <reviewItem>
      <errorID>e49d35cb-4d70-4dc9-9a9e-74bb1eb65958</errorID>
      <errorWord>拌合站</errorWord>
      <group>L1_Word</group>
      <groupName>字词问题</groupName>
      <ability>L2_Typo</ability>
      <abilityName>字词错误</abilityName>
      <candidateList>
        <item>拌和站</item>
      </candidateList>
      <explain>存在发音相同字词的误用。</explain>
      <paraID>7F10688D</paraID>
      <start>31</start>
      <end>34</end>
      <status>ignored</status>
      <modifiedWord/>
      <trackRevisions>false</trackRevisions>
    </reviewItem>
    <reviewItem>
      <errorID>e3534e1d-c1bd-41ec-946d-247e97fb57f0</errorID>
      <errorWord>产城结合</errorWord>
      <group>L1_Political</group>
      <groupName>政治性问题</groupName>
      <ability>L2_Keyword</ability>
      <abilityName>固定表述</abilityName>
      <candidateList>
        <item>产城融合</item>
      </candidateList>
      <explain>词汇“产城融合”在特定场景下为固定表述形式，请确认此处的“产城结合”是否存在不当。</explain>
      <paraID>57A894D4</paraID>
      <start>22</start>
      <end>26</end>
      <status>ignored</status>
      <modifiedWord/>
      <trackRevisions>false</trackRevisions>
    </reviewItem>
    <reviewItem>
      <errorID>a9f166d3-e573-498f-bd0b-4e51e3c24b73</errorID>
      <errorWord>产城结合</errorWord>
      <group>L1_Political</group>
      <groupName>政治性问题</groupName>
      <ability>L2_Keyword</ability>
      <abilityName>固定表述</abilityName>
      <candidateList>
        <item>产城融合</item>
      </candidateList>
      <explain>词汇“产城融合”在特定场景下为固定表述形式，请确认此处的“产城结合”是否存在不当。</explain>
      <paraID>4B0FC410</paraID>
      <start>21</start>
      <end>25</end>
      <status>ignored</status>
      <modifiedWord/>
      <trackRevisions>false</trackRevisions>
    </reviewItem>
    <reviewItem>
      <errorID>1fe62782-1998-41f4-99b8-1a717751c48c</errorID>
      <errorWord>拌合站</errorWord>
      <group>L1_Word</group>
      <groupName>字词问题</groupName>
      <ability>L2_Typo</ability>
      <abilityName>字词错误</abilityName>
      <candidateList>
        <item>拌和站</item>
      </candidateList>
      <explain>存在发音相同字词的误用。</explain>
      <paraID>793B0B17</paraID>
      <start>56</start>
      <end>59</end>
      <status>ignored</status>
      <modifiedWord/>
      <trackRevisions>false</trackRevisions>
    </reviewItem>
    <reviewItem>
      <errorID>5f5f0743-d7f7-4f20-bbda-ceaccbbc77a4</errorID>
      <errorWord>》</errorWord>
      <group>L1_Word</group>
      <groupName>字词问题</groupName>
      <ability>L2_Typo</ability>
      <abilityName>字词错误</abilityName>
      <candidateList>
        <item>》等</item>
      </candidateList>
      <explain/>
      <paraID>3A1DDD6F</paraID>
      <start>94</start>
      <end>95</end>
      <status>ignored</status>
      <modifiedWord/>
      <trackRevisions>false</trackRevisions>
    </reviewItem>
    <reviewItem>
      <errorID>e1e924a2-0db9-4122-abbc-85240607cb79</errorID>
      <errorWord>成分的砾石组成</errorWord>
      <group>L1_Grammar</group>
      <groupName>语法问题</groupName>
      <ability>L2_Grammar</ability>
      <abilityName>语法错误</abilityName>
      <candidateList>
        <item>的砾石组成</item>
      </candidateList>
      <explain/>
      <paraID>76DD2E12</paraID>
      <start>42</start>
      <end>49</end>
      <status>ignored</status>
      <modifiedWord/>
      <trackRevisions>false</trackRevisions>
    </reviewItem>
    <reviewItem>
      <errorID>cc622f2d-dcd7-47f8-af75-87dec212cf33</errorID>
      <errorWord>57．</errorWord>
      <group>L1_Format</group>
      <groupName>格式问题</groupName>
      <ability>L2_Ordinal</ability>
      <abilityName>序号格式</abilityName>
      <candidateList>
        <item>57.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3592F430</paraID>
      <start>0</start>
      <end>3</end>
      <status>ignored</status>
      <modifiedWord/>
      <trackRevisions>false</trackRevisions>
    </reviewItem>
    <reviewItem>
      <errorID>239e5928-3c6d-48e3-9268-62d4cd683af4</errorID>
      <errorWord>程</errorWord>
      <group>L1_Word</group>
      <groupName>字词问题</groupName>
      <ability>L2_Typo</ability>
      <abilityName>字词错误</abilityName>
      <candidateList>
        <item>程中</item>
      </candidateList>
      <explain/>
      <paraID>3C9A0085</paraID>
      <start>32</start>
      <end>33</end>
      <status>ignored</status>
      <modifiedWord/>
      <trackRevisions>false</trackRevisions>
    </reviewItem>
    <reviewItem>
      <errorID>1f266102-a0ec-4673-8165-90033cb49dec</errorID>
      <errorWord>拌合站</errorWord>
      <group>L1_Word</group>
      <groupName>字词问题</groupName>
      <ability>L2_Typo</ability>
      <abilityName>字词错误</abilityName>
      <candidateList>
        <item>拌和站</item>
      </candidateList>
      <explain>存在发音相同字词的误用。</explain>
      <paraID>4D505BBE</paraID>
      <start>24</start>
      <end>27</end>
      <status>ignored</status>
      <modifiedWord/>
      <trackRevisions>false</trackRevisions>
    </reviewItem>
    <reviewItem>
      <errorID>3c1703b3-0a29-4c12-b277-558765bde9d2</errorID>
      <errorWord>拌合站</errorWord>
      <group>L1_Word</group>
      <groupName>字词问题</groupName>
      <ability>L2_Typo</ability>
      <abilityName>字词错误</abilityName>
      <candidateList>
        <item>拌和站</item>
      </candidateList>
      <explain>存在发音相同字词的误用。</explain>
      <paraID>2800B159</paraID>
      <start>11</start>
      <end>14</end>
      <status>ignored</status>
      <modifiedWord/>
      <trackRevisions>false</trackRevisions>
    </reviewItem>
    <reviewItem>
      <errorID>cd676366-33c3-4388-a7a7-df2818540c88</errorID>
      <errorWord>拌合站</errorWord>
      <group>L1_Word</group>
      <groupName>字词问题</groupName>
      <ability>L2_Typo</ability>
      <abilityName>字词错误</abilityName>
      <candidateList>
        <item>拌和站</item>
      </candidateList>
      <explain>存在发音相同字词的误用。</explain>
      <paraID>4D11E62B</paraID>
      <start>38</start>
      <end>41</end>
      <status>ignored</status>
      <modifiedWord/>
      <trackRevisions>false</trackRevisions>
    </reviewItem>
    <reviewItem>
      <errorID>a0edcfbf-7da3-4f5d-8f68-7c94b2f0918c</errorID>
      <errorWord>II类</errorWord>
      <group>L1_Word</group>
      <groupName>字词问题</groupName>
      <ability>L2_Typo</ability>
      <abilityName>字词错误</abilityName>
      <candidateList>
        <item>Ⅱ类</item>
      </candidateList>
      <explain/>
      <paraID>4D11E62B</paraID>
      <start>49</start>
      <end>52</end>
      <status>ignored</status>
      <modifiedWord/>
      <trackRevisions>false</trackRevisions>
    </reviewItem>
    <reviewItem>
      <errorID>fa9bc60a-fdb4-41cc-b293-72d0d22ed1f9</errorID>
      <errorWord>拌合</errorWord>
      <group>L1_Word</group>
      <groupName>字词问题</groupName>
      <ability>L2_Typo</ability>
      <abilityName>字词错误</abilityName>
      <candidateList>
        <item>拌和</item>
      </candidateList>
      <explain/>
      <paraID>50473858</paraID>
      <start>16</start>
      <end>18</end>
      <status>ignored</status>
      <modifiedWord/>
      <trackRevisions>false</trackRevisions>
    </reviewItem>
    <reviewItem>
      <errorID>8520ea37-98fb-43de-8be7-8dc1032d3dca</errorID>
      <errorWord>拌合</errorWord>
      <group>L1_Word</group>
      <groupName>字词问题</groupName>
      <ability>L2_Typo</ability>
      <abilityName>字词错误</abilityName>
      <candidateList>
        <item>拌和</item>
      </candidateList>
      <explain/>
      <paraID>50473858</paraID>
      <start>52</start>
      <end>54</end>
      <status>ignored</status>
      <modifiedWord/>
      <trackRevisions>false</trackRevisions>
    </reviewItem>
    <reviewItem>
      <errorID>74e7811a-8889-48be-9e79-d03770f52772</errorID>
      <errorWord>拌合站</errorWord>
      <group>L1_Word</group>
      <groupName>字词问题</groupName>
      <ability>L2_Typo</ability>
      <abilityName>字词错误</abilityName>
      <candidateList>
        <item>拌和站</item>
      </candidateList>
      <explain>存在发音相同字词的误用。</explain>
      <paraID>50473858</paraID>
      <start>94</start>
      <end>97</end>
      <status>ignored</status>
      <modifiedWord/>
      <trackRevisions>false</trackRevisions>
    </reviewItem>
    <reviewItem>
      <errorID>3e79c56e-2c7a-4037-a516-a4d207003f8c</errorID>
      <errorWord>拌合站</errorWord>
      <group>L1_Word</group>
      <groupName>字词问题</groupName>
      <ability>L2_Typo</ability>
      <abilityName>字词错误</abilityName>
      <candidateList>
        <item>拌和站</item>
      </candidateList>
      <explain>存在发音相同字词的误用。</explain>
      <paraID>50473858</paraID>
      <start>167</start>
      <end>170</end>
      <status>ignored</status>
      <modifiedWord/>
      <trackRevisions>false</trackRevisions>
    </reviewItem>
    <reviewItem>
      <errorID>031142f3-4a71-4a7d-bfde-555ec4ec57e4</errorID>
      <errorWord>拌合站</errorWord>
      <group>L1_Word</group>
      <groupName>字词问题</groupName>
      <ability>L2_Typo</ability>
      <abilityName>字词错误</abilityName>
      <candidateList>
        <item>拌和站</item>
      </candidateList>
      <explain/>
      <paraID>50473858</paraID>
      <start>206</start>
      <end>209</end>
      <status>ignored</status>
      <modifiedWord/>
      <trackRevisions>false</trackRevisions>
    </reviewItem>
    <reviewItem>
      <errorID>a21b1161-88e5-48d2-b530-899dbe17052c</errorID>
      <errorWord>拌合站</errorWord>
      <group>L1_Word</group>
      <groupName>字词问题</groupName>
      <ability>L2_Typo</ability>
      <abilityName>字词错误</abilityName>
      <candidateList>
        <item>拌和站</item>
      </candidateList>
      <explain>存在发音相同字词的误用。</explain>
      <paraID>4438683E</paraID>
      <start>16</start>
      <end>19</end>
      <status>ignored</status>
      <modifiedWord/>
      <trackRevisions>false</trackRevisions>
    </reviewItem>
    <reviewItem>
      <errorID>18b5987d-a1de-4f0e-9570-0a80e57ee10b</errorID>
      <errorWord>拌合站</errorWord>
      <group>L1_Word</group>
      <groupName>字词问题</groupName>
      <ability>L2_Typo</ability>
      <abilityName>字词错误</abilityName>
      <candidateList>
        <item>拌和站</item>
      </candidateList>
      <explain>存在发音相同字词的误用。</explain>
      <paraID>4438683E</paraID>
      <start>29</start>
      <end>32</end>
      <status>ignored</status>
      <modifiedWord/>
      <trackRevisions>false</trackRevisions>
    </reviewItem>
    <reviewItem>
      <errorID>4e5e8d7c-02ae-4450-9229-f5f170f7daab</errorID>
      <errorWord>拌合站</errorWord>
      <group>L1_Word</group>
      <groupName>字词问题</groupName>
      <ability>L2_Typo</ability>
      <abilityName>字词错误</abilityName>
      <candidateList>
        <item>拌和站</item>
      </candidateList>
      <explain>存在发音相同字词的误用。</explain>
      <paraID>4438683E</paraID>
      <start>164</start>
      <end>167</end>
      <status>ignored</status>
      <modifiedWord/>
      <trackRevisions>false</trackRevisions>
    </reviewItem>
    <reviewItem>
      <errorID>e9fc5ad2-5226-41a7-a3fd-ff04870fea70</errorID>
      <errorWord>拌合站</errorWord>
      <group>L1_Word</group>
      <groupName>字词问题</groupName>
      <ability>L2_Typo</ability>
      <abilityName>字词错误</abilityName>
      <candidateList>
        <item>拌和站</item>
      </candidateList>
      <explain>存在发音相同字词的误用。</explain>
      <paraID>371FD756</paraID>
      <start>31</start>
      <end>34</end>
      <status>ignored</status>
      <modifiedWord/>
      <trackRevisions>false</trackRevisions>
    </reviewItem>
    <reviewItem>
      <errorID>d8c7862d-2893-4881-a9d2-6f705780ab33</errorID>
      <errorWord>合</errorWord>
      <group>L1_Word</group>
      <groupName>字词问题</groupName>
      <ability>L2_Typo</ability>
      <abilityName>字词错误</abilityName>
      <candidateList>
        <item>和</item>
      </candidateList>
      <explain>存在发音相同字词的误用。</explain>
      <paraID>275CF125</paraID>
      <start>5</start>
      <end>6</end>
      <status>ignored</status>
      <modifiedWord/>
      <trackRevisions>false</trackRevisions>
    </reviewItem>
    <reviewItem>
      <errorID>ebc77165-d2fc-468a-b51b-2abd640c08aa</errorID>
      <errorWord>拌合站</errorWord>
      <group>L1_Word</group>
      <groupName>字词问题</groupName>
      <ability>L2_Typo</ability>
      <abilityName>字词错误</abilityName>
      <candidateList>
        <item>拌和站</item>
      </candidateList>
      <explain>存在发音相同字词的误用。</explain>
      <paraID>7F668DB3</paraID>
      <start>41</start>
      <end>44</end>
      <status>ignored</status>
      <modifiedWord/>
      <trackRevisions>false</trackRevisions>
    </reviewItem>
    <reviewItem>
      <errorID>eba5c40d-0b73-49eb-a710-d49101cda6a1</errorID>
      <errorWord>项</errorWord>
      <group>L1_Word</group>
      <groupName>字词问题</groupName>
      <ability>L2_Typo</ability>
      <abilityName>字词错误</abilityName>
      <candidateList>
        <item>项目</item>
      </candidateList>
      <explain>〈名〉事物分成的门类：服务～｜体育～｜建设～。</explain>
      <paraID>4D23E15A</paraID>
      <start>13</start>
      <end>14</end>
      <status>ignored</status>
      <modifiedWord/>
      <trackRevisions>false</trackRevisions>
    </reviewItem>
    <reviewItem>
      <errorID>97665b80-f9bd-4134-9e20-0979ca7062a8</errorID>
      <errorWord>拌合站</errorWord>
      <group>L1_Word</group>
      <groupName>字词问题</groupName>
      <ability>L2_Typo</ability>
      <abilityName>字词错误</abilityName>
      <candidateList>
        <item>拌和站</item>
      </candidateList>
      <explain>存在发音相同字词的误用。</explain>
      <paraID>291BE4F2</paraID>
      <start>6</start>
      <end>9</end>
      <status>ignored</status>
      <modifiedWord/>
      <trackRevisions>false</trackRevisions>
    </reviewItem>
    <reviewItem>
      <errorID>34f1aef1-2ba2-4300-8221-4e7adbf179c2</errorID>
      <errorWord>程</errorWord>
      <group>L1_Word</group>
      <groupName>字词问题</groupName>
      <ability>L2_Typo</ability>
      <abilityName>字词错误</abilityName>
      <candidateList>
        <item>程中</item>
      </candidateList>
      <explain/>
      <paraID> 5A829D9</paraID>
      <start>63</start>
      <end>64</end>
      <status>ignored</status>
      <modifiedWord/>
      <trackRevisions>false</trackRevisions>
    </reviewItem>
    <reviewItem>
      <errorID>09c02749-008b-4070-8259-7eda495eb572</errorID>
      <errorWord>程</errorWord>
      <group>L1_Word</group>
      <groupName>字词问题</groupName>
      <ability>L2_Typo</ability>
      <abilityName>字词错误</abilityName>
      <candidateList>
        <item>程中</item>
      </candidateList>
      <explain/>
      <paraID>6F5DA8A6</paraID>
      <start>44</start>
      <end>45</end>
      <status>ignored</status>
      <modifiedWord/>
      <trackRevisions>false</trackRevisions>
    </reviewItem>
    <reviewItem>
      <errorID>fdff3e11-c1f2-4378-b712-293f86aace4c</errorID>
      <errorWord>物质的</errorWord>
      <group>L1_Word</group>
      <groupName>字词问题</groupName>
      <ability>L2_Typo</ability>
      <abilityName>字词错误</abilityName>
      <candidateList>
        <item>物质</item>
      </candidateList>
      <explain/>
      <paraID> 9788548</paraID>
      <start>163</start>
      <end>166</end>
      <status>ignored</status>
      <modifiedWord/>
      <trackRevisions>false</trackRevisions>
    </reviewItem>
    <reviewItem>
      <errorID>e3e6cec3-8a15-48fb-af86-c315d4e3df62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6063E07</paraID>
      <start>0</start>
      <end>2</end>
      <status>ignored</status>
      <modifiedWord/>
      <trackRevisions>false</trackRevisions>
    </reviewItem>
    <reviewItem>
      <errorID>cbcc0a63-fa12-4a1d-86bb-d73d2efaed04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794AE14A</paraID>
      <start>0</start>
      <end>2</end>
      <status>ignored</status>
      <modifiedWord/>
      <trackRevisions>false</trackRevisions>
    </reviewItem>
    <reviewItem>
      <errorID>14f09422-6493-4f3a-b11e-0fc925a10538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5AE036FF</paraID>
      <start>0</start>
      <end>2</end>
      <status>ignored</status>
      <modifiedWord/>
      <trackRevisions>false</trackRevisions>
    </reviewItem>
    <reviewItem>
      <errorID>74393dae-37a5-439c-b72b-227de32d766a</errorID>
      <errorWord>拌合站</errorWord>
      <group>L1_Word</group>
      <groupName>字词问题</groupName>
      <ability>L2_Typo</ability>
      <abilityName>字词错误</abilityName>
      <candidateList>
        <item>拌和站</item>
      </candidateList>
      <explain>存在发音相同字词的误用。</explain>
      <paraID>336AD13C</paraID>
      <start>16</start>
      <end>19</end>
      <status>ignored</status>
      <modifiedWord/>
      <trackRevisions>false</trackRevisions>
    </reviewItem>
    <reviewItem>
      <errorID>da394fbe-8382-44cd-a32d-559dbcf05265</errorID>
      <errorWord>回覆</errorWord>
      <group>L1_Word</group>
      <groupName>字词问题</groupName>
      <ability>L2_Fanti</ability>
      <abilityName>繁转简</abilityName>
      <candidateList>
        <item>回复</item>
      </candidateList>
      <explain/>
      <paraID>6C090D7D</paraID>
      <start>60</start>
      <end>62</end>
      <status>ignored</status>
      <modifiedWord/>
      <trackRevisions>false</trackRevisions>
    </reviewItem>
    <reviewItem>
      <errorID>b23804fe-62ea-4412-87bf-e538d89d2d7d</errorID>
      <errorWord>拌合站</errorWord>
      <group>L1_Word</group>
      <groupName>字词问题</groupName>
      <ability>L2_Typo</ability>
      <abilityName>字词错误</abilityName>
      <candidateList>
        <item>拌和站</item>
      </candidateList>
      <explain>存在发音相同字词的误用。</explain>
      <paraID>25F1891C</paraID>
      <start>58</start>
      <end>61</end>
      <status>ignored</status>
      <modifiedWord/>
      <trackRevisions>false</trackRevisions>
    </reviewItem>
    <reviewItem>
      <errorID>08f8c0eb-c4fb-4ca8-9cb5-d181becad616</errorID>
      <errorWord>拌合站</errorWord>
      <group>L1_Word</group>
      <groupName>字词问题</groupName>
      <ability>L2_Typo</ability>
      <abilityName>字词错误</abilityName>
      <candidateList>
        <item>拌和站</item>
      </candidateList>
      <explain>存在发音相同字词的误用。</explain>
      <paraID>6D3D175E</paraID>
      <start>20</start>
      <end>23</end>
      <status>ignored</status>
      <modifiedWord/>
      <trackRevisions>false</trackRevisions>
    </reviewItem>
    <reviewItem>
      <errorID>0585430d-21a6-441f-8590-d83c51f8d596</errorID>
      <errorWord>拌合站</errorWord>
      <group>L1_Word</group>
      <groupName>字词问题</groupName>
      <ability>L2_Typo</ability>
      <abilityName>字词错误</abilityName>
      <candidateList>
        <item>拌和站</item>
      </candidateList>
      <explain/>
      <paraID>5B1D97DC</paraID>
      <start>1</start>
      <end>4</end>
      <status>ignored</status>
      <modifiedWord/>
      <trackRevisions>false</trackRevisions>
    </reviewItem>
    <reviewItem>
      <errorID>998ae9fe-818f-4f5f-ac5c-dd17745f420d</errorID>
      <errorWord>拌合站</errorWord>
      <group>L1_Word</group>
      <groupName>字词问题</groupName>
      <ability>L2_Typo</ability>
      <abilityName>字词错误</abilityName>
      <candidateList>
        <item>拌和站</item>
      </candidateList>
      <explain>存在发音相同字词的误用。</explain>
      <paraID>71DE164A</paraID>
      <start>3</start>
      <end>6</end>
      <status>ignored</status>
      <modifiedWord/>
      <trackRevisions>false</trackRevisions>
    </reviewItem>
    <reviewItem>
      <errorID>cad310ec-07e0-49e2-888d-c44058fde3fa</errorID>
      <errorWord>拌合站</errorWord>
      <group>L1_Word</group>
      <groupName>字词问题</groupName>
      <ability>L2_Typo</ability>
      <abilityName>字词错误</abilityName>
      <candidateList>
        <item>拌和站</item>
      </candidateList>
      <explain>存在发音相同字词的误用。</explain>
      <paraID>29CF6A0D</paraID>
      <start>1</start>
      <end>4</end>
      <status>ignored</status>
      <modifiedWord/>
      <trackRevisions>false</trackRevisions>
    </reviewItem>
    <reviewItem>
      <errorID>ec6152f2-f552-4ba0-b32d-18d8d77ebe84</errorID>
      <errorWord>拌合站</errorWord>
      <group>L1_Word</group>
      <groupName>字词问题</groupName>
      <ability>L2_Typo</ability>
      <abilityName>字词错误</abilityName>
      <candidateList>
        <item>拌和站</item>
      </candidateList>
      <explain>存在发音相同字词的误用。</explain>
      <paraID>3BBC2E45</paraID>
      <start>24</start>
      <end>27</end>
      <status>ignored</status>
      <modifiedWord/>
      <trackRevisions>false</trackRevisions>
    </reviewItem>
    <reviewItem>
      <errorID>2efa33d6-feaf-48db-aa03-b9fc2903e8b0</errorID>
      <errorWord>拌合站</errorWord>
      <group>L1_Word</group>
      <groupName>字词问题</groupName>
      <ability>L2_Typo</ability>
      <abilityName>字词错误</abilityName>
      <candidateList>
        <item>拌和站</item>
      </candidateList>
      <explain>存在发音相同字词的误用。</explain>
      <paraID>5A84737E</paraID>
      <start>1</start>
      <end>4</end>
      <status>ignored</status>
      <modifiedWord/>
      <trackRevisions>false</trackRevisions>
    </reviewItem>
    <reviewItem>
      <errorID>a64257d8-bfde-48cb-8e38-bf7059ef69d2</errorID>
      <errorWord>拌合站</errorWord>
      <group>L1_Word</group>
      <groupName>字词问题</groupName>
      <ability>L2_Typo</ability>
      <abilityName>字词错误</abilityName>
      <candidateList>
        <item>拌和站</item>
      </candidateList>
      <explain>存在发音相同字词的误用。</explain>
      <paraID>5A84737E</paraID>
      <start>53</start>
      <end>56</end>
      <status>ignored</status>
      <modifiedWord/>
      <trackRevisions>false</trackRevisions>
    </reviewItem>
    <reviewItem>
      <errorID>bf997581-3c4d-4ded-a721-25c2cde1587d</errorID>
      <errorWord>拌合站</errorWord>
      <group>L1_Word</group>
      <groupName>字词问题</groupName>
      <ability>L2_Typo</ability>
      <abilityName>字词错误</abilityName>
      <candidateList>
        <item>拌和站</item>
      </candidateList>
      <explain>存在发音相同字词的误用。</explain>
      <paraID>7FDFBA3A</paraID>
      <start>1</start>
      <end>4</end>
      <status>ignored</status>
      <modifiedWord/>
      <trackRevisions>false</trackRevisions>
    </reviewItem>
    <reviewItem>
      <errorID>95d1a053-e422-42aa-93a4-f53a23ee8407</errorID>
      <errorWord>拌合站</errorWord>
      <group>L1_Word</group>
      <groupName>字词问题</groupName>
      <ability>L2_Typo</ability>
      <abilityName>字词错误</abilityName>
      <candidateList>
        <item>拌和站</item>
      </candidateList>
      <explain>存在发音相同字词的误用。</explain>
      <paraID>682C9643</paraID>
      <start>18</start>
      <end>21</end>
      <status>ignored</status>
      <modifiedWord/>
      <trackRevisions>false</trackRevisions>
    </reviewItem>
    <reviewItem>
      <errorID>8f2e33af-b448-4506-9f05-4cb437c3e5ea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45C278D3</paraID>
      <start>0</start>
      <end>2</end>
      <status>ignored</status>
      <modifiedWord/>
      <trackRevisions>false</trackRevisions>
    </reviewItem>
    <reviewItem>
      <errorID>e0ae72c7-ee36-4068-b002-715357f4e9b2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67072AD</paraID>
      <start>0</start>
      <end>2</end>
      <status>ignored</status>
      <modifiedWord/>
      <trackRevisions>false</trackRevisions>
    </reviewItem>
    <reviewItem>
      <errorID>89313b50-d1fc-4302-abf4-c4ac6c820714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6658DB2C</paraID>
      <start>0</start>
      <end>2</end>
      <status>ignored</status>
      <modifiedWord/>
      <trackRevisions>false</trackRevisions>
    </reviewItem>
    <reviewItem>
      <errorID>690c08d5-b0f3-4f86-8d2c-d9195eece14b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6B7AF083</paraID>
      <start>0</start>
      <end>2</end>
      <status>ignored</status>
      <modifiedWord/>
      <trackRevisions>false</trackRevisions>
    </reviewItem>
    <reviewItem>
      <errorID>65704c50-ecb1-4289-a061-15db17489fbb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D87E65B</paraID>
      <start>0</start>
      <end>2</end>
      <status>ignored</status>
      <modifiedWord/>
      <trackRevisions>false</trackRevisions>
    </reviewItem>
    <reviewItem>
      <errorID>1b6aa522-b095-4460-bfbd-c23b1d061b6e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43D3BA24</paraID>
      <start>0</start>
      <end>2</end>
      <status>ignored</status>
      <modifiedWord/>
      <trackRevisions>false</trackRevisions>
    </reviewItem>
    <reviewItem>
      <errorID>a28257eb-0980-446d-80a7-0c901621235a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193ABA35</paraID>
      <start>0</start>
      <end>2</end>
      <status>ignored</status>
      <modifiedWord/>
      <trackRevisions>false</trackRevisions>
    </reviewItem>
    <reviewItem>
      <errorID>aa4794fd-fcbc-43ab-b376-6e70b93dcb52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5E426460</paraID>
      <start>0</start>
      <end>2</end>
      <status>ignored</status>
      <modifiedWord/>
      <trackRevisions>false</trackRevisions>
    </reviewItem>
    <reviewItem>
      <errorID>cc897435-70b3-493d-8efa-83f969b1dda1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66A5AE05</paraID>
      <start>0</start>
      <end>2</end>
      <status>ignored</status>
      <modifiedWord/>
      <trackRevisions>false</trackRevisions>
    </reviewItem>
    <reviewItem>
      <errorID>750c279c-c1a6-4e58-8f3f-f6073611874e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24DE4173</paraID>
      <start>0</start>
      <end>2</end>
      <status>ignored</status>
      <modifiedWord/>
      <trackRevisions>false</trackRevisions>
    </reviewItem>
    <reviewItem>
      <errorID>5edca0b6-cd72-4753-891e-b60511088e5f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7CEE207D</paraID>
      <start>0</start>
      <end>2</end>
      <status>ignored</status>
      <modifiedWord/>
      <trackRevisions>false</trackRevisions>
    </reviewItem>
    <reviewItem>
      <errorID>3a9ca7c4-905d-4db1-9bd2-aef26c448aaf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4832BD07</paraID>
      <start>0</start>
      <end>2</end>
      <status>ignored</status>
      <modifiedWord/>
      <trackRevisions>false</trackRevisions>
    </reviewItem>
    <reviewItem>
      <errorID>24692ff0-9d64-4d82-8c56-56a0f49c240c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13FF3103</paraID>
      <start>0</start>
      <end>2</end>
      <status>ignored</status>
      <modifiedWord/>
      <trackRevisions>false</trackRevisions>
    </reviewItem>
    <reviewItem>
      <errorID>78ea92ea-e2c8-4fbc-a468-3f0f676da6c0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28377A40</paraID>
      <start>0</start>
      <end>2</end>
      <status>ignored</status>
      <modifiedWord/>
      <trackRevisions>false</trackRevisions>
    </reviewItem>
    <reviewItem>
      <errorID>2bfb5447-210b-4070-a9cc-0028623e0150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6970E553</paraID>
      <start>0</start>
      <end>2</end>
      <status>ignored</status>
      <modifiedWord/>
      <trackRevisions>false</trackRevisions>
    </reviewItem>
    <reviewItem>
      <errorID>a25f075f-c1e7-4b0c-abec-e83b45356388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57F6B3C5</paraID>
      <start>0</start>
      <end>2</end>
      <status>ignored</status>
      <modifiedWord/>
      <trackRevisions>false</trackRevisions>
    </reviewItem>
    <reviewItem>
      <errorID>f7e765f1-3313-4484-a4bb-238ca877fc7f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1F234B92</paraID>
      <start>0</start>
      <end>2</end>
      <status>ignored</status>
      <modifiedWord/>
      <trackRevisions>false</trackRevisions>
    </reviewItem>
    <reviewItem>
      <errorID>2d967199-ee07-4fd3-a429-3a7e5a3cb79c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86D4F86</paraID>
      <start>0</start>
      <end>2</end>
      <status>ignored</status>
      <modifiedWord/>
      <trackRevisions>false</trackRevisions>
    </reviewItem>
    <reviewItem>
      <errorID>d41715d8-5cb6-45ec-af93-4a15e6674a97</errorID>
      <errorWord>实施过程控制</errorWord>
      <group>L1_Knowledge</group>
      <groupName>知识性问题</groupName>
      <ability>L2_Term</ability>
      <abilityName>专业术语</abilityName>
      <candidateList>
        <item>实时过程控制</item>
      </candidateList>
      <explain/>
      <paraID>7AB638C6</paraID>
      <start>62</start>
      <end>68</end>
      <status>ignored</status>
      <modifiedWord/>
      <trackRevisions>false</trackRevisions>
    </reviewItem>
    <reviewItem>
      <errorID>45e2523f-06c6-40d9-bdb3-e826eb7ed966</errorID>
      <errorWord>应急中</errorWord>
      <group>L1_Word</group>
      <groupName>字词问题</groupName>
      <ability>L2_Typo</ability>
      <abilityName>字词错误</abilityName>
      <candidateList>
        <item>应急</item>
      </candidateList>
      <explain/>
      <paraID>65922060</paraID>
      <start>73</start>
      <end>76</end>
      <status>ignored</status>
      <modifiedWord/>
      <trackRevisions>false</trackRevisions>
    </reviewItem>
    <reviewItem>
      <errorID>65a2eb8d-83de-4ca5-b729-4ebd149cc73b</errorID>
      <errorWord>在空档时</errorWord>
      <group>L1_Word</group>
      <groupName>字词问题</groupName>
      <ability>L2_Typo</ability>
      <abilityName>字词错误</abilityName>
      <candidateList>
        <item>在空挡时</item>
      </candidateList>
      <explain/>
      <paraID>554CF57B</paraID>
      <start>35</start>
      <end>39</end>
      <status>ignored</status>
      <modifiedWord/>
      <trackRevisions>false</trackRevisions>
    </reviewItem>
    <reviewItem>
      <errorID>a1f545d6-0636-4e26-9b42-8a665394598e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3DB68493</paraID>
      <start>0</start>
      <end>2</end>
      <status>ignored</status>
      <modifiedWord/>
      <trackRevisions>false</trackRevisions>
    </reviewItem>
    <reviewItem>
      <errorID>bbd191cf-0b59-4f43-8f05-835f0843d8c4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357E238E</paraID>
      <start>0</start>
      <end>2</end>
      <status>ignored</status>
      <modifiedWord/>
      <trackRevisions>false</trackRevisions>
    </reviewItem>
    <reviewItem>
      <errorID>85e4edf8-d71b-4824-8d3b-e8cafa3accf8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4FECCD45</paraID>
      <start>0</start>
      <end>2</end>
      <status>ignored</status>
      <modifiedWord/>
      <trackRevisions>false</trackRevisions>
    </reviewItem>
    <reviewItem>
      <errorID>a53d5aac-0789-4682-9ad4-41bdeafb4ec8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56EB173E</paraID>
      <start>0</start>
      <end>2</end>
      <status>ignored</status>
      <modifiedWord/>
      <trackRevisions>false</trackRevisions>
    </reviewItem>
    <reviewItem>
      <errorID>c5e90552-3245-4af4-8d50-6f086fa8a57e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755FBDFD</paraID>
      <start>0</start>
      <end>2</end>
      <status>ignored</status>
      <modifiedWord/>
      <trackRevisions>false</trackRevisions>
    </reviewItem>
    <reviewItem>
      <errorID>87aa31d0-f31c-4f66-b8b4-e8fcdaca1977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25D25900</paraID>
      <start>0</start>
      <end>2</end>
      <status>ignored</status>
      <modifiedWord/>
      <trackRevisions>false</trackRevisions>
    </reviewItem>
    <reviewItem>
      <errorID>d77f1987-e9a0-4d50-baa8-29b9125570cb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5D80E12</paraID>
      <start>0</start>
      <end>2</end>
      <status>ignored</status>
      <modifiedWord/>
      <trackRevisions>false</trackRevisions>
    </reviewItem>
    <reviewItem>
      <errorID>ee2d50d0-8a21-4f1b-a7d4-0dacebb28298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46AAAF1B</paraID>
      <start>0</start>
      <end>2</end>
      <status>ignored</status>
      <modifiedWord/>
      <trackRevisions>false</trackRevisions>
    </reviewItem>
    <reviewItem>
      <errorID>d763f9b3-cd55-415e-9608-8fe500952400</errorID>
      <errorWord>拌合站</errorWord>
      <group>L1_Word</group>
      <groupName>字词问题</groupName>
      <ability>L2_Typo</ability>
      <abilityName>字词错误</abilityName>
      <candidateList>
        <item>拌和站</item>
      </candidateList>
      <explain>存在发音相同字词的误用。</explain>
      <paraID>311A0942</paraID>
      <start>46</start>
      <end>49</end>
      <status>ignored</status>
      <modifiedWord/>
      <trackRevisions>false</trackRevisions>
    </reviewItem>
    <reviewItem>
      <errorID>7e061f2f-4de1-47de-af6a-4a9c9a192142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1E6D932F</paraID>
      <start>0</start>
      <end>2</end>
      <status>ignored</status>
      <modifiedWord/>
      <trackRevisions>false</trackRevisions>
    </reviewItem>
    <reviewItem>
      <errorID>d8d51508-5555-4824-95dc-3f8da3ebd747</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76B519BB</paraID>
      <start>0</start>
      <end>2</end>
      <status>ignored</status>
      <modifiedWord/>
      <trackRevisions>false</trackRevisions>
    </reviewItem>
    <reviewItem>
      <errorID>3a28ced0-5179-440c-a13f-efd042e12aa4</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67E5AE37</paraID>
      <start>0</start>
      <end>2</end>
      <status>ignored</status>
      <modifiedWord/>
      <trackRevisions>false</trackRevisions>
    </reviewItem>
    <reviewItem>
      <errorID>7435e53b-9a47-4db9-9bc4-7833771eed3c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7ADCD32</paraID>
      <start>0</start>
      <end>2</end>
      <status>ignored</status>
      <modifiedWord/>
      <trackRevisions>false</trackRevisions>
    </reviewItem>
    <reviewItem>
      <errorID>13c44bf1-a335-42b4-bc86-1315235b9656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5E49D3B3</paraID>
      <start>0</start>
      <end>2</end>
      <status>ignored</status>
      <modifiedWord/>
      <trackRevisions>false</trackRevisions>
    </reviewItem>
    <reviewItem>
      <errorID>8928af8c-423c-43e4-8209-9f1c223c178f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5EEF1D98</paraID>
      <start>0</start>
      <end>2</end>
      <status>ignored</status>
      <modifiedWord/>
      <trackRevisions>false</trackRevisions>
    </reviewItem>
    <reviewItem>
      <errorID>edefb204-c107-4c02-ac47-da505d4ff14b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32D20577</paraID>
      <start>0</start>
      <end>2</end>
      <status>ignored</status>
      <modifiedWord/>
      <trackRevisions>false</trackRevisions>
    </reviewItem>
    <reviewItem>
      <errorID>274e803d-46b7-4d70-87ef-4da3ad6915b3</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6057A60</paraID>
      <start>0</start>
      <end>2</end>
      <status>ignored</status>
      <modifiedWord/>
      <trackRevisions>false</trackRevisions>
    </reviewItem>
    <reviewItem>
      <errorID>4e7e7100-daeb-440e-b4db-86d16216fd9c</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192D2D13</paraID>
      <start>0</start>
      <end>2</end>
      <status>ignored</status>
      <modifiedWord/>
      <trackRevisions>false</trackRevisions>
    </reviewItem>
    <reviewItem>
      <errorID>ab1f2e95-4399-40a8-a26b-4ccee85f648a</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462997</paraID>
      <start>0</start>
      <end>2</end>
      <status>ignored</status>
      <modifiedWord/>
      <trackRevisions>false</trackRevisions>
    </reviewItem>
    <reviewItem>
      <errorID>a17906eb-3151-4a5e-9700-b07712ae826c</errorID>
      <errorWord>次</errorWord>
      <group>L1_Word</group>
      <groupName>字词问题</groupName>
      <ability>L2_Typo</ability>
      <abilityName>字词错误</abilityName>
      <candidateList>
        <item>次要</item>
      </candidateList>
      <explain/>
      <paraID>18645F6D</paraID>
      <start>27</start>
      <end>28</end>
      <status>ignored</status>
      <modifiedWord/>
      <trackRevisions>false</trackRevisions>
    </reviewItem>
    <reviewItem>
      <errorID>a488da04-a7bb-404d-afba-0653ef6370d3</errorID>
      <errorWord>期</errorWord>
      <group>L1_Word</group>
      <groupName>字词问题</groupName>
      <ability>L2_Typo</ability>
      <abilityName>字词错误</abilityName>
      <candidateList>
        <item>期间</item>
      </candidateList>
      <explain>〈名〉某个时期里面：农忙～｜春节～｜抗战～。</explain>
      <paraID>296FB536</paraID>
      <start>11</start>
      <end>12</end>
      <status>ignored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87b420c-11be-497a-acf7-2c9848bb128e}">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69</Pages>
  <Words>9263</Words>
  <Characters>10404</Characters>
  <Lines>1038</Lines>
  <Paragraphs>292</Paragraphs>
  <TotalTime>63</TotalTime>
  <ScaleCrop>false</ScaleCrop>
  <LinksUpToDate>false</LinksUpToDate>
  <CharactersWithSpaces>10567</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2019-08-20T12:19:00Z</dcterms:created>
  <dc:creator>Administrator</dc:creator>
  <cp:lastModifiedBy>杜强</cp:lastModifiedBy>
  <dcterms:modified xsi:type="dcterms:W3CDTF">2026-05-09T03:58:51Z</dcterms:modified>
  <cp:revision>20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4E5528B7EC6A4E1F8DE6D9A2C8714E65_13</vt:lpwstr>
  </property>
  <property fmtid="{D5CDD505-2E9C-101B-9397-08002B2CF9AE}" pid="4" name="KSOTemplateDocerSaveRecord">
    <vt:lpwstr>eyJoZGlkIjoiODcxMWUyOWM0ZmZmMmQyZTMyY2UxM2U1M2U5ODFhN2QiLCJ1c2VySWQiOiI2OTIzMzQ1MDMifQ==</vt:lpwstr>
  </property>
</Properties>
</file>